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233" w:rsidRDefault="000E3973" w:rsidP="000E397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869FFD3-B82B-4655-AB60-E1576AAD7DE7" style="width:450.9pt;height:361.45pt">
            <v:imagedata r:id="rId8" o:title=""/>
          </v:shape>
        </w:pict>
      </w:r>
    </w:p>
    <w:bookmarkEnd w:id="0"/>
    <w:p w:rsidR="00963233" w:rsidRDefault="00963233">
      <w:pPr>
        <w:rPr>
          <w:noProof/>
        </w:rPr>
        <w:sectPr w:rsidR="00963233" w:rsidSect="000E3973">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963233" w:rsidRDefault="000E3973">
      <w:pPr>
        <w:spacing w:after="0" w:line="240" w:lineRule="auto"/>
        <w:rPr>
          <w:rFonts w:ascii="Times New Roman" w:eastAsia="Times New Roman" w:hAnsi="Times New Roman" w:cs="Times New Roman"/>
          <w:noProof/>
          <w:sz w:val="24"/>
          <w:szCs w:val="24"/>
        </w:rPr>
      </w:pPr>
      <w:bookmarkStart w:id="1" w:name="_GoBack"/>
      <w:bookmarkEnd w:id="1"/>
      <w:r>
        <w:rPr>
          <w:rFonts w:ascii="Times New Roman" w:hAnsi="Times New Roman"/>
          <w:noProof/>
          <w:sz w:val="24"/>
          <w:szCs w:val="24"/>
        </w:rPr>
        <w:lastRenderedPageBreak/>
        <w:t>Atsižvelgdama į:</w:t>
      </w:r>
    </w:p>
    <w:p w:rsidR="00963233" w:rsidRDefault="000E3973">
      <w:pPr>
        <w:pStyle w:val="Tiret0"/>
        <w:rPr>
          <w:noProof/>
        </w:rPr>
      </w:pPr>
      <w:r>
        <w:rPr>
          <w:noProof/>
        </w:rPr>
        <w:t xml:space="preserve">Sutartį dėl Europos Sąjungos veikimo, ypač į jos 314 straipsnį, ir į Europos atominės energijos bendrijos steigimo sutartį, ypač į </w:t>
      </w:r>
      <w:r>
        <w:rPr>
          <w:noProof/>
        </w:rPr>
        <w:t>jos 106a straipsnį,</w:t>
      </w:r>
    </w:p>
    <w:p w:rsidR="00963233" w:rsidRDefault="000E3973">
      <w:pPr>
        <w:pStyle w:val="Tiret0"/>
        <w:tabs>
          <w:tab w:val="clear" w:pos="850"/>
          <w:tab w:val="num" w:pos="927"/>
        </w:tabs>
        <w:rPr>
          <w:rFonts w:cs="Arial"/>
          <w:noProof/>
          <w:szCs w:val="18"/>
        </w:rPr>
      </w:pPr>
      <w:r>
        <w:rPr>
          <w:noProof/>
        </w:rPr>
        <w:t>2018 m. liepos 18 d. Europos Parlamento ir Tarybos reglamentą (ES, Euratomas) 2018/1046 dėl Sąjungos bendrajam biudžetui taikomų finansinių taisyklių (...)</w:t>
      </w:r>
      <w:r>
        <w:rPr>
          <w:rStyle w:val="FootnoteReference"/>
          <w:noProof/>
        </w:rPr>
        <w:footnoteReference w:id="1"/>
      </w:r>
      <w:r>
        <w:rPr>
          <w:noProof/>
        </w:rPr>
        <w:t>, ypač į jo 44 straipsnį,</w:t>
      </w:r>
    </w:p>
    <w:p w:rsidR="00963233" w:rsidRDefault="000E3973">
      <w:pPr>
        <w:pStyle w:val="Tiret0"/>
        <w:tabs>
          <w:tab w:val="clear" w:pos="850"/>
          <w:tab w:val="num" w:pos="927"/>
        </w:tabs>
        <w:rPr>
          <w:noProof/>
        </w:rPr>
      </w:pPr>
      <w:r>
        <w:rPr>
          <w:noProof/>
        </w:rPr>
        <w:t>2019 m. lapkričio 27 d. patvirtintą 2020 finansinių me</w:t>
      </w:r>
      <w:r>
        <w:rPr>
          <w:noProof/>
        </w:rPr>
        <w:t>tų Europos Sąjungos bendrąjį biudžetą</w:t>
      </w:r>
      <w:r>
        <w:rPr>
          <w:rStyle w:val="FootnoteReference"/>
          <w:noProof/>
        </w:rPr>
        <w:footnoteReference w:id="2"/>
      </w:r>
      <w:r>
        <w:rPr>
          <w:noProof/>
        </w:rPr>
        <w:t>,</w:t>
      </w:r>
    </w:p>
    <w:p w:rsidR="00963233" w:rsidRDefault="000E3973">
      <w:pPr>
        <w:pStyle w:val="Tiret0"/>
        <w:rPr>
          <w:noProof/>
        </w:rPr>
      </w:pPr>
      <w:r>
        <w:rPr>
          <w:noProof/>
        </w:rPr>
        <w:t>2020 m. kovo 27 d. priimtą Taisomojo biudžeto Nr. 1/2020 projektą</w:t>
      </w:r>
      <w:r>
        <w:rPr>
          <w:rStyle w:val="FootnoteReference"/>
          <w:noProof/>
        </w:rPr>
        <w:footnoteReference w:id="3"/>
      </w:r>
      <w:r>
        <w:rPr>
          <w:noProof/>
        </w:rPr>
        <w:t>,</w:t>
      </w:r>
    </w:p>
    <w:p w:rsidR="00963233" w:rsidRDefault="000E3973">
      <w:pPr>
        <w:pStyle w:val="Tiret0"/>
        <w:rPr>
          <w:noProof/>
        </w:rPr>
      </w:pPr>
      <w:r>
        <w:rPr>
          <w:noProof/>
        </w:rPr>
        <w:t>2020 m. balandžio 2 d. priimtą Taisomojo biudžeto Nr. 2/2020 projektą</w:t>
      </w:r>
      <w:r>
        <w:rPr>
          <w:rStyle w:val="FootnoteReference"/>
          <w:noProof/>
        </w:rPr>
        <w:footnoteReference w:id="4"/>
      </w:r>
      <w:r>
        <w:rPr>
          <w:noProof/>
        </w:rPr>
        <w:t>,</w:t>
      </w:r>
    </w:p>
    <w:p w:rsidR="00963233" w:rsidRDefault="000E3973">
      <w:pPr>
        <w:spacing w:after="0" w:line="240" w:lineRule="auto"/>
        <w:jc w:val="both"/>
        <w:rPr>
          <w:rFonts w:ascii="Times New Roman" w:eastAsia="Times New Roman" w:hAnsi="Times New Roman" w:cs="Times New Roman"/>
          <w:b/>
          <w:noProof/>
          <w:sz w:val="24"/>
          <w:szCs w:val="24"/>
          <w:u w:val="single"/>
        </w:rPr>
      </w:pPr>
      <w:r>
        <w:rPr>
          <w:rFonts w:ascii="Times New Roman" w:hAnsi="Times New Roman"/>
          <w:noProof/>
          <w:sz w:val="24"/>
          <w:szCs w:val="24"/>
        </w:rPr>
        <w:t>Europos Komisija Europos Parlamentui ir Tarybai teikia 2020 m. biudžeto Tais</w:t>
      </w:r>
      <w:r>
        <w:rPr>
          <w:rFonts w:ascii="Times New Roman" w:hAnsi="Times New Roman"/>
          <w:noProof/>
          <w:sz w:val="24"/>
          <w:szCs w:val="24"/>
        </w:rPr>
        <w:t>omojo biudžeto Nr. 3 projektą.</w:t>
      </w:r>
    </w:p>
    <w:p w:rsidR="00963233" w:rsidRDefault="000E3973">
      <w:pPr>
        <w:spacing w:before="240" w:after="240"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szCs w:val="24"/>
          <w:u w:val="single"/>
        </w:rPr>
        <w:t>PAJAMŲ IR IŠLAIDŲ SUVESTINĖS PAGAL SKIRSNIUS PAKEITIMAI</w:t>
      </w:r>
    </w:p>
    <w:p w:rsidR="00963233" w:rsidRDefault="000E397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Bendrosios pajamų suvestinės pakeitimai pateikiami svetainėje EUR-Lex (</w:t>
      </w:r>
      <w:hyperlink r:id="rId15" w:history="1">
        <w:r>
          <w:rPr>
            <w:rFonts w:ascii="Times New Roman" w:hAnsi="Times New Roman"/>
            <w:noProof/>
            <w:sz w:val="24"/>
            <w:szCs w:val="24"/>
            <w:u w:val="single"/>
          </w:rPr>
          <w:t>https://eur-lex.europa.eu/budget/www/index-lt.htm</w:t>
        </w:r>
      </w:hyperlink>
      <w:r>
        <w:rPr>
          <w:rFonts w:ascii="Times New Roman" w:hAnsi="Times New Roman"/>
          <w:noProof/>
          <w:sz w:val="24"/>
          <w:szCs w:val="24"/>
        </w:rPr>
        <w:t>).</w:t>
      </w:r>
    </w:p>
    <w:p w:rsidR="00963233" w:rsidRDefault="00963233">
      <w:pPr>
        <w:spacing w:after="0" w:line="240" w:lineRule="auto"/>
        <w:rPr>
          <w:rFonts w:ascii="Times New Roman" w:eastAsia="Times New Roman" w:hAnsi="Times New Roman" w:cs="Times New Roman"/>
          <w:noProof/>
          <w:sz w:val="24"/>
          <w:szCs w:val="24"/>
          <w:lang w:eastAsia="en-GB"/>
        </w:rPr>
        <w:sectPr w:rsidR="00963233">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cols w:space="708"/>
          <w:docGrid w:linePitch="360"/>
        </w:sectPr>
      </w:pPr>
    </w:p>
    <w:p w:rsidR="00963233" w:rsidRDefault="000E3973">
      <w:pPr>
        <w:spacing w:before="120" w:after="360" w:line="240" w:lineRule="auto"/>
        <w:jc w:val="center"/>
        <w:rPr>
          <w:rFonts w:ascii="Times New Roman" w:eastAsia="Times New Roman" w:hAnsi="Times New Roman" w:cs="Times New Roman"/>
          <w:b/>
          <w:noProof/>
          <w:sz w:val="24"/>
          <w:szCs w:val="24"/>
          <w:u w:val="single"/>
        </w:rPr>
      </w:pPr>
      <w:bookmarkStart w:id="2" w:name="_Toc194220890"/>
      <w:bookmarkStart w:id="3" w:name="_Toc294675429"/>
      <w:bookmarkStart w:id="4" w:name="_Toc378575883"/>
      <w:r>
        <w:rPr>
          <w:rFonts w:ascii="Times New Roman" w:hAnsi="Times New Roman"/>
          <w:b/>
          <w:noProof/>
          <w:sz w:val="24"/>
          <w:szCs w:val="24"/>
          <w:u w:val="single"/>
        </w:rPr>
        <w:lastRenderedPageBreak/>
        <w:t>AIŠKINAMASIS MEMORANDUMAS</w:t>
      </w:r>
    </w:p>
    <w:p w:rsidR="00963233" w:rsidRDefault="000E397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Taisomojo biudžeto Nr. 3/2019 projekto (TBP) tikslas – į 2020 m. biudžetą įtraukti perteklių, susidariusį vykdant 2019 m. </w:t>
      </w:r>
      <w:r>
        <w:rPr>
          <w:rFonts w:ascii="Times New Roman" w:hAnsi="Times New Roman"/>
          <w:noProof/>
          <w:sz w:val="24"/>
          <w:szCs w:val="24"/>
        </w:rPr>
        <w:t>biudžetą. Kaip nustatyta Sąjungos bendrajam biudžetui taikomo Finansinio reglamento</w:t>
      </w:r>
      <w:r>
        <w:rPr>
          <w:rFonts w:ascii="Times New Roman" w:eastAsia="Times New Roman" w:hAnsi="Times New Roman" w:cs="Times New Roman"/>
          <w:noProof/>
          <w:sz w:val="24"/>
          <w:szCs w:val="24"/>
          <w:vertAlign w:val="superscript"/>
          <w:lang w:eastAsia="en-GB"/>
        </w:rPr>
        <w:footnoteReference w:id="5"/>
      </w:r>
      <w:r>
        <w:rPr>
          <w:rFonts w:ascii="Times New Roman" w:hAnsi="Times New Roman"/>
          <w:noProof/>
          <w:sz w:val="24"/>
          <w:szCs w:val="24"/>
        </w:rPr>
        <w:t xml:space="preserve"> 18 straipsnio 3 dalyje, šis TBP skirtas tik minėtam pertekliui ir turi būti pateiktas per 15 dienų nuo preliminarių ataskaitų pateikimo dienos (2020 m. kovo mėn. pabaigos)</w:t>
      </w:r>
      <w:r>
        <w:rPr>
          <w:rFonts w:ascii="Times New Roman" w:hAnsi="Times New Roman"/>
          <w:noProof/>
          <w:sz w:val="24"/>
          <w:szCs w:val="24"/>
        </w:rPr>
        <w:t>.</w:t>
      </w:r>
    </w:p>
    <w:p w:rsidR="00963233" w:rsidRDefault="000E3973">
      <w:pPr>
        <w:pStyle w:val="ListParagraph"/>
        <w:numPr>
          <w:ilvl w:val="0"/>
          <w:numId w:val="32"/>
        </w:numPr>
        <w:tabs>
          <w:tab w:val="num" w:pos="850"/>
        </w:tabs>
        <w:spacing w:before="120" w:after="120"/>
        <w:ind w:hanging="720"/>
        <w:contextualSpacing w:val="0"/>
        <w:jc w:val="both"/>
        <w:rPr>
          <w:noProof/>
        </w:rPr>
      </w:pPr>
      <w:r>
        <w:rPr>
          <w:noProof/>
        </w:rPr>
        <w:t>Vykdant 2019 m. biudžetą atsirado 3 218 373 955 EUR perteklius, kuris į 2020 m. biudžetą įtraukiamas kaip pajamos.</w:t>
      </w:r>
    </w:p>
    <w:p w:rsidR="00963233" w:rsidRDefault="000E3973">
      <w:pPr>
        <w:spacing w:before="120" w:after="0" w:line="240" w:lineRule="auto"/>
        <w:ind w:left="5954"/>
        <w:jc w:val="both"/>
        <w:rPr>
          <w:rFonts w:ascii="Times New Roman" w:eastAsia="Times New Roman" w:hAnsi="Times New Roman" w:cs="Times New Roman"/>
          <w:i/>
          <w:noProof/>
          <w:sz w:val="20"/>
          <w:szCs w:val="20"/>
        </w:rPr>
      </w:pPr>
      <w:r>
        <w:rPr>
          <w:rFonts w:ascii="Times New Roman" w:hAnsi="Times New Roman"/>
          <w:i/>
          <w:noProof/>
          <w:sz w:val="20"/>
          <w:szCs w:val="20"/>
        </w:rPr>
        <w:t>(EUR)</w:t>
      </w:r>
    </w:p>
    <w:tbl>
      <w:tblPr>
        <w:tblW w:w="3716" w:type="dxa"/>
        <w:jc w:val="center"/>
        <w:tblLook w:val="04A0" w:firstRow="1" w:lastRow="0" w:firstColumn="1" w:lastColumn="0" w:noHBand="0" w:noVBand="1"/>
      </w:tblPr>
      <w:tblGrid>
        <w:gridCol w:w="2159"/>
        <w:gridCol w:w="1557"/>
      </w:tblGrid>
      <w:tr w:rsidR="00963233">
        <w:trPr>
          <w:trHeight w:val="570"/>
          <w:jc w:val="center"/>
        </w:trPr>
        <w:tc>
          <w:tcPr>
            <w:tcW w:w="3716" w:type="dxa"/>
            <w:gridSpan w:val="2"/>
            <w:tcBorders>
              <w:top w:val="single" w:sz="4" w:space="0" w:color="auto"/>
              <w:left w:val="single" w:sz="4" w:space="0" w:color="auto"/>
              <w:bottom w:val="single" w:sz="4" w:space="0" w:color="auto"/>
              <w:right w:val="single" w:sz="4" w:space="0" w:color="auto"/>
            </w:tcBorders>
            <w:shd w:val="clear" w:color="000000" w:fill="E0E0E0"/>
            <w:vAlign w:val="center"/>
            <w:hideMark/>
          </w:tcPr>
          <w:p w:rsidR="00963233" w:rsidRDefault="000E3973">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2019 m. biudžeto vykdymo rezultato išskaidymas</w:t>
            </w:r>
          </w:p>
        </w:tc>
      </w:tr>
      <w:tr w:rsidR="00963233">
        <w:trPr>
          <w:trHeight w:val="270"/>
          <w:jc w:val="center"/>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233" w:rsidRDefault="000E3973">
            <w:pPr>
              <w:spacing w:after="0" w:line="240" w:lineRule="auto"/>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 xml:space="preserve">Pajamų perteklius </w:t>
            </w:r>
          </w:p>
        </w:tc>
        <w:tc>
          <w:tcPr>
            <w:tcW w:w="1557" w:type="dxa"/>
            <w:tcBorders>
              <w:top w:val="nil"/>
              <w:left w:val="nil"/>
              <w:bottom w:val="nil"/>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2 414 771 516</w:t>
            </w:r>
          </w:p>
        </w:tc>
      </w:tr>
      <w:tr w:rsidR="00963233">
        <w:trPr>
          <w:trHeight w:val="270"/>
          <w:jc w:val="center"/>
        </w:trPr>
        <w:tc>
          <w:tcPr>
            <w:tcW w:w="21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63233" w:rsidRDefault="000E3973">
            <w:pPr>
              <w:spacing w:after="0" w:line="240" w:lineRule="auto"/>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Išlaidų perteklius</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803 602 438</w:t>
            </w:r>
          </w:p>
        </w:tc>
      </w:tr>
      <w:tr w:rsidR="00963233">
        <w:trPr>
          <w:trHeight w:val="270"/>
          <w:jc w:val="center"/>
        </w:trPr>
        <w:tc>
          <w:tcPr>
            <w:tcW w:w="2159" w:type="dxa"/>
            <w:tcBorders>
              <w:top w:val="single" w:sz="4" w:space="0" w:color="auto"/>
              <w:left w:val="single" w:sz="4" w:space="0" w:color="auto"/>
              <w:bottom w:val="single" w:sz="4" w:space="0" w:color="auto"/>
              <w:right w:val="single" w:sz="4" w:space="0" w:color="auto"/>
            </w:tcBorders>
            <w:shd w:val="clear" w:color="000000" w:fill="E0E0E0"/>
            <w:vAlign w:val="center"/>
          </w:tcPr>
          <w:p w:rsidR="00963233" w:rsidRDefault="000E3973">
            <w:pPr>
              <w:spacing w:after="0" w:line="240" w:lineRule="auto"/>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Bendras perteklius</w:t>
            </w:r>
          </w:p>
        </w:tc>
        <w:tc>
          <w:tcPr>
            <w:tcW w:w="1557" w:type="dxa"/>
            <w:tcBorders>
              <w:top w:val="nil"/>
              <w:left w:val="nil"/>
              <w:bottom w:val="single" w:sz="4" w:space="0" w:color="auto"/>
              <w:right w:val="single" w:sz="4" w:space="0" w:color="auto"/>
            </w:tcBorders>
            <w:shd w:val="clear" w:color="000000" w:fill="E0E0E0"/>
            <w:vAlign w:val="center"/>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3 218 373 955</w:t>
            </w:r>
          </w:p>
        </w:tc>
      </w:tr>
    </w:tbl>
    <w:bookmarkEnd w:id="2"/>
    <w:p w:rsidR="00963233" w:rsidRDefault="000E3973">
      <w:pPr>
        <w:pStyle w:val="ListParagraph"/>
        <w:numPr>
          <w:ilvl w:val="0"/>
          <w:numId w:val="32"/>
        </w:numPr>
        <w:tabs>
          <w:tab w:val="num" w:pos="850"/>
        </w:tabs>
        <w:spacing w:before="120" w:after="120"/>
        <w:ind w:hanging="720"/>
        <w:contextualSpacing w:val="0"/>
        <w:jc w:val="both"/>
        <w:rPr>
          <w:noProof/>
        </w:rPr>
      </w:pPr>
      <w:r>
        <w:rPr>
          <w:noProof/>
        </w:rPr>
        <w:t>Įtraukus perteklių į biudžetą, atitinkamai sumažės bendras 27 valstybių narių ir JK įnašas</w:t>
      </w:r>
      <w:r>
        <w:rPr>
          <w:noProof/>
          <w:vertAlign w:val="superscript"/>
        </w:rPr>
        <w:footnoteReference w:id="6"/>
      </w:r>
      <w:r>
        <w:rPr>
          <w:noProof/>
        </w:rPr>
        <w:t xml:space="preserve"> į 2020 m. biudžeto finansavimą.</w:t>
      </w:r>
    </w:p>
    <w:p w:rsidR="00963233" w:rsidRDefault="000E3973">
      <w:pPr>
        <w:pStyle w:val="ListParagraph"/>
        <w:numPr>
          <w:ilvl w:val="0"/>
          <w:numId w:val="32"/>
        </w:numPr>
        <w:tabs>
          <w:tab w:val="num" w:pos="850"/>
        </w:tabs>
        <w:spacing w:before="120" w:after="120"/>
        <w:ind w:hanging="720"/>
        <w:contextualSpacing w:val="0"/>
        <w:jc w:val="both"/>
        <w:rPr>
          <w:noProof/>
        </w:rPr>
      </w:pPr>
      <w:r>
        <w:rPr>
          <w:noProof/>
        </w:rPr>
        <w:t>Toliau pateikiamoje lentelėje 2019 m. biudžeto vykdymo rezultatas išskaidomas pagal pajamų panaudojimą.</w:t>
      </w:r>
    </w:p>
    <w:p w:rsidR="00963233" w:rsidRDefault="000E3973">
      <w:pPr>
        <w:spacing w:before="120" w:after="0" w:line="240" w:lineRule="auto"/>
        <w:ind w:left="850" w:hanging="850"/>
        <w:jc w:val="right"/>
        <w:rPr>
          <w:rFonts w:ascii="Times New Roman" w:eastAsia="Times New Roman" w:hAnsi="Times New Roman" w:cs="Times New Roman"/>
          <w:i/>
          <w:noProof/>
          <w:sz w:val="20"/>
          <w:szCs w:val="20"/>
        </w:rPr>
      </w:pPr>
      <w:r>
        <w:rPr>
          <w:rFonts w:ascii="Times New Roman" w:hAnsi="Times New Roman"/>
          <w:i/>
          <w:noProof/>
          <w:sz w:val="20"/>
          <w:szCs w:val="20"/>
        </w:rPr>
        <w:t>(EUR)</w:t>
      </w:r>
    </w:p>
    <w:tbl>
      <w:tblPr>
        <w:tblW w:w="9140" w:type="dxa"/>
        <w:jc w:val="right"/>
        <w:tblCellMar>
          <w:left w:w="70" w:type="dxa"/>
          <w:right w:w="70" w:type="dxa"/>
        </w:tblCellMar>
        <w:tblLook w:val="04A0" w:firstRow="1" w:lastRow="0" w:firstColumn="1" w:lastColumn="0" w:noHBand="0" w:noVBand="1"/>
      </w:tblPr>
      <w:tblGrid>
        <w:gridCol w:w="340"/>
        <w:gridCol w:w="4000"/>
        <w:gridCol w:w="1600"/>
        <w:gridCol w:w="1600"/>
        <w:gridCol w:w="1600"/>
      </w:tblGrid>
      <w:tr w:rsidR="00963233">
        <w:trPr>
          <w:trHeight w:val="510"/>
          <w:jc w:val="right"/>
        </w:trPr>
        <w:tc>
          <w:tcPr>
            <w:tcW w:w="4340" w:type="dxa"/>
            <w:gridSpan w:val="2"/>
            <w:tcBorders>
              <w:top w:val="single" w:sz="4" w:space="0" w:color="auto"/>
              <w:left w:val="single" w:sz="4" w:space="0" w:color="auto"/>
              <w:bottom w:val="single" w:sz="4" w:space="0" w:color="auto"/>
              <w:right w:val="single" w:sz="4" w:space="0" w:color="auto"/>
            </w:tcBorders>
            <w:shd w:val="clear" w:color="000000" w:fill="E0E0E0"/>
            <w:vAlign w:val="center"/>
            <w:hideMark/>
          </w:tcPr>
          <w:p w:rsidR="00963233" w:rsidRDefault="000E3973">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2019 m.</w:t>
            </w:r>
            <w:r>
              <w:rPr>
                <w:rFonts w:ascii="Times New Roman" w:hAnsi="Times New Roman"/>
                <w:b/>
                <w:bCs/>
                <w:noProof/>
                <w:color w:val="000000"/>
                <w:sz w:val="18"/>
                <w:szCs w:val="18"/>
              </w:rPr>
              <w:t xml:space="preserve"> biudžeto vykdymo rezultato išskaidymas</w:t>
            </w:r>
          </w:p>
        </w:tc>
        <w:tc>
          <w:tcPr>
            <w:tcW w:w="1600" w:type="dxa"/>
            <w:tcBorders>
              <w:top w:val="single" w:sz="4" w:space="0" w:color="auto"/>
              <w:left w:val="nil"/>
              <w:bottom w:val="single" w:sz="4" w:space="0" w:color="auto"/>
              <w:right w:val="single" w:sz="4" w:space="0" w:color="auto"/>
            </w:tcBorders>
            <w:shd w:val="clear" w:color="000000" w:fill="E0E0E0"/>
            <w:vAlign w:val="center"/>
            <w:hideMark/>
          </w:tcPr>
          <w:p w:rsidR="00963233" w:rsidRDefault="000E3973">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Biudžetas</w:t>
            </w:r>
            <w:r>
              <w:rPr>
                <w:noProof/>
              </w:rPr>
              <w:t xml:space="preserve"> </w:t>
            </w:r>
            <w:r>
              <w:rPr>
                <w:noProof/>
              </w:rPr>
              <w:br/>
            </w:r>
            <w:r>
              <w:rPr>
                <w:rFonts w:ascii="Times New Roman" w:hAnsi="Times New Roman"/>
                <w:b/>
                <w:bCs/>
                <w:noProof/>
                <w:color w:val="000000"/>
                <w:sz w:val="18"/>
                <w:szCs w:val="18"/>
              </w:rPr>
              <w:t>(įsk. TB Nr. 1–3)</w:t>
            </w:r>
          </w:p>
        </w:tc>
        <w:tc>
          <w:tcPr>
            <w:tcW w:w="1600" w:type="dxa"/>
            <w:tcBorders>
              <w:top w:val="single" w:sz="4" w:space="0" w:color="auto"/>
              <w:left w:val="nil"/>
              <w:bottom w:val="single" w:sz="4" w:space="0" w:color="auto"/>
              <w:right w:val="single" w:sz="4" w:space="0" w:color="auto"/>
            </w:tcBorders>
            <w:shd w:val="clear" w:color="000000" w:fill="E0E0E0"/>
            <w:vAlign w:val="center"/>
            <w:hideMark/>
          </w:tcPr>
          <w:p w:rsidR="00963233" w:rsidRDefault="000E3973">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Biudžeto vykdymo rezultatas</w:t>
            </w:r>
          </w:p>
        </w:tc>
        <w:tc>
          <w:tcPr>
            <w:tcW w:w="1600" w:type="dxa"/>
            <w:tcBorders>
              <w:top w:val="single" w:sz="4" w:space="0" w:color="auto"/>
              <w:left w:val="nil"/>
              <w:bottom w:val="single" w:sz="4" w:space="0" w:color="auto"/>
              <w:right w:val="single" w:sz="4" w:space="0" w:color="auto"/>
            </w:tcBorders>
            <w:shd w:val="clear" w:color="000000" w:fill="E0E0E0"/>
            <w:vAlign w:val="center"/>
            <w:hideMark/>
          </w:tcPr>
          <w:p w:rsidR="00963233" w:rsidRDefault="000E3973">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Pokytis</w:t>
            </w:r>
          </w:p>
        </w:tc>
      </w:tr>
      <w:tr w:rsidR="00963233">
        <w:trPr>
          <w:trHeight w:val="270"/>
          <w:jc w:val="right"/>
        </w:trPr>
        <w:tc>
          <w:tcPr>
            <w:tcW w:w="4340" w:type="dxa"/>
            <w:gridSpan w:val="2"/>
            <w:tcBorders>
              <w:top w:val="single" w:sz="4" w:space="0" w:color="auto"/>
              <w:left w:val="single" w:sz="4" w:space="0" w:color="auto"/>
              <w:bottom w:val="single" w:sz="4" w:space="0" w:color="auto"/>
              <w:right w:val="single" w:sz="4" w:space="0" w:color="auto"/>
            </w:tcBorders>
            <w:shd w:val="clear" w:color="000000" w:fill="E0E0E0"/>
            <w:vAlign w:val="center"/>
            <w:hideMark/>
          </w:tcPr>
          <w:p w:rsidR="00963233" w:rsidRDefault="000E3973">
            <w:pPr>
              <w:spacing w:after="0" w:line="240" w:lineRule="auto"/>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Tarpinė pajamų suma</w:t>
            </w:r>
          </w:p>
        </w:tc>
        <w:tc>
          <w:tcPr>
            <w:tcW w:w="1600" w:type="dxa"/>
            <w:tcBorders>
              <w:top w:val="nil"/>
              <w:left w:val="nil"/>
              <w:bottom w:val="single" w:sz="4" w:space="0" w:color="auto"/>
              <w:right w:val="single" w:sz="4" w:space="0" w:color="auto"/>
            </w:tcBorders>
            <w:shd w:val="clear" w:color="000000" w:fill="E0E0E0"/>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148 492 491 538</w:t>
            </w:r>
          </w:p>
        </w:tc>
        <w:tc>
          <w:tcPr>
            <w:tcW w:w="1600" w:type="dxa"/>
            <w:tcBorders>
              <w:top w:val="nil"/>
              <w:left w:val="nil"/>
              <w:bottom w:val="single" w:sz="4" w:space="0" w:color="auto"/>
              <w:right w:val="single" w:sz="4" w:space="0" w:color="auto"/>
            </w:tcBorders>
            <w:shd w:val="clear" w:color="000000" w:fill="E0E0E0"/>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150 907 263 054</w:t>
            </w:r>
          </w:p>
        </w:tc>
        <w:tc>
          <w:tcPr>
            <w:tcW w:w="1600" w:type="dxa"/>
            <w:tcBorders>
              <w:top w:val="nil"/>
              <w:left w:val="nil"/>
              <w:bottom w:val="single" w:sz="4" w:space="0" w:color="auto"/>
              <w:right w:val="single" w:sz="4" w:space="0" w:color="auto"/>
            </w:tcBorders>
            <w:shd w:val="clear" w:color="000000" w:fill="E0E0E0"/>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2 414 771 516</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1 antraštinė dalis. Nuosavi ištekliai</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144 795 111 073</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144 765 627 471</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w:t>
            </w:r>
            <w:r>
              <w:rPr>
                <w:rFonts w:ascii="Times New Roman" w:hAnsi="Times New Roman"/>
                <w:noProof/>
                <w:color w:val="000000"/>
                <w:sz w:val="18"/>
                <w:szCs w:val="18"/>
              </w:rPr>
              <w:t>29 483 602</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Rinkliavos ir kiti cukraus sektoriaus mokesčiai</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0</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824 270</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824 270</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Muitai</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21 471 164 786</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21 365 365 626</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105 799 160</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Nuosavi ištekliai iš PVM</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17 738 667 150</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17 774 862 637</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36 195 487</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BNP pagrįsti nuosavi ištekliai</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105 585 279 137</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105 700 206 516</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114 927 379</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JK taikoma biudžeto disbalanso korekcija</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0</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80 874 689</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80 874 689</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Bendras tam tikrų valstybių narių metinio BNP pagrįsto įnašo sumažinimas</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0</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6 891 651</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6 891 651</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3 antraštinė dalis. Perteklius, likučiai ir patikslinimai</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1 802 988 329</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1 804 821 556</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1 833 227</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4 antraštinė dalis. Institucijose dirbantys asmenys</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1 606 517 342</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1 575 505 411</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w:t>
            </w:r>
            <w:r>
              <w:rPr>
                <w:rFonts w:ascii="Times New Roman" w:hAnsi="Times New Roman"/>
                <w:noProof/>
                <w:color w:val="000000"/>
                <w:sz w:val="18"/>
                <w:szCs w:val="18"/>
              </w:rPr>
              <w:t>31 011 931</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5 antraštinė dalis. Institucijų administracinė veikla</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25 050 050</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22 616 366</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w:t>
            </w:r>
            <w:r>
              <w:rPr>
                <w:rFonts w:ascii="Times New Roman" w:hAnsi="Times New Roman"/>
                <w:noProof/>
                <w:color w:val="000000"/>
                <w:sz w:val="18"/>
                <w:szCs w:val="18"/>
              </w:rPr>
              <w:t>2 433 684</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 xml:space="preserve">6 antraštinė dalis. </w:t>
            </w:r>
            <w:r>
              <w:rPr>
                <w:rFonts w:ascii="Times New Roman" w:hAnsi="Times New Roman"/>
                <w:noProof/>
                <w:color w:val="000000"/>
                <w:sz w:val="18"/>
                <w:szCs w:val="18"/>
              </w:rPr>
              <w:t>Grąžinamosios išmokos, susijusios su Sąjungos susitarimais ir programomis</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130 000 000</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102 279 350</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w:t>
            </w:r>
            <w:r>
              <w:rPr>
                <w:rFonts w:ascii="Times New Roman" w:hAnsi="Times New Roman"/>
                <w:noProof/>
                <w:color w:val="000000"/>
                <w:sz w:val="18"/>
                <w:szCs w:val="18"/>
              </w:rPr>
              <w:t>27 720 650</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7 antraštinė dalis: Palūkanos už pavėluotus mokėjimus ir baudos</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115 000 000</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2 625 458 174</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2 510 458 174</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 xml:space="preserve">8 antraštinė dalis. Skolinimosi ir </w:t>
            </w:r>
            <w:r>
              <w:rPr>
                <w:rFonts w:ascii="Times New Roman" w:hAnsi="Times New Roman"/>
                <w:noProof/>
                <w:color w:val="000000"/>
                <w:sz w:val="18"/>
                <w:szCs w:val="18"/>
              </w:rPr>
              <w:t>skolinimo veikla</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2 823 744</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3 111 199</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287 455</w:t>
            </w:r>
          </w:p>
        </w:tc>
      </w:tr>
      <w:tr w:rsidR="00963233">
        <w:trPr>
          <w:trHeight w:val="270"/>
          <w:jc w:val="right"/>
        </w:trPr>
        <w:tc>
          <w:tcPr>
            <w:tcW w:w="340" w:type="dxa"/>
            <w:tcBorders>
              <w:top w:val="nil"/>
              <w:left w:val="single" w:sz="4" w:space="0" w:color="auto"/>
              <w:bottom w:val="single" w:sz="4" w:space="0" w:color="auto"/>
              <w:right w:val="nil"/>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w:t>
            </w:r>
          </w:p>
        </w:tc>
        <w:tc>
          <w:tcPr>
            <w:tcW w:w="4000" w:type="dxa"/>
            <w:tcBorders>
              <w:top w:val="nil"/>
              <w:left w:val="nil"/>
              <w:bottom w:val="single" w:sz="4" w:space="0" w:color="auto"/>
              <w:right w:val="single" w:sz="4" w:space="0" w:color="auto"/>
            </w:tcBorders>
            <w:shd w:val="clear" w:color="auto" w:fill="auto"/>
            <w:vAlign w:val="center"/>
            <w:hideMark/>
          </w:tcPr>
          <w:p w:rsidR="00963233" w:rsidRDefault="000E3973">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9 antraštinė dalis. Kita</w:t>
            </w:r>
          </w:p>
        </w:tc>
        <w:tc>
          <w:tcPr>
            <w:tcW w:w="1600" w:type="dxa"/>
            <w:tcBorders>
              <w:top w:val="nil"/>
              <w:left w:val="nil"/>
              <w:bottom w:val="single"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15 001 000</w:t>
            </w:r>
          </w:p>
        </w:tc>
        <w:tc>
          <w:tcPr>
            <w:tcW w:w="1600" w:type="dxa"/>
            <w:tcBorders>
              <w:top w:val="nil"/>
              <w:left w:val="nil"/>
              <w:bottom w:val="single"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7 843 527</w:t>
            </w:r>
          </w:p>
        </w:tc>
        <w:tc>
          <w:tcPr>
            <w:tcW w:w="1600" w:type="dxa"/>
            <w:tcBorders>
              <w:top w:val="nil"/>
              <w:left w:val="nil"/>
              <w:bottom w:val="single"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w:t>
            </w:r>
            <w:r>
              <w:rPr>
                <w:rFonts w:ascii="Times New Roman" w:hAnsi="Times New Roman"/>
                <w:noProof/>
                <w:color w:val="000000"/>
                <w:sz w:val="18"/>
                <w:szCs w:val="18"/>
              </w:rPr>
              <w:t>7 157 473</w:t>
            </w:r>
          </w:p>
        </w:tc>
      </w:tr>
    </w:tbl>
    <w:bookmarkEnd w:id="3"/>
    <w:bookmarkEnd w:id="4"/>
    <w:p w:rsidR="00963233" w:rsidRDefault="000E3973">
      <w:pPr>
        <w:pStyle w:val="ListParagraph"/>
        <w:numPr>
          <w:ilvl w:val="0"/>
          <w:numId w:val="32"/>
        </w:numPr>
        <w:tabs>
          <w:tab w:val="num" w:pos="850"/>
        </w:tabs>
        <w:spacing w:before="120" w:after="120"/>
        <w:ind w:hanging="720"/>
        <w:contextualSpacing w:val="0"/>
        <w:jc w:val="both"/>
        <w:rPr>
          <w:noProof/>
        </w:rPr>
      </w:pPr>
      <w:r>
        <w:rPr>
          <w:noProof/>
        </w:rPr>
        <w:t>1 antraštinėje dalyje (Nuosavi ištekliai) susidarę skirtumai siekia 0,02 % pagal prognozę numatytos sumos. Šie skirtumai daugiausia atsirado dėl −107 mln. EUR mažesnių pajamų iš tradicinių nuosavų išteklių (buvo surinkta 99,5 % pagal prognozę numatytos sum</w:t>
      </w:r>
      <w:r>
        <w:rPr>
          <w:noProof/>
        </w:rPr>
        <w:t xml:space="preserve">os) ir 77 mln. EUR didesnių pajamų dėl valiutų kurso svyravimų (kadangi nuosavi ištekliai teikiami nacionaline valiuta, tačiau į biudžetą įtraukiami ir apskaitomi eurais). 3 antraštinėje dalyje </w:t>
      </w:r>
      <w:r>
        <w:rPr>
          <w:i/>
          <w:noProof/>
        </w:rPr>
        <w:t>(Perteklius, likučiai ir patikslinimai)</w:t>
      </w:r>
      <w:r>
        <w:rPr>
          <w:noProof/>
        </w:rPr>
        <w:t>, susijusioje su nuosav</w:t>
      </w:r>
      <w:r>
        <w:rPr>
          <w:noProof/>
        </w:rPr>
        <w:t>ų išteklių patikslinimais, skirtumas neviršija 1,8 mln. EUR.</w:t>
      </w:r>
    </w:p>
    <w:p w:rsidR="00963233" w:rsidRDefault="000E3973">
      <w:pPr>
        <w:pStyle w:val="ListParagraph"/>
        <w:numPr>
          <w:ilvl w:val="0"/>
          <w:numId w:val="32"/>
        </w:numPr>
        <w:tabs>
          <w:tab w:val="num" w:pos="850"/>
        </w:tabs>
        <w:spacing w:before="120" w:after="120"/>
        <w:ind w:hanging="720"/>
        <w:contextualSpacing w:val="0"/>
        <w:jc w:val="both"/>
        <w:rPr>
          <w:noProof/>
        </w:rPr>
      </w:pPr>
      <w:r>
        <w:rPr>
          <w:noProof/>
        </w:rPr>
        <w:lastRenderedPageBreak/>
        <w:t xml:space="preserve">Didžiausias skirtumas (2 510 mln. EUR) yra 7 antraštinėje dalyje </w:t>
      </w:r>
      <w:r>
        <w:rPr>
          <w:i/>
          <w:noProof/>
        </w:rPr>
        <w:t>(Delspinigiai ir baudos)</w:t>
      </w:r>
      <w:r>
        <w:rPr>
          <w:noProof/>
        </w:rPr>
        <w:t>.</w:t>
      </w:r>
      <w:r>
        <w:rPr>
          <w:i/>
          <w:noProof/>
        </w:rPr>
        <w:t xml:space="preserve"> </w:t>
      </w:r>
      <w:r>
        <w:rPr>
          <w:noProof/>
        </w:rPr>
        <w:t>Šį rezultatą sudaro konkurencijos bylų baudos ir delspinigiai, kitos nuobaudos ir baudų bei nuobaudų pal</w:t>
      </w:r>
      <w:r>
        <w:rPr>
          <w:noProof/>
        </w:rPr>
        <w:t>ūkanos.</w:t>
      </w:r>
    </w:p>
    <w:p w:rsidR="00963233" w:rsidRDefault="000E3973">
      <w:pPr>
        <w:pStyle w:val="ListParagraph"/>
        <w:numPr>
          <w:ilvl w:val="0"/>
          <w:numId w:val="32"/>
        </w:numPr>
        <w:tabs>
          <w:tab w:val="num" w:pos="850"/>
        </w:tabs>
        <w:spacing w:before="120" w:after="120"/>
        <w:ind w:hanging="720"/>
        <w:contextualSpacing w:val="0"/>
        <w:jc w:val="both"/>
        <w:rPr>
          <w:noProof/>
        </w:rPr>
      </w:pPr>
      <w:r>
        <w:rPr>
          <w:noProof/>
        </w:rPr>
        <w:t>Toliau pateikiamoje lentelėje 2019 m. biudžeto vykdymo rezultatas išskaidomas pagal visų institucijų išlaidas.</w:t>
      </w:r>
    </w:p>
    <w:p w:rsidR="00963233" w:rsidRDefault="000E3973">
      <w:pPr>
        <w:spacing w:before="120" w:after="0" w:line="240" w:lineRule="auto"/>
        <w:ind w:left="850" w:hanging="850"/>
        <w:jc w:val="right"/>
        <w:rPr>
          <w:rFonts w:ascii="Times New Roman" w:eastAsia="Times New Roman" w:hAnsi="Times New Roman" w:cs="Times New Roman"/>
          <w:i/>
          <w:noProof/>
          <w:sz w:val="20"/>
          <w:szCs w:val="20"/>
        </w:rPr>
      </w:pPr>
      <w:r>
        <w:rPr>
          <w:rFonts w:ascii="Times New Roman" w:hAnsi="Times New Roman"/>
          <w:i/>
          <w:noProof/>
          <w:sz w:val="20"/>
          <w:szCs w:val="20"/>
        </w:rPr>
        <w:t>(EUR)</w:t>
      </w:r>
    </w:p>
    <w:tbl>
      <w:tblPr>
        <w:tblW w:w="9140" w:type="dxa"/>
        <w:jc w:val="right"/>
        <w:tblCellMar>
          <w:left w:w="70" w:type="dxa"/>
          <w:right w:w="70" w:type="dxa"/>
        </w:tblCellMar>
        <w:tblLook w:val="04A0" w:firstRow="1" w:lastRow="0" w:firstColumn="1" w:lastColumn="0" w:noHBand="0" w:noVBand="1"/>
      </w:tblPr>
      <w:tblGrid>
        <w:gridCol w:w="340"/>
        <w:gridCol w:w="4000"/>
        <w:gridCol w:w="1600"/>
        <w:gridCol w:w="1600"/>
        <w:gridCol w:w="1600"/>
      </w:tblGrid>
      <w:tr w:rsidR="00963233">
        <w:trPr>
          <w:trHeight w:val="510"/>
          <w:jc w:val="right"/>
        </w:trPr>
        <w:tc>
          <w:tcPr>
            <w:tcW w:w="4340" w:type="dxa"/>
            <w:gridSpan w:val="2"/>
            <w:tcBorders>
              <w:top w:val="single" w:sz="4" w:space="0" w:color="auto"/>
              <w:left w:val="single" w:sz="4" w:space="0" w:color="auto"/>
              <w:bottom w:val="single" w:sz="4" w:space="0" w:color="auto"/>
              <w:right w:val="single" w:sz="4" w:space="0" w:color="auto"/>
            </w:tcBorders>
            <w:shd w:val="clear" w:color="000000" w:fill="E0E0E0"/>
            <w:vAlign w:val="center"/>
            <w:hideMark/>
          </w:tcPr>
          <w:p w:rsidR="00963233" w:rsidRDefault="000E3973">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2019 m. biudžeto vykdymo rezultato išskaidymas</w:t>
            </w:r>
          </w:p>
        </w:tc>
        <w:tc>
          <w:tcPr>
            <w:tcW w:w="1600" w:type="dxa"/>
            <w:tcBorders>
              <w:top w:val="single" w:sz="4" w:space="0" w:color="auto"/>
              <w:left w:val="nil"/>
              <w:bottom w:val="single" w:sz="4" w:space="0" w:color="auto"/>
              <w:right w:val="single" w:sz="4" w:space="0" w:color="auto"/>
            </w:tcBorders>
            <w:shd w:val="clear" w:color="000000" w:fill="E0E0E0"/>
            <w:vAlign w:val="center"/>
            <w:hideMark/>
          </w:tcPr>
          <w:p w:rsidR="00963233" w:rsidRDefault="000E3973">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Biudžetas</w:t>
            </w:r>
            <w:r>
              <w:rPr>
                <w:noProof/>
              </w:rPr>
              <w:t xml:space="preserve"> </w:t>
            </w:r>
            <w:r>
              <w:rPr>
                <w:noProof/>
              </w:rPr>
              <w:br/>
            </w:r>
            <w:r>
              <w:rPr>
                <w:rFonts w:ascii="Times New Roman" w:hAnsi="Times New Roman"/>
                <w:b/>
                <w:bCs/>
                <w:noProof/>
                <w:color w:val="000000"/>
                <w:sz w:val="18"/>
                <w:szCs w:val="18"/>
              </w:rPr>
              <w:t>(įsk. TB Nr. 1–3)</w:t>
            </w:r>
          </w:p>
        </w:tc>
        <w:tc>
          <w:tcPr>
            <w:tcW w:w="1600" w:type="dxa"/>
            <w:tcBorders>
              <w:top w:val="single" w:sz="4" w:space="0" w:color="auto"/>
              <w:left w:val="nil"/>
              <w:bottom w:val="single" w:sz="4" w:space="0" w:color="auto"/>
              <w:right w:val="single" w:sz="4" w:space="0" w:color="auto"/>
            </w:tcBorders>
            <w:shd w:val="clear" w:color="000000" w:fill="E0E0E0"/>
            <w:vAlign w:val="center"/>
            <w:hideMark/>
          </w:tcPr>
          <w:p w:rsidR="00963233" w:rsidRDefault="000E3973">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Biudžeto vykdymo rezultatas</w:t>
            </w:r>
          </w:p>
        </w:tc>
        <w:tc>
          <w:tcPr>
            <w:tcW w:w="1600" w:type="dxa"/>
            <w:tcBorders>
              <w:top w:val="single" w:sz="4" w:space="0" w:color="auto"/>
              <w:left w:val="nil"/>
              <w:bottom w:val="single" w:sz="4" w:space="0" w:color="auto"/>
              <w:right w:val="single" w:sz="4" w:space="0" w:color="auto"/>
            </w:tcBorders>
            <w:shd w:val="clear" w:color="000000" w:fill="E0E0E0"/>
            <w:vAlign w:val="center"/>
            <w:hideMark/>
          </w:tcPr>
          <w:p w:rsidR="00963233" w:rsidRDefault="000E3973">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Pokytis</w:t>
            </w:r>
          </w:p>
        </w:tc>
      </w:tr>
      <w:tr w:rsidR="00963233">
        <w:trPr>
          <w:trHeight w:val="270"/>
          <w:jc w:val="right"/>
        </w:trPr>
        <w:tc>
          <w:tcPr>
            <w:tcW w:w="4340" w:type="dxa"/>
            <w:gridSpan w:val="2"/>
            <w:tcBorders>
              <w:top w:val="single" w:sz="4" w:space="0" w:color="auto"/>
              <w:left w:val="single" w:sz="4" w:space="0" w:color="auto"/>
              <w:bottom w:val="single" w:sz="4" w:space="0" w:color="auto"/>
              <w:right w:val="single" w:sz="4" w:space="0" w:color="000000"/>
            </w:tcBorders>
            <w:shd w:val="clear" w:color="000000" w:fill="E0E0E0"/>
            <w:vAlign w:val="center"/>
            <w:hideMark/>
          </w:tcPr>
          <w:p w:rsidR="00963233" w:rsidRDefault="000E3973">
            <w:pPr>
              <w:spacing w:after="0" w:line="240" w:lineRule="auto"/>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 xml:space="preserve">Tarpinė išlaidų </w:t>
            </w:r>
            <w:r>
              <w:rPr>
                <w:rFonts w:ascii="Times New Roman" w:hAnsi="Times New Roman"/>
                <w:b/>
                <w:bCs/>
                <w:noProof/>
                <w:color w:val="000000"/>
                <w:sz w:val="18"/>
                <w:szCs w:val="18"/>
              </w:rPr>
              <w:t>suma</w:t>
            </w:r>
          </w:p>
        </w:tc>
        <w:tc>
          <w:tcPr>
            <w:tcW w:w="1600" w:type="dxa"/>
            <w:tcBorders>
              <w:top w:val="single" w:sz="4" w:space="0" w:color="auto"/>
              <w:left w:val="nil"/>
              <w:bottom w:val="single" w:sz="4" w:space="0" w:color="auto"/>
              <w:right w:val="single" w:sz="4" w:space="0" w:color="auto"/>
            </w:tcBorders>
            <w:shd w:val="clear" w:color="000000" w:fill="E0E0E0"/>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148 492 491 538</w:t>
            </w:r>
          </w:p>
        </w:tc>
        <w:tc>
          <w:tcPr>
            <w:tcW w:w="1600" w:type="dxa"/>
            <w:tcBorders>
              <w:top w:val="single" w:sz="4" w:space="0" w:color="auto"/>
              <w:left w:val="nil"/>
              <w:bottom w:val="single" w:sz="4" w:space="0" w:color="auto"/>
              <w:right w:val="single" w:sz="4" w:space="0" w:color="auto"/>
            </w:tcBorders>
            <w:shd w:val="clear" w:color="000000" w:fill="E0E0E0"/>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147 688 889 100</w:t>
            </w:r>
          </w:p>
        </w:tc>
        <w:tc>
          <w:tcPr>
            <w:tcW w:w="1600" w:type="dxa"/>
            <w:tcBorders>
              <w:top w:val="single" w:sz="4" w:space="0" w:color="auto"/>
              <w:left w:val="nil"/>
              <w:bottom w:val="single" w:sz="4" w:space="0" w:color="auto"/>
              <w:right w:val="single" w:sz="4" w:space="0" w:color="auto"/>
            </w:tcBorders>
            <w:shd w:val="clear" w:color="000000" w:fill="E0E0E0"/>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w:t>
            </w:r>
            <w:r>
              <w:rPr>
                <w:rFonts w:ascii="Times New Roman" w:hAnsi="Times New Roman"/>
                <w:b/>
                <w:bCs/>
                <w:noProof/>
                <w:color w:val="000000"/>
                <w:sz w:val="18"/>
                <w:szCs w:val="18"/>
              </w:rPr>
              <w:t>803 602 438</w:t>
            </w:r>
          </w:p>
        </w:tc>
      </w:tr>
      <w:tr w:rsidR="00963233">
        <w:trPr>
          <w:trHeight w:val="270"/>
          <w:jc w:val="right"/>
        </w:trPr>
        <w:tc>
          <w:tcPr>
            <w:tcW w:w="4340" w:type="dxa"/>
            <w:gridSpan w:val="2"/>
            <w:tcBorders>
              <w:top w:val="nil"/>
              <w:left w:val="single" w:sz="4" w:space="0" w:color="auto"/>
              <w:bottom w:val="dotted" w:sz="4" w:space="0" w:color="auto"/>
              <w:right w:val="single" w:sz="4" w:space="0" w:color="000000"/>
            </w:tcBorders>
            <w:shd w:val="clear" w:color="auto" w:fill="auto"/>
            <w:vAlign w:val="center"/>
            <w:hideMark/>
          </w:tcPr>
          <w:p w:rsidR="00963233" w:rsidRDefault="000E3973">
            <w:pPr>
              <w:spacing w:after="0" w:line="240" w:lineRule="auto"/>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Biudžete patvirtinti biudžeto vykdymo rezultatų asignavimai</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148 492 491 538</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147 817 807 228</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w:t>
            </w:r>
            <w:r>
              <w:rPr>
                <w:rFonts w:ascii="Times New Roman" w:hAnsi="Times New Roman"/>
                <w:b/>
                <w:bCs/>
                <w:noProof/>
                <w:color w:val="000000"/>
                <w:sz w:val="18"/>
                <w:szCs w:val="18"/>
              </w:rPr>
              <w:t>674 684 310</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Europos Komisija</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144 377 037 181</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143 784 765 183</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w:t>
            </w:r>
            <w:r>
              <w:rPr>
                <w:rFonts w:ascii="Times New Roman" w:hAnsi="Times New Roman"/>
                <w:noProof/>
                <w:color w:val="000000"/>
                <w:sz w:val="18"/>
                <w:szCs w:val="18"/>
              </w:rPr>
              <w:t>592 271 998</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 xml:space="preserve">1a išlaidų kategorija. </w:t>
            </w:r>
            <w:r>
              <w:rPr>
                <w:rFonts w:ascii="Times New Roman" w:hAnsi="Times New Roman"/>
                <w:i/>
                <w:iCs/>
                <w:noProof/>
                <w:color w:val="000000"/>
                <w:sz w:val="16"/>
                <w:szCs w:val="16"/>
              </w:rPr>
              <w:t>Konkurencingumas augimui ir darbo vietų kūrimui skatinti</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20 261 398 070</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20 231 004 880</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30 393 190</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1b išlaidų kategorija. Ekonominė, socialinė ir teritorinė sanglauda</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47 561 482 793</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47 559 522 299</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1 960 494</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 xml:space="preserve">2 išlaidų kategorija. Tvarus augimas. </w:t>
            </w:r>
            <w:r>
              <w:rPr>
                <w:rFonts w:ascii="Times New Roman" w:hAnsi="Times New Roman"/>
                <w:i/>
                <w:iCs/>
                <w:noProof/>
                <w:color w:val="000000"/>
                <w:sz w:val="16"/>
                <w:szCs w:val="16"/>
              </w:rPr>
              <w:t>Gamtos ištekliai</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57 836 518 964</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57 827 120 612</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9 398 352</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3 išlaidų kategorija. Saugumas ir pilietybė</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3 290 532 388</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3 161 760 749</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128 771 639</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4 išlaidų kategorija. Europos vaidmuo pasaulyje</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8 952 616 966</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8 946 611 596</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6 005 370</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 xml:space="preserve">5 išlaidų </w:t>
            </w:r>
            <w:r>
              <w:rPr>
                <w:rFonts w:ascii="Times New Roman" w:hAnsi="Times New Roman"/>
                <w:i/>
                <w:iCs/>
                <w:noProof/>
                <w:color w:val="000000"/>
                <w:sz w:val="16"/>
                <w:szCs w:val="16"/>
              </w:rPr>
              <w:t>kategorija. Administravimas</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5 827 041 386</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5 763 345 126</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63 696 260</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Kitos specialiosios priemonės</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647 446 615</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295 399 920</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352 046 694</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Kitos institucijos</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4 115 454 357</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4 033 042 045</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w:t>
            </w:r>
            <w:r>
              <w:rPr>
                <w:rFonts w:ascii="Times New Roman" w:hAnsi="Times New Roman"/>
                <w:noProof/>
                <w:color w:val="000000"/>
                <w:sz w:val="18"/>
                <w:szCs w:val="18"/>
              </w:rPr>
              <w:t>82 412 312</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Europos Parlamentas</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1 996 978 262</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1 973 232 524</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23 745 738</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Taryba ir Europos Vadovų Taryba</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581 895 459</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536 999 597</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44 895 862</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Europos Sąjungos Teisingumo Teismas</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429 468 936</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423 900 255</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5 568 681</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Europos Audito Rūmai</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146 890 518</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144 314 828</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2 575 690</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 xml:space="preserve">Europos ekonomikos ir socialinių </w:t>
            </w:r>
            <w:r>
              <w:rPr>
                <w:rFonts w:ascii="Times New Roman" w:hAnsi="Times New Roman"/>
                <w:i/>
                <w:iCs/>
                <w:noProof/>
                <w:color w:val="000000"/>
                <w:sz w:val="16"/>
                <w:szCs w:val="16"/>
              </w:rPr>
              <w:t>reikalų komitetas</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138 502 768</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135 923 436</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2 579 332</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Regionų komitetas</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98 751 065</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98 362 401</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388 664</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Europos ombudsmenas</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11 496 261</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10 614 755</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881 506</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Europos duomenų apsaugos priežiūros pareigūnas</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16 638 572</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15 301 687</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1 336 885</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 xml:space="preserve"> </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 xml:space="preserve">Europos </w:t>
            </w:r>
            <w:r>
              <w:rPr>
                <w:rFonts w:ascii="Times New Roman" w:hAnsi="Times New Roman"/>
                <w:i/>
                <w:iCs/>
                <w:noProof/>
                <w:color w:val="000000"/>
                <w:sz w:val="16"/>
                <w:szCs w:val="16"/>
              </w:rPr>
              <w:t>išorės veiksmų tarnyba</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694 832 516</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694 392 562</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outlineLvl w:val="0"/>
              <w:rPr>
                <w:rFonts w:ascii="Times New Roman" w:eastAsia="Times New Roman" w:hAnsi="Times New Roman" w:cs="Times New Roman"/>
                <w:i/>
                <w:iCs/>
                <w:noProof/>
                <w:color w:val="000000"/>
                <w:sz w:val="16"/>
                <w:szCs w:val="16"/>
              </w:rPr>
            </w:pPr>
            <w:r>
              <w:rPr>
                <w:rFonts w:ascii="Times New Roman" w:hAnsi="Times New Roman"/>
                <w:i/>
                <w:iCs/>
                <w:noProof/>
                <w:color w:val="000000"/>
                <w:sz w:val="16"/>
                <w:szCs w:val="16"/>
              </w:rPr>
              <w:t>−</w:t>
            </w:r>
            <w:r>
              <w:rPr>
                <w:rFonts w:ascii="Times New Roman" w:hAnsi="Times New Roman"/>
                <w:i/>
                <w:iCs/>
                <w:noProof/>
                <w:color w:val="000000"/>
                <w:sz w:val="16"/>
                <w:szCs w:val="16"/>
              </w:rPr>
              <w:t>439 954</w:t>
            </w:r>
          </w:p>
        </w:tc>
      </w:tr>
      <w:tr w:rsidR="00963233">
        <w:trPr>
          <w:trHeight w:val="270"/>
          <w:jc w:val="right"/>
        </w:trPr>
        <w:tc>
          <w:tcPr>
            <w:tcW w:w="4340" w:type="dxa"/>
            <w:gridSpan w:val="2"/>
            <w:tcBorders>
              <w:top w:val="dotted" w:sz="4" w:space="0" w:color="auto"/>
              <w:left w:val="single" w:sz="4" w:space="0" w:color="auto"/>
              <w:bottom w:val="dotted" w:sz="4" w:space="0" w:color="auto"/>
              <w:right w:val="single" w:sz="4" w:space="0" w:color="000000"/>
            </w:tcBorders>
            <w:shd w:val="clear" w:color="auto" w:fill="auto"/>
            <w:vAlign w:val="center"/>
            <w:hideMark/>
          </w:tcPr>
          <w:p w:rsidR="00963233" w:rsidRDefault="000E3973">
            <w:pPr>
              <w:spacing w:after="0" w:line="240" w:lineRule="auto"/>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Iš ankstesnių metų perkelti panaikinti asignavimai</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0</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w:t>
            </w:r>
            <w:r>
              <w:rPr>
                <w:rFonts w:ascii="Times New Roman" w:hAnsi="Times New Roman"/>
                <w:b/>
                <w:bCs/>
                <w:noProof/>
                <w:color w:val="000000"/>
                <w:sz w:val="18"/>
                <w:szCs w:val="18"/>
              </w:rPr>
              <w:t>125 294 786</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w:t>
            </w:r>
            <w:r>
              <w:rPr>
                <w:rFonts w:ascii="Times New Roman" w:hAnsi="Times New Roman"/>
                <w:b/>
                <w:bCs/>
                <w:noProof/>
                <w:color w:val="000000"/>
                <w:sz w:val="18"/>
                <w:szCs w:val="18"/>
              </w:rPr>
              <w:t>125 294 786</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Europos Komisija</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0</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w:t>
            </w:r>
            <w:r>
              <w:rPr>
                <w:rFonts w:ascii="Times New Roman" w:hAnsi="Times New Roman"/>
                <w:noProof/>
                <w:color w:val="000000"/>
                <w:sz w:val="18"/>
                <w:szCs w:val="18"/>
              </w:rPr>
              <w:t>86 283 393</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w:t>
            </w:r>
            <w:r>
              <w:rPr>
                <w:rFonts w:ascii="Times New Roman" w:hAnsi="Times New Roman"/>
                <w:noProof/>
                <w:color w:val="000000"/>
                <w:sz w:val="18"/>
                <w:szCs w:val="18"/>
              </w:rPr>
              <w:t>86 283 393</w:t>
            </w:r>
          </w:p>
        </w:tc>
      </w:tr>
      <w:tr w:rsidR="00963233">
        <w:trPr>
          <w:trHeight w:val="270"/>
          <w:jc w:val="right"/>
        </w:trPr>
        <w:tc>
          <w:tcPr>
            <w:tcW w:w="340" w:type="dxa"/>
            <w:tcBorders>
              <w:top w:val="nil"/>
              <w:left w:val="single" w:sz="4" w:space="0" w:color="auto"/>
              <w:bottom w:val="dotted" w:sz="4" w:space="0" w:color="auto"/>
              <w:right w:val="nil"/>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i/>
                <w:iCs/>
                <w:noProof/>
                <w:color w:val="000000"/>
                <w:sz w:val="18"/>
                <w:szCs w:val="18"/>
              </w:rPr>
            </w:pPr>
            <w:r>
              <w:rPr>
                <w:rFonts w:ascii="Times New Roman" w:hAnsi="Times New Roman"/>
                <w:i/>
                <w:iCs/>
                <w:noProof/>
                <w:color w:val="000000"/>
                <w:sz w:val="18"/>
                <w:szCs w:val="18"/>
              </w:rPr>
              <w:t>—</w:t>
            </w:r>
          </w:p>
        </w:tc>
        <w:tc>
          <w:tcPr>
            <w:tcW w:w="40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Kitos institucijos</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0</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w:t>
            </w:r>
            <w:r>
              <w:rPr>
                <w:rFonts w:ascii="Times New Roman" w:hAnsi="Times New Roman"/>
                <w:noProof/>
                <w:color w:val="000000"/>
                <w:sz w:val="18"/>
                <w:szCs w:val="18"/>
              </w:rPr>
              <w:t>39 011 393</w:t>
            </w:r>
          </w:p>
        </w:tc>
        <w:tc>
          <w:tcPr>
            <w:tcW w:w="1600" w:type="dxa"/>
            <w:tcBorders>
              <w:top w:val="nil"/>
              <w:left w:val="nil"/>
              <w:bottom w:val="dotted"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noProof/>
                <w:color w:val="000000"/>
                <w:sz w:val="18"/>
                <w:szCs w:val="18"/>
              </w:rPr>
            </w:pPr>
            <w:r>
              <w:rPr>
                <w:rFonts w:ascii="Times New Roman" w:hAnsi="Times New Roman"/>
                <w:noProof/>
                <w:color w:val="000000"/>
                <w:sz w:val="18"/>
                <w:szCs w:val="18"/>
              </w:rPr>
              <w:t>−</w:t>
            </w:r>
            <w:r>
              <w:rPr>
                <w:rFonts w:ascii="Times New Roman" w:hAnsi="Times New Roman"/>
                <w:noProof/>
                <w:color w:val="000000"/>
                <w:sz w:val="18"/>
                <w:szCs w:val="18"/>
              </w:rPr>
              <w:t>39 011 393</w:t>
            </w:r>
          </w:p>
        </w:tc>
      </w:tr>
      <w:tr w:rsidR="00963233">
        <w:trPr>
          <w:trHeight w:val="270"/>
          <w:jc w:val="right"/>
        </w:trPr>
        <w:tc>
          <w:tcPr>
            <w:tcW w:w="4340" w:type="dxa"/>
            <w:gridSpan w:val="2"/>
            <w:tcBorders>
              <w:top w:val="dotted" w:sz="4" w:space="0" w:color="auto"/>
              <w:left w:val="single" w:sz="4" w:space="0" w:color="auto"/>
              <w:bottom w:val="single" w:sz="4" w:space="0" w:color="auto"/>
              <w:right w:val="single" w:sz="4" w:space="0" w:color="000000"/>
            </w:tcBorders>
            <w:shd w:val="clear" w:color="auto" w:fill="auto"/>
            <w:vAlign w:val="center"/>
            <w:hideMark/>
          </w:tcPr>
          <w:p w:rsidR="00963233" w:rsidRDefault="000E3973">
            <w:pPr>
              <w:spacing w:after="0" w:line="240" w:lineRule="auto"/>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 xml:space="preserve">Valiutų kursų svyravimai </w:t>
            </w:r>
            <w:r>
              <w:rPr>
                <w:rFonts w:ascii="Times New Roman" w:hAnsi="Times New Roman"/>
                <w:b/>
                <w:bCs/>
                <w:noProof/>
                <w:color w:val="000000"/>
                <w:sz w:val="18"/>
                <w:szCs w:val="18"/>
              </w:rPr>
              <w:t>išlaidų srityje</w:t>
            </w:r>
          </w:p>
        </w:tc>
        <w:tc>
          <w:tcPr>
            <w:tcW w:w="1600" w:type="dxa"/>
            <w:tcBorders>
              <w:top w:val="nil"/>
              <w:left w:val="nil"/>
              <w:bottom w:val="single"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0</w:t>
            </w:r>
          </w:p>
        </w:tc>
        <w:tc>
          <w:tcPr>
            <w:tcW w:w="1600" w:type="dxa"/>
            <w:tcBorders>
              <w:top w:val="nil"/>
              <w:left w:val="nil"/>
              <w:bottom w:val="single"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w:t>
            </w:r>
            <w:r>
              <w:rPr>
                <w:rFonts w:ascii="Times New Roman" w:hAnsi="Times New Roman"/>
                <w:b/>
                <w:bCs/>
                <w:noProof/>
                <w:color w:val="000000"/>
                <w:sz w:val="18"/>
                <w:szCs w:val="18"/>
              </w:rPr>
              <w:t>3 623 342</w:t>
            </w:r>
          </w:p>
        </w:tc>
        <w:tc>
          <w:tcPr>
            <w:tcW w:w="1600" w:type="dxa"/>
            <w:tcBorders>
              <w:top w:val="nil"/>
              <w:left w:val="nil"/>
              <w:bottom w:val="single" w:sz="4" w:space="0" w:color="auto"/>
              <w:right w:val="single" w:sz="4" w:space="0" w:color="auto"/>
            </w:tcBorders>
            <w:shd w:val="clear" w:color="auto" w:fill="auto"/>
            <w:vAlign w:val="center"/>
            <w:hideMark/>
          </w:tcPr>
          <w:p w:rsidR="00963233" w:rsidRDefault="000E3973">
            <w:pPr>
              <w:spacing w:after="0" w:line="240" w:lineRule="auto"/>
              <w:jc w:val="right"/>
              <w:rPr>
                <w:rFonts w:ascii="Times New Roman" w:eastAsia="Times New Roman" w:hAnsi="Times New Roman" w:cs="Times New Roman"/>
                <w:b/>
                <w:bCs/>
                <w:noProof/>
                <w:color w:val="000000"/>
                <w:sz w:val="18"/>
                <w:szCs w:val="18"/>
              </w:rPr>
            </w:pPr>
            <w:r>
              <w:rPr>
                <w:rFonts w:ascii="Times New Roman" w:hAnsi="Times New Roman"/>
                <w:b/>
                <w:bCs/>
                <w:noProof/>
                <w:color w:val="000000"/>
                <w:sz w:val="18"/>
                <w:szCs w:val="18"/>
              </w:rPr>
              <w:t>−</w:t>
            </w:r>
            <w:r>
              <w:rPr>
                <w:rFonts w:ascii="Times New Roman" w:hAnsi="Times New Roman"/>
                <w:b/>
                <w:bCs/>
                <w:noProof/>
                <w:color w:val="000000"/>
                <w:sz w:val="18"/>
                <w:szCs w:val="18"/>
              </w:rPr>
              <w:t>3 623 342</w:t>
            </w:r>
          </w:p>
        </w:tc>
      </w:tr>
    </w:tbl>
    <w:p w:rsidR="00963233" w:rsidRDefault="000E3973">
      <w:pPr>
        <w:pStyle w:val="ListParagraph"/>
        <w:numPr>
          <w:ilvl w:val="0"/>
          <w:numId w:val="32"/>
        </w:numPr>
        <w:tabs>
          <w:tab w:val="num" w:pos="850"/>
        </w:tabs>
        <w:spacing w:before="120" w:after="120"/>
        <w:ind w:hanging="720"/>
        <w:contextualSpacing w:val="0"/>
        <w:jc w:val="both"/>
        <w:rPr>
          <w:noProof/>
        </w:rPr>
      </w:pPr>
      <w:r>
        <w:rPr>
          <w:noProof/>
        </w:rPr>
        <w:t xml:space="preserve">Komisija panaudojo 99,6 % patvirtintų mokėjimų asignavimų. Nepanaudota suma siekė 592,3 mln. EUR, iš jų 351,5 mln. EUR – neatidėliotinos pagalbos rezervo lėšos ir 94,5 mln. EUR – rezervo pagal 3 išlaidų kategoriją </w:t>
      </w:r>
      <w:r>
        <w:rPr>
          <w:i/>
          <w:noProof/>
        </w:rPr>
        <w:t>„Saugumas ir pilietybė“</w:t>
      </w:r>
      <w:r>
        <w:rPr>
          <w:noProof/>
        </w:rPr>
        <w:t xml:space="preserve"> lėšos.</w:t>
      </w:r>
    </w:p>
    <w:p w:rsidR="00963233" w:rsidRDefault="000E3973">
      <w:pPr>
        <w:pStyle w:val="ListParagraph"/>
        <w:numPr>
          <w:ilvl w:val="0"/>
          <w:numId w:val="32"/>
        </w:numPr>
        <w:tabs>
          <w:tab w:val="num" w:pos="850"/>
        </w:tabs>
        <w:spacing w:before="120" w:after="120"/>
        <w:ind w:hanging="720"/>
        <w:contextualSpacing w:val="0"/>
        <w:jc w:val="both"/>
        <w:rPr>
          <w:noProof/>
        </w:rPr>
      </w:pPr>
      <w:r>
        <w:rPr>
          <w:noProof/>
        </w:rPr>
        <w:t>Kitų institucijų nepanaudota 82 mln. EUR suma yra šiek tiek didesnė nei 2018 m. (76 mln. EUR), bet mažesnė nei 2017 m. ir 2016 m. (atitinkamai 83 mln. EUR ir 103 mln. EUR).</w:t>
      </w:r>
    </w:p>
    <w:sectPr w:rsidR="00963233">
      <w:headerReference w:type="even" r:id="rId22"/>
      <w:headerReference w:type="default" r:id="rId23"/>
      <w:footerReference w:type="even" r:id="rId24"/>
      <w:footerReference w:type="default" r:id="rId25"/>
      <w:headerReference w:type="first" r:id="rId26"/>
      <w:footerReference w:type="first" r:id="rId27"/>
      <w:pgSz w:w="11907" w:h="16839"/>
      <w:pgMar w:top="720"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33" w:rsidRDefault="000E3973">
      <w:pPr>
        <w:spacing w:after="0" w:line="240" w:lineRule="auto"/>
      </w:pPr>
      <w:r>
        <w:separator/>
      </w:r>
    </w:p>
  </w:endnote>
  <w:endnote w:type="continuationSeparator" w:id="0">
    <w:p w:rsidR="00963233" w:rsidRDefault="000E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73" w:rsidRPr="000E3973" w:rsidRDefault="000E3973" w:rsidP="000E3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73" w:rsidRPr="000E3973" w:rsidRDefault="000E3973" w:rsidP="000E3973">
    <w:pPr>
      <w:pStyle w:val="FooterCoverPage"/>
      <w:rPr>
        <w:rFonts w:ascii="Arial" w:hAnsi="Arial" w:cs="Arial"/>
        <w:b/>
        <w:sz w:val="48"/>
      </w:rPr>
    </w:pPr>
    <w:r w:rsidRPr="000E3973">
      <w:rPr>
        <w:rFonts w:ascii="Arial" w:hAnsi="Arial" w:cs="Arial"/>
        <w:b/>
        <w:sz w:val="48"/>
      </w:rPr>
      <w:t>LT</w:t>
    </w:r>
    <w:r w:rsidRPr="000E3973">
      <w:rPr>
        <w:rFonts w:ascii="Arial" w:hAnsi="Arial" w:cs="Arial"/>
        <w:b/>
        <w:sz w:val="48"/>
      </w:rPr>
      <w:tab/>
    </w:r>
    <w:r w:rsidRPr="000E3973">
      <w:rPr>
        <w:rFonts w:ascii="Arial" w:hAnsi="Arial" w:cs="Arial"/>
        <w:b/>
        <w:sz w:val="48"/>
      </w:rPr>
      <w:tab/>
    </w:r>
    <w:r w:rsidRPr="000E3973">
      <w:tab/>
    </w:r>
    <w:r w:rsidRPr="000E3973">
      <w:rPr>
        <w:rFonts w:ascii="Arial" w:hAnsi="Arial" w:cs="Arial"/>
        <w:b/>
        <w:sz w:val="48"/>
      </w:rPr>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73" w:rsidRPr="000E3973" w:rsidRDefault="000E3973" w:rsidP="000E397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33" w:rsidRDefault="009632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33" w:rsidRDefault="000E3973">
    <w:pPr>
      <w:pStyle w:val="Footer"/>
      <w:ind w:left="-851" w:right="-851"/>
      <w:rPr>
        <w:rFonts w:ascii="Arial" w:hAnsi="Arial" w:cs="Arial"/>
        <w:b/>
        <w:sz w:val="48"/>
      </w:rPr>
    </w:pPr>
    <w:r>
      <w:tab/>
    </w:r>
    <w:r>
      <w:fldChar w:fldCharType="begin"/>
    </w:r>
    <w:r>
      <w:instrText xml:space="preserve"> PAGE  \* MERGEFORMAT </w:instrText>
    </w:r>
    <w:r>
      <w:fldChar w:fldCharType="separate"/>
    </w:r>
    <w:r>
      <w:rPr>
        <w:noProof/>
      </w:rPr>
      <w:t>1</w:t>
    </w:r>
    <w: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33" w:rsidRDefault="0096323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33" w:rsidRDefault="0096323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33" w:rsidRDefault="000E3973">
    <w:pPr>
      <w:pStyle w:val="Footer"/>
      <w:ind w:left="-851" w:right="-851"/>
      <w:rPr>
        <w:rFonts w:ascii="Arial" w:hAnsi="Arial" w:cs="Arial"/>
        <w:b/>
        <w:sz w:val="48"/>
      </w:rPr>
    </w:pPr>
    <w:r>
      <w:tab/>
    </w:r>
    <w:r>
      <w:fldChar w:fldCharType="begin"/>
    </w:r>
    <w:r>
      <w:instrText xml:space="preserve"> PAGE  \* MERGEFORMAT </w:instrText>
    </w:r>
    <w:r>
      <w:fldChar w:fldCharType="separate"/>
    </w:r>
    <w:r>
      <w:rPr>
        <w:noProof/>
      </w:rPr>
      <w:t>3</w:t>
    </w:r>
    <w:r>
      <w:fldChar w:fldCharType="end"/>
    </w: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33" w:rsidRDefault="00963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33" w:rsidRDefault="000E3973">
      <w:pPr>
        <w:spacing w:after="0" w:line="240" w:lineRule="auto"/>
      </w:pPr>
      <w:r>
        <w:separator/>
      </w:r>
    </w:p>
  </w:footnote>
  <w:footnote w:type="continuationSeparator" w:id="0">
    <w:p w:rsidR="00963233" w:rsidRDefault="000E3973">
      <w:pPr>
        <w:spacing w:after="0" w:line="240" w:lineRule="auto"/>
      </w:pPr>
      <w:r>
        <w:continuationSeparator/>
      </w:r>
    </w:p>
  </w:footnote>
  <w:footnote w:id="1">
    <w:p w:rsidR="00963233" w:rsidRDefault="000E3973">
      <w:pPr>
        <w:pStyle w:val="FootnoteText"/>
      </w:pPr>
      <w:r>
        <w:rPr>
          <w:rStyle w:val="FootnoteReference"/>
        </w:rPr>
        <w:footnoteRef/>
      </w:r>
      <w:r>
        <w:t xml:space="preserve"> </w:t>
      </w:r>
      <w:r>
        <w:tab/>
      </w:r>
      <w:r>
        <w:rPr>
          <w:sz w:val="18"/>
          <w:szCs w:val="18"/>
        </w:rPr>
        <w:t xml:space="preserve">OL L 193, </w:t>
      </w:r>
      <w:r>
        <w:rPr>
          <w:sz w:val="18"/>
          <w:szCs w:val="18"/>
        </w:rPr>
        <w:t>2018 7 30.</w:t>
      </w:r>
    </w:p>
  </w:footnote>
  <w:footnote w:id="2">
    <w:p w:rsidR="00963233" w:rsidRDefault="000E3973">
      <w:pPr>
        <w:pStyle w:val="FootnoteText"/>
      </w:pPr>
      <w:r>
        <w:rPr>
          <w:rStyle w:val="FootnoteReference"/>
        </w:rPr>
        <w:footnoteRef/>
      </w:r>
      <w:r>
        <w:t xml:space="preserve"> </w:t>
      </w:r>
      <w:r>
        <w:tab/>
      </w:r>
      <w:r>
        <w:rPr>
          <w:sz w:val="18"/>
          <w:szCs w:val="18"/>
        </w:rPr>
        <w:t>OL L 57, 2020 2 27.</w:t>
      </w:r>
    </w:p>
  </w:footnote>
  <w:footnote w:id="3">
    <w:p w:rsidR="00963233" w:rsidRDefault="000E3973">
      <w:pPr>
        <w:pStyle w:val="FootnoteText"/>
      </w:pPr>
      <w:r>
        <w:rPr>
          <w:rStyle w:val="FootnoteReference"/>
        </w:rPr>
        <w:footnoteRef/>
      </w:r>
      <w:r>
        <w:t xml:space="preserve"> </w:t>
      </w:r>
      <w:r>
        <w:tab/>
      </w:r>
      <w:r>
        <w:rPr>
          <w:sz w:val="18"/>
          <w:szCs w:val="18"/>
        </w:rPr>
        <w:t>COM(2020) 145, 2020 3 27.</w:t>
      </w:r>
    </w:p>
  </w:footnote>
  <w:footnote w:id="4">
    <w:p w:rsidR="00963233" w:rsidRDefault="000E3973">
      <w:pPr>
        <w:pStyle w:val="FootnoteText"/>
      </w:pPr>
      <w:r>
        <w:rPr>
          <w:rStyle w:val="FootnoteReference"/>
        </w:rPr>
        <w:footnoteRef/>
      </w:r>
      <w:r>
        <w:t xml:space="preserve"> </w:t>
      </w:r>
      <w:r>
        <w:tab/>
      </w:r>
      <w:r>
        <w:rPr>
          <w:sz w:val="18"/>
          <w:szCs w:val="18"/>
        </w:rPr>
        <w:t>COM(2020) 170, 2020 4 2.</w:t>
      </w:r>
    </w:p>
  </w:footnote>
  <w:footnote w:id="5">
    <w:p w:rsidR="00963233" w:rsidRDefault="000E3973">
      <w:pPr>
        <w:pStyle w:val="FootnoteText"/>
      </w:pPr>
      <w:r>
        <w:rPr>
          <w:rStyle w:val="FootnoteReference"/>
        </w:rPr>
        <w:footnoteRef/>
      </w:r>
      <w:r>
        <w:t xml:space="preserve"> </w:t>
      </w:r>
      <w:r>
        <w:tab/>
      </w:r>
      <w:r>
        <w:rPr>
          <w:sz w:val="18"/>
          <w:szCs w:val="18"/>
        </w:rPr>
        <w:t>OL L 193, 2018 7 30, p. 1.</w:t>
      </w:r>
    </w:p>
  </w:footnote>
  <w:footnote w:id="6">
    <w:p w:rsidR="00963233" w:rsidRDefault="000E3973">
      <w:pPr>
        <w:pStyle w:val="Default"/>
        <w:ind w:left="720" w:hanging="720"/>
        <w:jc w:val="both"/>
      </w:pPr>
      <w:r>
        <w:rPr>
          <w:rStyle w:val="FootnoteReference"/>
        </w:rPr>
        <w:footnoteRef/>
      </w:r>
      <w:r>
        <w:t xml:space="preserve"> </w:t>
      </w:r>
      <w:r>
        <w:tab/>
      </w:r>
      <w:r>
        <w:rPr>
          <w:color w:val="auto"/>
          <w:sz w:val="18"/>
          <w:szCs w:val="18"/>
        </w:rPr>
        <w:t>Dėl taisomojo biudžeto projekto taip pat sumažės Jungtinės Karalystės įnašas</w:t>
      </w:r>
      <w:r>
        <w:rPr>
          <w:sz w:val="18"/>
          <w:szCs w:val="18"/>
        </w:rPr>
        <w:t xml:space="preserve"> pagal Jungtinės Didžiosios Britanijos ir Šiaurės Airijo</w:t>
      </w:r>
      <w:r>
        <w:rPr>
          <w:sz w:val="18"/>
          <w:szCs w:val="18"/>
        </w:rPr>
        <w:t xml:space="preserve">s Karalystės išstojimo iš Europos Sąjungos ir Europos atominės energijos bendrijos 126 straipsnį ir 135 straipsnio 1 dalį </w:t>
      </w:r>
      <w:r>
        <w:rPr>
          <w:color w:val="auto"/>
          <w:sz w:val="18"/>
          <w:szCs w:val="18"/>
        </w:rPr>
        <w:t>(OL L 29, 2020 1 31, p. 7)</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73" w:rsidRPr="000E3973" w:rsidRDefault="000E3973" w:rsidP="000E3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73" w:rsidRPr="000E3973" w:rsidRDefault="000E3973" w:rsidP="000E397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73" w:rsidRPr="000E3973" w:rsidRDefault="000E3973" w:rsidP="000E397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33" w:rsidRDefault="009632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33" w:rsidRDefault="00963233">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33" w:rsidRDefault="009632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33" w:rsidRDefault="009632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33" w:rsidRDefault="00963233">
    <w:pPr>
      <w:pStyle w:val="Heade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33" w:rsidRDefault="00963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E49F88"/>
    <w:lvl w:ilvl="0">
      <w:start w:val="1"/>
      <w:numFmt w:val="decimal"/>
      <w:pStyle w:val="ListNumber5"/>
      <w:lvlText w:val="%1."/>
      <w:lvlJc w:val="left"/>
      <w:pPr>
        <w:tabs>
          <w:tab w:val="num" w:pos="1492"/>
        </w:tabs>
        <w:ind w:left="1492" w:hanging="360"/>
      </w:pPr>
    </w:lvl>
  </w:abstractNum>
  <w:abstractNum w:abstractNumId="1" w15:restartNumberingAfterBreak="0">
    <w:nsid w:val="FFFFFF82"/>
    <w:multiLevelType w:val="singleLevel"/>
    <w:tmpl w:val="338AC50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7FF73A7"/>
    <w:multiLevelType w:val="hybridMultilevel"/>
    <w:tmpl w:val="1D745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35770"/>
    <w:multiLevelType w:val="hybridMultilevel"/>
    <w:tmpl w:val="365E0218"/>
    <w:lvl w:ilvl="0" w:tplc="8264D7DC">
      <w:start w:val="1"/>
      <w:numFmt w:val="bullet"/>
      <w:pStyle w:val="agbullets"/>
      <w:lvlText w:val=""/>
      <w:lvlJc w:val="left"/>
      <w:pPr>
        <w:ind w:left="720" w:hanging="360"/>
      </w:pPr>
      <w:rPr>
        <w:rFonts w:ascii="Symbol" w:hAnsi="Symbol" w:hint="default"/>
      </w:rPr>
    </w:lvl>
    <w:lvl w:ilvl="1" w:tplc="B8AE865E">
      <w:numFmt w:val="decimal"/>
      <w:lvlText w:val=""/>
      <w:lvlJc w:val="left"/>
    </w:lvl>
    <w:lvl w:ilvl="2" w:tplc="581813B8">
      <w:numFmt w:val="decimal"/>
      <w:lvlText w:val=""/>
      <w:lvlJc w:val="left"/>
    </w:lvl>
    <w:lvl w:ilvl="3" w:tplc="B7C81A1E">
      <w:numFmt w:val="decimal"/>
      <w:lvlText w:val=""/>
      <w:lvlJc w:val="left"/>
    </w:lvl>
    <w:lvl w:ilvl="4" w:tplc="5030D16A">
      <w:numFmt w:val="decimal"/>
      <w:lvlText w:val=""/>
      <w:lvlJc w:val="left"/>
    </w:lvl>
    <w:lvl w:ilvl="5" w:tplc="7A1E383C">
      <w:numFmt w:val="decimal"/>
      <w:lvlText w:val=""/>
      <w:lvlJc w:val="left"/>
    </w:lvl>
    <w:lvl w:ilvl="6" w:tplc="CE08976E">
      <w:numFmt w:val="decimal"/>
      <w:lvlText w:val=""/>
      <w:lvlJc w:val="left"/>
    </w:lvl>
    <w:lvl w:ilvl="7" w:tplc="D5D01BC0">
      <w:numFmt w:val="decimal"/>
      <w:lvlText w:val=""/>
      <w:lvlJc w:val="left"/>
    </w:lvl>
    <w:lvl w:ilvl="8" w:tplc="05920FDA">
      <w:numFmt w:val="decimal"/>
      <w:lvlText w:val=""/>
      <w:lvlJc w:val="left"/>
    </w:lvl>
  </w:abstractNum>
  <w:abstractNum w:abstractNumId="4" w15:restartNumberingAfterBreak="0">
    <w:nsid w:val="107E5539"/>
    <w:multiLevelType w:val="hybridMultilevel"/>
    <w:tmpl w:val="7AA6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E1F62"/>
    <w:multiLevelType w:val="hybridMultilevel"/>
    <w:tmpl w:val="F84ADDA2"/>
    <w:lvl w:ilvl="0" w:tplc="AD4A7110">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13AC5"/>
    <w:multiLevelType w:val="hybridMultilevel"/>
    <w:tmpl w:val="942260B6"/>
    <w:lvl w:ilvl="0" w:tplc="6450B68C">
      <w:start w:val="1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F54BEC"/>
    <w:multiLevelType w:val="hybridMultilevel"/>
    <w:tmpl w:val="D938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E4906"/>
    <w:multiLevelType w:val="hybridMultilevel"/>
    <w:tmpl w:val="094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15:restartNumberingAfterBreak="0">
    <w:nsid w:val="302D7658"/>
    <w:multiLevelType w:val="hybridMultilevel"/>
    <w:tmpl w:val="BEE25C58"/>
    <w:lvl w:ilvl="0" w:tplc="0CD24B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72B5B"/>
    <w:multiLevelType w:val="hybridMultilevel"/>
    <w:tmpl w:val="E782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3" w15:restartNumberingAfterBreak="0">
    <w:nsid w:val="390F25DB"/>
    <w:multiLevelType w:val="hybridMultilevel"/>
    <w:tmpl w:val="E7265104"/>
    <w:lvl w:ilvl="0" w:tplc="B0DC89EA">
      <w:start w:val="1"/>
      <w:numFmt w:val="bullet"/>
      <w:pStyle w:val="agtabbullets"/>
      <w:lvlText w:val=""/>
      <w:lvlJc w:val="left"/>
      <w:pPr>
        <w:ind w:left="1080" w:hanging="360"/>
      </w:pPr>
      <w:rPr>
        <w:rFonts w:ascii="Symbol" w:hAnsi="Symbol" w:hint="default"/>
      </w:rPr>
    </w:lvl>
    <w:lvl w:ilvl="1" w:tplc="510EFC82">
      <w:numFmt w:val="decimal"/>
      <w:lvlText w:val=""/>
      <w:lvlJc w:val="left"/>
    </w:lvl>
    <w:lvl w:ilvl="2" w:tplc="98DA8758">
      <w:numFmt w:val="decimal"/>
      <w:lvlText w:val=""/>
      <w:lvlJc w:val="left"/>
    </w:lvl>
    <w:lvl w:ilvl="3" w:tplc="A8DA21E8">
      <w:numFmt w:val="decimal"/>
      <w:lvlText w:val=""/>
      <w:lvlJc w:val="left"/>
    </w:lvl>
    <w:lvl w:ilvl="4" w:tplc="4C5E1946">
      <w:numFmt w:val="decimal"/>
      <w:lvlText w:val=""/>
      <w:lvlJc w:val="left"/>
    </w:lvl>
    <w:lvl w:ilvl="5" w:tplc="DC50A908">
      <w:numFmt w:val="decimal"/>
      <w:lvlText w:val=""/>
      <w:lvlJc w:val="left"/>
    </w:lvl>
    <w:lvl w:ilvl="6" w:tplc="277AF326">
      <w:numFmt w:val="decimal"/>
      <w:lvlText w:val=""/>
      <w:lvlJc w:val="left"/>
    </w:lvl>
    <w:lvl w:ilvl="7" w:tplc="96EC6C5E">
      <w:numFmt w:val="decimal"/>
      <w:lvlText w:val=""/>
      <w:lvlJc w:val="left"/>
    </w:lvl>
    <w:lvl w:ilvl="8" w:tplc="CF347B90">
      <w:numFmt w:val="decimal"/>
      <w:lvlText w:val=""/>
      <w:lvlJc w:val="left"/>
    </w:lvl>
  </w:abstractNum>
  <w:abstractNum w:abstractNumId="1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B196F20"/>
    <w:multiLevelType w:val="hybridMultilevel"/>
    <w:tmpl w:val="EDA0D93A"/>
    <w:lvl w:ilvl="0" w:tplc="AD4A7110">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A4B95"/>
    <w:multiLevelType w:val="hybridMultilevel"/>
    <w:tmpl w:val="D7C8C63E"/>
    <w:lvl w:ilvl="0" w:tplc="1B5E4E4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8" w15:restartNumberingAfterBreak="0">
    <w:nsid w:val="5BE70879"/>
    <w:multiLevelType w:val="hybridMultilevel"/>
    <w:tmpl w:val="1C344ADE"/>
    <w:lvl w:ilvl="0" w:tplc="76F660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D7001"/>
    <w:multiLevelType w:val="hybridMultilevel"/>
    <w:tmpl w:val="71E60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1" w15:restartNumberingAfterBreak="0">
    <w:nsid w:val="5EDE2AF6"/>
    <w:multiLevelType w:val="hybridMultilevel"/>
    <w:tmpl w:val="B23E61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F8C3B69"/>
    <w:multiLevelType w:val="multilevel"/>
    <w:tmpl w:val="9B14DAA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6D2B5511"/>
    <w:multiLevelType w:val="singleLevel"/>
    <w:tmpl w:val="74A09970"/>
    <w:name w:val="Heading__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5" w15:restartNumberingAfterBreak="0">
    <w:nsid w:val="70037CE4"/>
    <w:multiLevelType w:val="hybridMultilevel"/>
    <w:tmpl w:val="C6AC5448"/>
    <w:lvl w:ilvl="0" w:tplc="AD4A7110">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770FE1"/>
    <w:multiLevelType w:val="hybridMultilevel"/>
    <w:tmpl w:val="C2F8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54E49"/>
    <w:multiLevelType w:val="hybridMultilevel"/>
    <w:tmpl w:val="1B00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95D7F"/>
    <w:multiLevelType w:val="multilevel"/>
    <w:tmpl w:val="F126F78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9" w15:restartNumberingAfterBreak="0">
    <w:nsid w:val="7C897016"/>
    <w:multiLevelType w:val="hybridMultilevel"/>
    <w:tmpl w:val="97A06FA8"/>
    <w:lvl w:ilvl="0" w:tplc="1A0C97F4">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966381"/>
    <w:multiLevelType w:val="multilevel"/>
    <w:tmpl w:val="DCC8806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7"/>
  </w:num>
  <w:num w:numId="3">
    <w:abstractNumId w:val="26"/>
  </w:num>
  <w:num w:numId="4">
    <w:abstractNumId w:val="17"/>
  </w:num>
  <w:num w:numId="5">
    <w:abstractNumId w:val="24"/>
  </w:num>
  <w:num w:numId="6">
    <w:abstractNumId w:val="14"/>
  </w:num>
  <w:num w:numId="7">
    <w:abstractNumId w:val="9"/>
  </w:num>
  <w:num w:numId="8">
    <w:abstractNumId w:val="28"/>
  </w:num>
  <w:num w:numId="9">
    <w:abstractNumId w:val="22"/>
  </w:num>
  <w:num w:numId="10">
    <w:abstractNumId w:val="30"/>
  </w:num>
  <w:num w:numId="11">
    <w:abstractNumId w:val="23"/>
  </w:num>
  <w:num w:numId="12">
    <w:abstractNumId w:val="0"/>
  </w:num>
  <w:num w:numId="13">
    <w:abstractNumId w:val="1"/>
  </w:num>
  <w:num w:numId="14">
    <w:abstractNumId w:val="3"/>
  </w:num>
  <w:num w:numId="15">
    <w:abstractNumId w:val="13"/>
  </w:num>
  <w:num w:numId="16">
    <w:abstractNumId w:val="6"/>
  </w:num>
  <w:num w:numId="17">
    <w:abstractNumId w:val="10"/>
  </w:num>
  <w:num w:numId="18">
    <w:abstractNumId w:val="8"/>
  </w:num>
  <w:num w:numId="19">
    <w:abstractNumId w:val="4"/>
  </w:num>
  <w:num w:numId="20">
    <w:abstractNumId w:val="5"/>
  </w:num>
  <w:num w:numId="21">
    <w:abstractNumId w:val="2"/>
  </w:num>
  <w:num w:numId="22">
    <w:abstractNumId w:val="15"/>
  </w:num>
  <w:num w:numId="23">
    <w:abstractNumId w:val="27"/>
  </w:num>
  <w:num w:numId="24">
    <w:abstractNumId w:val="25"/>
  </w:num>
  <w:num w:numId="25">
    <w:abstractNumId w:val="11"/>
  </w:num>
  <w:num w:numId="26">
    <w:abstractNumId w:val="19"/>
  </w:num>
  <w:num w:numId="27">
    <w:abstractNumId w:val="18"/>
  </w:num>
  <w:num w:numId="28">
    <w:abstractNumId w:val="16"/>
  </w:num>
  <w:num w:numId="29">
    <w:abstractNumId w:val="29"/>
  </w:num>
  <w:num w:numId="30">
    <w:abstractNumId w:val="20"/>
    <w:lvlOverride w:ilvl="0">
      <w:startOverride w:val="1"/>
    </w:lvlOverride>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hideSpellingErrors/>
  <w:hideGrammaticalErrors/>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869FFD3-B82B-4655-AB60-E1576AAD7DE7"/>
    <w:docVar w:name="LW_COVERPAGE_TYPE" w:val="1"/>
    <w:docVar w:name="LW_CROSSREFERENCE" w:val="&lt;UNUSED&gt;"/>
    <w:docVar w:name="LW_DocType" w:val="NORMAL"/>
    <w:docVar w:name="LW_EMISSION" w:val="2020 04 15"/>
    <w:docVar w:name="LW_EMISSION_ISODATE" w:val="2020-04-15"/>
    <w:docVar w:name="LW_EMISSION_LOCATION" w:val="BRX"/>
    <w:docVar w:name="LW_EMISSION_PREFIX" w:val="Briuselis, "/>
    <w:docVar w:name="LW_EMISSION_SUFFIX" w:val=" "/>
    <w:docVar w:name="LW_ID_DOCTYPE_NONLW" w:val="CP-035"/>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Baltic&gt;2019 FINANSINI\u370? MET\u370? PERTEKLIAUS \u302?TRAUKIMAS&lt;/FMT&gt;_x000d__x000b__x000d__x000b_"/>
    <w:docVar w:name="LW_TYPE.DOC.CP" w:val="2020 M. BENDROJO BIUD\u381?ETO_x000b_TAISOMOJO BIUD\u381?ETO NR. 3 PROJEKTAS_x000b__x000b_"/>
  </w:docVars>
  <w:rsids>
    <w:rsidRoot w:val="00963233"/>
    <w:rsid w:val="000E3973"/>
    <w:rsid w:val="0096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26744EE-64F8-46D6-BE50-1D7BB029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pPr>
      <w:keepNext/>
      <w:spacing w:before="240" w:after="120" w:line="240" w:lineRule="auto"/>
      <w:outlineLvl w:val="0"/>
    </w:pPr>
    <w:rPr>
      <w:rFonts w:ascii="Arial" w:eastAsia="Times New Roman" w:hAnsi="Arial" w:cs="Arial"/>
      <w:b/>
      <w:bCs/>
      <w:kern w:val="32"/>
      <w:sz w:val="32"/>
      <w:szCs w:val="32"/>
      <w:lang w:eastAsia="en-GB"/>
    </w:rPr>
  </w:style>
  <w:style w:type="paragraph" w:styleId="Heading2">
    <w:name w:val="heading 2"/>
    <w:aliases w:val="Char, Char,Abschnitt"/>
    <w:basedOn w:val="Normal"/>
    <w:next w:val="Normal"/>
    <w:link w:val="Heading2Char"/>
    <w:autoRedefine/>
    <w:qFormat/>
    <w:pPr>
      <w:keepNext/>
      <w:spacing w:before="240" w:after="120" w:line="240" w:lineRule="auto"/>
      <w:ind w:left="720" w:hanging="720"/>
      <w:outlineLvl w:val="1"/>
    </w:pPr>
    <w:rPr>
      <w:rFonts w:ascii="Arial" w:eastAsia="Times New Roman" w:hAnsi="Arial" w:cs="Arial"/>
      <w:b/>
      <w:bCs/>
      <w:i/>
      <w:iCs/>
      <w:sz w:val="28"/>
      <w:szCs w:val="28"/>
      <w:lang w:eastAsia="en-GB"/>
    </w:rPr>
  </w:style>
  <w:style w:type="paragraph" w:styleId="Heading3">
    <w:name w:val="heading 3"/>
    <w:aliases w:val="Heading 3 Auto"/>
    <w:basedOn w:val="Normal"/>
    <w:next w:val="Normal"/>
    <w:link w:val="Heading3Char"/>
    <w:autoRedefine/>
    <w:qFormat/>
    <w:pPr>
      <w:keepNext/>
      <w:numPr>
        <w:ilvl w:val="2"/>
      </w:numPr>
      <w:tabs>
        <w:tab w:val="num" w:pos="850"/>
      </w:tabs>
      <w:spacing w:before="120" w:after="120" w:line="240" w:lineRule="auto"/>
      <w:ind w:left="850" w:hanging="850"/>
      <w:jc w:val="both"/>
      <w:outlineLvl w:val="2"/>
    </w:pPr>
    <w:rPr>
      <w:rFonts w:ascii="Arial" w:eastAsia="Times New Roman" w:hAnsi="Arial" w:cs="Arial"/>
      <w:b/>
      <w:bCs/>
      <w:i/>
      <w:sz w:val="26"/>
      <w:szCs w:val="26"/>
      <w:lang w:eastAsia="en-GB"/>
    </w:rPr>
  </w:style>
  <w:style w:type="paragraph" w:styleId="Heading4">
    <w:name w:val="heading 4"/>
    <w:basedOn w:val="Normal"/>
    <w:next w:val="Normal"/>
    <w:link w:val="Heading4Char"/>
    <w:qFormat/>
    <w:pPr>
      <w:keepNext/>
      <w:numPr>
        <w:ilvl w:val="3"/>
      </w:numPr>
      <w:tabs>
        <w:tab w:val="num" w:pos="1030"/>
      </w:tabs>
      <w:spacing w:before="120" w:after="120" w:line="240" w:lineRule="auto"/>
      <w:ind w:left="1030" w:hanging="850"/>
      <w:jc w:val="both"/>
      <w:outlineLvl w:val="3"/>
    </w:pPr>
    <w:rPr>
      <w:rFonts w:ascii="Times New Roman" w:eastAsia="Times New Roman" w:hAnsi="Times New Roman" w:cs="Times New Roman"/>
      <w:b/>
      <w:bCs/>
      <w:sz w:val="24"/>
      <w:szCs w:val="28"/>
      <w:lang w:eastAsia="de-DE"/>
    </w:rPr>
  </w:style>
  <w:style w:type="paragraph" w:styleId="Heading5">
    <w:name w:val="heading 5"/>
    <w:basedOn w:val="Normal"/>
    <w:next w:val="Normal"/>
    <w:link w:val="Heading5Char"/>
    <w:uiPriority w:val="99"/>
    <w:qFormat/>
    <w:pPr>
      <w:spacing w:before="240" w:after="60" w:line="240" w:lineRule="auto"/>
      <w:jc w:val="both"/>
      <w:outlineLvl w:val="4"/>
    </w:pPr>
    <w:rPr>
      <w:rFonts w:ascii="Arial" w:eastAsiaTheme="majorEastAsia" w:hAnsi="Arial" w:cs="Arial"/>
    </w:rPr>
  </w:style>
  <w:style w:type="paragraph" w:styleId="Heading6">
    <w:name w:val="heading 6"/>
    <w:basedOn w:val="Normal"/>
    <w:next w:val="Normal"/>
    <w:link w:val="Heading6Char"/>
    <w:uiPriority w:val="99"/>
    <w:qFormat/>
    <w:pPr>
      <w:spacing w:before="240" w:after="60" w:line="240" w:lineRule="auto"/>
      <w:jc w:val="both"/>
      <w:outlineLvl w:val="5"/>
    </w:pPr>
    <w:rPr>
      <w:rFonts w:ascii="Arial" w:eastAsiaTheme="majorEastAsia" w:hAnsi="Arial" w:cs="Arial"/>
      <w:i/>
      <w:iCs/>
    </w:rPr>
  </w:style>
  <w:style w:type="paragraph" w:styleId="Heading7">
    <w:name w:val="heading 7"/>
    <w:basedOn w:val="Normal"/>
    <w:next w:val="Normal"/>
    <w:link w:val="Heading7Char"/>
    <w:uiPriority w:val="99"/>
    <w:qFormat/>
    <w:pPr>
      <w:spacing w:before="240" w:after="60" w:line="240" w:lineRule="auto"/>
      <w:jc w:val="both"/>
      <w:outlineLvl w:val="6"/>
    </w:pPr>
    <w:rPr>
      <w:rFonts w:ascii="Arial" w:eastAsiaTheme="majorEastAsia" w:hAnsi="Arial" w:cs="Arial"/>
      <w:szCs w:val="20"/>
    </w:rPr>
  </w:style>
  <w:style w:type="paragraph" w:styleId="Heading8">
    <w:name w:val="heading 8"/>
    <w:basedOn w:val="Normal"/>
    <w:next w:val="Normal"/>
    <w:link w:val="Heading8Char"/>
    <w:uiPriority w:val="99"/>
    <w:qFormat/>
    <w:pPr>
      <w:spacing w:before="240" w:after="60" w:line="240" w:lineRule="auto"/>
      <w:jc w:val="both"/>
      <w:outlineLvl w:val="7"/>
    </w:pPr>
    <w:rPr>
      <w:rFonts w:ascii="Arial" w:eastAsiaTheme="majorEastAsia" w:hAnsi="Arial" w:cs="Arial"/>
      <w:i/>
      <w:iCs/>
      <w:szCs w:val="20"/>
    </w:rPr>
  </w:style>
  <w:style w:type="paragraph" w:styleId="Heading9">
    <w:name w:val="heading 9"/>
    <w:basedOn w:val="Normal"/>
    <w:next w:val="Normal"/>
    <w:link w:val="Heading9Char"/>
    <w:uiPriority w:val="99"/>
    <w:qFormat/>
    <w:pPr>
      <w:spacing w:before="240" w:after="60" w:line="240" w:lineRule="auto"/>
      <w:jc w:val="both"/>
      <w:outlineLvl w:val="8"/>
    </w:pPr>
    <w:rPr>
      <w:rFonts w:ascii="Arial" w:eastAsiaTheme="maj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de-DE"/>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
    <w:rPr>
      <w:vertAlign w:val="superscript"/>
    </w:rPr>
  </w:style>
  <w:style w:type="paragraph" w:customStyle="1" w:styleId="Tiret0">
    <w:name w:val="Tiret 0"/>
    <w:basedOn w:val="Normal"/>
    <w:pPr>
      <w:numPr>
        <w:numId w:val="1"/>
      </w:numPr>
      <w:spacing w:before="120" w:after="120" w:line="240" w:lineRule="auto"/>
      <w:jc w:val="both"/>
    </w:pPr>
    <w:rPr>
      <w:rFonts w:ascii="Times New Roman" w:eastAsia="Times New Roman" w:hAnsi="Times New Roman" w:cs="Times New Roman"/>
      <w:sz w:val="24"/>
      <w:szCs w:val="24"/>
      <w:lang w:eastAsia="de-DE"/>
    </w:rPr>
  </w:style>
  <w:style w:type="character" w:styleId="Hyperlink">
    <w:name w:val="Hyperlink"/>
    <w:uiPriority w:val="99"/>
    <w:rPr>
      <w:color w:val="0000FF"/>
      <w:u w:val="single"/>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eastAsia="de-DE"/>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lang w:eastAsia="de-D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Pr>
      <w:rFonts w:ascii="Arial" w:eastAsia="Times New Roman" w:hAnsi="Arial" w:cs="Arial"/>
      <w:b/>
      <w:bCs/>
      <w:kern w:val="32"/>
      <w:sz w:val="32"/>
      <w:szCs w:val="32"/>
      <w:lang w:eastAsia="en-GB"/>
    </w:rPr>
  </w:style>
  <w:style w:type="character" w:customStyle="1" w:styleId="Heading2Char">
    <w:name w:val="Heading 2 Char"/>
    <w:aliases w:val="Char Char, Char Char,Abschnitt Char"/>
    <w:basedOn w:val="DefaultParagraphFont"/>
    <w:link w:val="Heading2"/>
    <w:rPr>
      <w:rFonts w:ascii="Arial" w:eastAsia="Times New Roman" w:hAnsi="Arial" w:cs="Arial"/>
      <w:b/>
      <w:bCs/>
      <w:i/>
      <w:iCs/>
      <w:sz w:val="28"/>
      <w:szCs w:val="28"/>
      <w:lang w:eastAsia="en-GB"/>
    </w:rPr>
  </w:style>
  <w:style w:type="character" w:customStyle="1" w:styleId="Heading3Char">
    <w:name w:val="Heading 3 Char"/>
    <w:aliases w:val="Heading 3 Auto Char"/>
    <w:basedOn w:val="DefaultParagraphFont"/>
    <w:link w:val="Heading3"/>
    <w:rPr>
      <w:rFonts w:ascii="Arial" w:eastAsia="Times New Roman" w:hAnsi="Arial" w:cs="Arial"/>
      <w:b/>
      <w:bCs/>
      <w:i/>
      <w:sz w:val="26"/>
      <w:szCs w:val="26"/>
      <w:lang w:eastAsia="en-GB"/>
    </w:rPr>
  </w:style>
  <w:style w:type="character" w:customStyle="1" w:styleId="Heading4Char">
    <w:name w:val="Heading 4 Char"/>
    <w:basedOn w:val="DefaultParagraphFont"/>
    <w:link w:val="Heading4"/>
    <w:rPr>
      <w:rFonts w:ascii="Times New Roman" w:eastAsia="Times New Roman" w:hAnsi="Times New Roman" w:cs="Times New Roman"/>
      <w:b/>
      <w:bCs/>
      <w:sz w:val="24"/>
      <w:szCs w:val="28"/>
      <w:lang w:eastAsia="de-DE"/>
    </w:rPr>
  </w:style>
  <w:style w:type="character" w:customStyle="1" w:styleId="Heading5Char">
    <w:name w:val="Heading 5 Char"/>
    <w:basedOn w:val="DefaultParagraphFont"/>
    <w:link w:val="Heading5"/>
    <w:uiPriority w:val="99"/>
    <w:rPr>
      <w:rFonts w:ascii="Arial" w:eastAsiaTheme="majorEastAsia" w:hAnsi="Arial" w:cs="Arial"/>
    </w:rPr>
  </w:style>
  <w:style w:type="character" w:customStyle="1" w:styleId="Heading6Char">
    <w:name w:val="Heading 6 Char"/>
    <w:basedOn w:val="DefaultParagraphFont"/>
    <w:link w:val="Heading6"/>
    <w:uiPriority w:val="99"/>
    <w:rPr>
      <w:rFonts w:ascii="Arial" w:eastAsiaTheme="majorEastAsia" w:hAnsi="Arial" w:cs="Arial"/>
      <w:i/>
      <w:iCs/>
    </w:rPr>
  </w:style>
  <w:style w:type="character" w:customStyle="1" w:styleId="Heading7Char">
    <w:name w:val="Heading 7 Char"/>
    <w:basedOn w:val="DefaultParagraphFont"/>
    <w:link w:val="Heading7"/>
    <w:uiPriority w:val="99"/>
    <w:rPr>
      <w:rFonts w:ascii="Arial" w:eastAsiaTheme="majorEastAsia" w:hAnsi="Arial" w:cs="Arial"/>
      <w:szCs w:val="20"/>
    </w:rPr>
  </w:style>
  <w:style w:type="character" w:customStyle="1" w:styleId="Heading8Char">
    <w:name w:val="Heading 8 Char"/>
    <w:basedOn w:val="DefaultParagraphFont"/>
    <w:link w:val="Heading8"/>
    <w:uiPriority w:val="99"/>
    <w:rPr>
      <w:rFonts w:ascii="Arial" w:eastAsiaTheme="majorEastAsia" w:hAnsi="Arial" w:cs="Arial"/>
      <w:i/>
      <w:iCs/>
      <w:szCs w:val="20"/>
    </w:rPr>
  </w:style>
  <w:style w:type="character" w:customStyle="1" w:styleId="Heading9Char">
    <w:name w:val="Heading 9 Char"/>
    <w:basedOn w:val="DefaultParagraphFont"/>
    <w:link w:val="Heading9"/>
    <w:uiPriority w:val="99"/>
    <w:rPr>
      <w:rFonts w:ascii="Arial" w:eastAsiaTheme="majorEastAsia" w:hAnsi="Arial" w:cs="Arial"/>
      <w:i/>
      <w:iCs/>
      <w:sz w:val="18"/>
      <w:szCs w:val="18"/>
    </w:rPr>
  </w:style>
  <w:style w:type="paragraph" w:styleId="TOC1">
    <w:name w:val="toc 1"/>
    <w:basedOn w:val="Normal"/>
    <w:next w:val="Normal"/>
    <w:uiPriority w:val="39"/>
    <w:qFormat/>
    <w:pPr>
      <w:spacing w:before="120" w:after="120" w:line="240" w:lineRule="auto"/>
    </w:pPr>
    <w:rPr>
      <w:rFonts w:ascii="Times New Roman" w:eastAsia="Times New Roman" w:hAnsi="Times New Roman" w:cs="Times New Roman"/>
      <w:b/>
      <w:bCs/>
      <w:caps/>
      <w:sz w:val="20"/>
      <w:szCs w:val="20"/>
      <w:lang w:eastAsia="en-GB"/>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eastAsia="de-DE"/>
    </w:rPr>
  </w:style>
  <w:style w:type="paragraph" w:customStyle="1" w:styleId="ListDash">
    <w:name w:val="List Dash"/>
    <w:basedOn w:val="Normal"/>
    <w:link w:val="ListDashChar"/>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lang w:eastAsia="de-DE"/>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lang w:eastAsia="de-DE"/>
    </w:rPr>
  </w:style>
  <w:style w:type="paragraph" w:styleId="TOC2">
    <w:name w:val="toc 2"/>
    <w:basedOn w:val="Normal"/>
    <w:next w:val="Normal"/>
    <w:autoRedefine/>
    <w:uiPriority w:val="39"/>
    <w:qFormat/>
    <w:pPr>
      <w:spacing w:after="0" w:line="240" w:lineRule="auto"/>
      <w:ind w:left="240"/>
    </w:pPr>
    <w:rPr>
      <w:rFonts w:ascii="Times New Roman" w:eastAsia="Times New Roman" w:hAnsi="Times New Roman" w:cs="Times New Roman"/>
      <w:smallCaps/>
      <w:sz w:val="20"/>
      <w:szCs w:val="20"/>
      <w:lang w:eastAsia="en-GB"/>
    </w:rPr>
  </w:style>
  <w:style w:type="paragraph" w:styleId="TOC3">
    <w:name w:val="toc 3"/>
    <w:basedOn w:val="Normal"/>
    <w:next w:val="Normal"/>
    <w:autoRedefine/>
    <w:qFormat/>
    <w:pPr>
      <w:spacing w:after="0" w:line="240" w:lineRule="auto"/>
      <w:ind w:left="480"/>
    </w:pPr>
    <w:rPr>
      <w:rFonts w:ascii="Times New Roman" w:eastAsia="Times New Roman" w:hAnsi="Times New Roman" w:cs="Times New Roman"/>
      <w:i/>
      <w:iCs/>
      <w:sz w:val="20"/>
      <w:szCs w:val="20"/>
      <w:lang w:eastAsia="en-GB"/>
    </w:rPr>
  </w:style>
  <w:style w:type="paragraph" w:styleId="TOC4">
    <w:name w:val="toc 4"/>
    <w:basedOn w:val="Normal"/>
    <w:next w:val="Normal"/>
    <w:autoRedefine/>
    <w:semiHidden/>
    <w:pPr>
      <w:spacing w:after="0" w:line="240" w:lineRule="auto"/>
      <w:ind w:left="720"/>
    </w:pPr>
    <w:rPr>
      <w:rFonts w:ascii="Times New Roman" w:eastAsia="Times New Roman" w:hAnsi="Times New Roman" w:cs="Times New Roman"/>
      <w:sz w:val="18"/>
      <w:szCs w:val="18"/>
      <w:lang w:eastAsia="en-GB"/>
    </w:rPr>
  </w:style>
  <w:style w:type="paragraph" w:styleId="TOC5">
    <w:name w:val="toc 5"/>
    <w:basedOn w:val="Normal"/>
    <w:next w:val="Normal"/>
    <w:autoRedefine/>
    <w:semiHidden/>
    <w:pPr>
      <w:spacing w:after="0" w:line="240" w:lineRule="auto"/>
      <w:ind w:left="960"/>
    </w:pPr>
    <w:rPr>
      <w:rFonts w:ascii="Times New Roman" w:eastAsia="Times New Roman" w:hAnsi="Times New Roman" w:cs="Times New Roman"/>
      <w:sz w:val="18"/>
      <w:szCs w:val="18"/>
      <w:lang w:eastAsia="en-GB"/>
    </w:rPr>
  </w:style>
  <w:style w:type="paragraph" w:styleId="TOC6">
    <w:name w:val="toc 6"/>
    <w:basedOn w:val="Normal"/>
    <w:next w:val="Normal"/>
    <w:autoRedefine/>
    <w:semiHidden/>
    <w:pPr>
      <w:spacing w:after="0" w:line="240" w:lineRule="auto"/>
      <w:ind w:left="1200"/>
    </w:pPr>
    <w:rPr>
      <w:rFonts w:ascii="Times New Roman" w:eastAsia="Times New Roman" w:hAnsi="Times New Roman" w:cs="Times New Roman"/>
      <w:sz w:val="18"/>
      <w:szCs w:val="18"/>
      <w:lang w:eastAsia="en-GB"/>
    </w:rPr>
  </w:style>
  <w:style w:type="paragraph" w:styleId="TOC7">
    <w:name w:val="toc 7"/>
    <w:basedOn w:val="Normal"/>
    <w:next w:val="Normal"/>
    <w:autoRedefine/>
    <w:semiHidden/>
    <w:pPr>
      <w:spacing w:after="0" w:line="240" w:lineRule="auto"/>
      <w:ind w:left="1440"/>
    </w:pPr>
    <w:rPr>
      <w:rFonts w:ascii="Times New Roman" w:eastAsia="Times New Roman" w:hAnsi="Times New Roman" w:cs="Times New Roman"/>
      <w:sz w:val="18"/>
      <w:szCs w:val="18"/>
      <w:lang w:eastAsia="en-GB"/>
    </w:rPr>
  </w:style>
  <w:style w:type="paragraph" w:styleId="TOC8">
    <w:name w:val="toc 8"/>
    <w:basedOn w:val="Normal"/>
    <w:next w:val="Normal"/>
    <w:autoRedefine/>
    <w:semiHidden/>
    <w:pPr>
      <w:spacing w:after="0" w:line="240" w:lineRule="auto"/>
      <w:ind w:left="1680"/>
    </w:pPr>
    <w:rPr>
      <w:rFonts w:ascii="Times New Roman" w:eastAsia="Times New Roman" w:hAnsi="Times New Roman" w:cs="Times New Roman"/>
      <w:sz w:val="18"/>
      <w:szCs w:val="18"/>
      <w:lang w:eastAsia="en-GB"/>
    </w:rPr>
  </w:style>
  <w:style w:type="paragraph" w:styleId="TOC9">
    <w:name w:val="toc 9"/>
    <w:basedOn w:val="Normal"/>
    <w:next w:val="Normal"/>
    <w:autoRedefine/>
    <w:semiHidden/>
    <w:pPr>
      <w:spacing w:after="0" w:line="240" w:lineRule="auto"/>
      <w:ind w:left="1920"/>
    </w:pPr>
    <w:rPr>
      <w:rFonts w:ascii="Times New Roman" w:eastAsia="Times New Roman" w:hAnsi="Times New Roman" w:cs="Times New Roman"/>
      <w:sz w:val="18"/>
      <w:szCs w:val="18"/>
      <w:lang w:eastAsia="en-GB"/>
    </w:rPr>
  </w:style>
  <w:style w:type="paragraph" w:styleId="ListBullet">
    <w:name w:val="List Bullet"/>
    <w:basedOn w:val="Normal"/>
    <w:pPr>
      <w:numPr>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al"/>
    <w:pPr>
      <w:tabs>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customStyle="1" w:styleId="ListBullet1">
    <w:name w:val="List Bullet 1"/>
    <w:basedOn w:val="Text1"/>
    <w:pPr>
      <w:numPr>
        <w:numId w:val="6"/>
      </w:numPr>
      <w:spacing w:before="0" w:after="240"/>
    </w:pPr>
    <w:rPr>
      <w:szCs w:val="20"/>
      <w:lang w:eastAsia="en-US"/>
    </w:rPr>
  </w:style>
  <w:style w:type="paragraph" w:styleId="ListBullet2">
    <w:name w:val="List Bullet 2"/>
    <w:basedOn w:val="Normal"/>
    <w:pPr>
      <w:numPr>
        <w:numId w:val="7"/>
      </w:numPr>
      <w:spacing w:after="240" w:line="240" w:lineRule="auto"/>
      <w:jc w:val="both"/>
    </w:pPr>
    <w:rPr>
      <w:rFonts w:ascii="Times New Roman" w:eastAsia="Times New Roman" w:hAnsi="Times New Roman" w:cs="Times New Roman"/>
      <w:sz w:val="24"/>
      <w:szCs w:val="20"/>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4"/>
    </w:rPr>
  </w:style>
  <w:style w:type="character" w:styleId="Emphasis">
    <w:name w:val="Emphasis"/>
    <w:qFormat/>
    <w:rPr>
      <w:i/>
      <w:iCs/>
    </w:rPr>
  </w:style>
  <w:style w:type="paragraph" w:customStyle="1" w:styleId="Text2">
    <w:name w:val="Text 2"/>
    <w:basedOn w:val="Normal"/>
    <w:pPr>
      <w:spacing w:before="120" w:after="120" w:line="240" w:lineRule="auto"/>
      <w:ind w:left="85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Number">
    <w:name w:val="List Number"/>
    <w:basedOn w:val="Normal"/>
    <w:pPr>
      <w:numPr>
        <w:numId w:val="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2">
    <w:name w:val="List Number (Level 2)"/>
    <w:basedOn w:val="Normal"/>
    <w:pPr>
      <w:numPr>
        <w:ilvl w:val="1"/>
        <w:numId w:val="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3">
    <w:name w:val="List Number (Level 3)"/>
    <w:basedOn w:val="Normal"/>
    <w:pPr>
      <w:numPr>
        <w:ilvl w:val="2"/>
        <w:numId w:val="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4">
    <w:name w:val="List Number (Level 4)"/>
    <w:basedOn w:val="Normal"/>
    <w:pPr>
      <w:numPr>
        <w:ilvl w:val="3"/>
        <w:numId w:val="9"/>
      </w:numPr>
      <w:spacing w:before="120" w:after="120" w:line="240" w:lineRule="auto"/>
      <w:jc w:val="both"/>
    </w:pPr>
    <w:rPr>
      <w:rFonts w:ascii="Times New Roman" w:eastAsia="Times New Roman" w:hAnsi="Times New Roman" w:cs="Times New Roman"/>
      <w:sz w:val="24"/>
      <w:szCs w:val="24"/>
      <w:lang w:eastAsia="de-DE"/>
    </w:rPr>
  </w:style>
  <w:style w:type="character" w:customStyle="1" w:styleId="ListDashChar">
    <w:name w:val="List Dash Char"/>
    <w:link w:val="ListDash"/>
    <w:rPr>
      <w:rFonts w:ascii="Times New Roman" w:eastAsia="Times New Roman" w:hAnsi="Times New Roman" w:cs="Times New Roman"/>
      <w:sz w:val="24"/>
      <w:szCs w:val="24"/>
      <w:lang w:eastAsia="de-DE"/>
    </w:rPr>
  </w:style>
  <w:style w:type="paragraph" w:customStyle="1" w:styleId="StyleManualHeading2Italic">
    <w:name w:val="Style Manual Heading 2 + Italic"/>
    <w:basedOn w:val="ManualHeading2"/>
    <w:autoRedefine/>
    <w:pPr>
      <w:spacing w:before="160" w:after="160"/>
      <w:ind w:left="851" w:hanging="851"/>
    </w:pPr>
    <w:rPr>
      <w:bCs/>
      <w:i/>
      <w:iCs/>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cs="Times New Roman"/>
      <w:sz w:val="24"/>
      <w:szCs w:val="24"/>
      <w:lang w:eastAsia="de-DE"/>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cs="Times New Roman"/>
      <w:sz w:val="24"/>
      <w:szCs w:val="24"/>
      <w:lang w:eastAsia="de-DE"/>
    </w:rPr>
  </w:style>
  <w:style w:type="paragraph" w:customStyle="1" w:styleId="NormalLeft">
    <w:name w:val="Normal Left"/>
    <w:basedOn w:val="Normal"/>
    <w:uiPriority w:val="99"/>
    <w:pPr>
      <w:spacing w:before="120" w:after="120" w:line="240" w:lineRule="auto"/>
    </w:pPr>
    <w:rPr>
      <w:rFonts w:ascii="Times New Roman" w:eastAsia="Times New Roman" w:hAnsi="Times New Roman" w:cs="Times New Roman"/>
      <w:sz w:val="24"/>
      <w:szCs w:val="24"/>
      <w:lang w:eastAsia="en-GB"/>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2">
    <w:name w:val="NumPar 2"/>
    <w:basedOn w:val="Normal"/>
    <w:next w:val="Normal"/>
    <w:pPr>
      <w:numPr>
        <w:ilvl w:val="1"/>
        <w:numId w:val="1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3">
    <w:name w:val="NumPar 3"/>
    <w:basedOn w:val="Normal"/>
    <w:next w:val="Normal"/>
    <w:pPr>
      <w:numPr>
        <w:ilvl w:val="2"/>
        <w:numId w:val="1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4">
    <w:name w:val="NumPar 4"/>
    <w:basedOn w:val="Normal"/>
    <w:next w:val="Normal"/>
    <w:pPr>
      <w:numPr>
        <w:ilvl w:val="3"/>
        <w:numId w:val="10"/>
      </w:numPr>
      <w:spacing w:before="120" w:after="120" w:line="240" w:lineRule="auto"/>
      <w:jc w:val="both"/>
    </w:pPr>
    <w:rPr>
      <w:rFonts w:ascii="Times New Roman" w:eastAsia="Times New Roman" w:hAnsi="Times New Roman" w:cs="Times New Roman"/>
      <w:sz w:val="24"/>
      <w:szCs w:val="24"/>
      <w:lang w:eastAsia="de-DE"/>
    </w:rPr>
  </w:style>
  <w:style w:type="character" w:styleId="CommentReference">
    <w:name w:val="annotation reference"/>
    <w:rPr>
      <w:sz w:val="16"/>
      <w:szCs w:val="16"/>
    </w:rPr>
  </w:style>
  <w:style w:type="paragraph" w:customStyle="1" w:styleId="Statut">
    <w:name w:val="Statut"/>
    <w:basedOn w:val="Normal"/>
    <w:next w:val="Typedudocument"/>
    <w:pPr>
      <w:spacing w:before="360" w:after="0" w:line="240" w:lineRule="auto"/>
      <w:jc w:val="center"/>
    </w:pPr>
    <w:rPr>
      <w:rFonts w:ascii="Times New Roman" w:eastAsia="Calibri"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CommentText">
    <w:name w:val="annotation text"/>
    <w:basedOn w:val="Normal"/>
    <w:link w:val="CommentTextChar"/>
    <w:unhideWhenUse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customStyle="1" w:styleId="Footnoter">
    <w:name w:val="Footnote r"/>
    <w:basedOn w:val="Normal"/>
    <w:pPr>
      <w:shd w:val="clear" w:color="auto" w:fill="F2F8FB"/>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hps">
    <w:name w:val="hps"/>
  </w:style>
  <w:style w:type="paragraph" w:customStyle="1" w:styleId="Tiret2">
    <w:name w:val="Tiret 2"/>
    <w:basedOn w:val="Normal"/>
    <w:pPr>
      <w:numPr>
        <w:numId w:val="11"/>
      </w:numPr>
      <w:spacing w:before="120" w:after="120" w:line="240" w:lineRule="auto"/>
      <w:jc w:val="both"/>
    </w:pPr>
    <w:rPr>
      <w:rFonts w:ascii="Times New Roman" w:eastAsia="Times New Roman" w:hAnsi="Times New Roman" w:cs="Times New Roman"/>
      <w:sz w:val="24"/>
      <w:lang w:eastAsia="en-GB"/>
    </w:rPr>
  </w:style>
  <w:style w:type="paragraph" w:styleId="ListNumber5">
    <w:name w:val="List Number 5"/>
    <w:basedOn w:val="Normal"/>
    <w:pPr>
      <w:numPr>
        <w:numId w:val="12"/>
      </w:numPr>
      <w:spacing w:after="0" w:line="240" w:lineRule="auto"/>
      <w:contextualSpacing/>
    </w:pPr>
    <w:rPr>
      <w:rFonts w:ascii="Times New Roman" w:eastAsia="Times New Roman" w:hAnsi="Times New Roman" w:cs="Times New Roman"/>
      <w:sz w:val="24"/>
      <w:szCs w:val="24"/>
      <w:lang w:eastAsia="en-GB"/>
    </w:rPr>
  </w:style>
  <w:style w:type="character" w:styleId="Strong">
    <w:name w:val="Strong"/>
    <w:basedOn w:val="DefaultParagraphFont"/>
    <w:qFormat/>
    <w:rPr>
      <w:b/>
      <w:bCs/>
    </w:rPr>
  </w:style>
  <w:style w:type="paragraph" w:styleId="ListBullet3">
    <w:name w:val="List Bullet 3"/>
    <w:basedOn w:val="Normal"/>
    <w:uiPriority w:val="99"/>
    <w:unhideWhenUsed/>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customStyle="1" w:styleId="CM4">
    <w:name w:val="CM4"/>
    <w:basedOn w:val="Normal"/>
    <w:next w:val="Normal"/>
    <w:uiPriority w:val="99"/>
    <w:pPr>
      <w:autoSpaceDE w:val="0"/>
      <w:autoSpaceDN w:val="0"/>
      <w:adjustRightInd w:val="0"/>
      <w:spacing w:after="0" w:line="240" w:lineRule="auto"/>
    </w:pPr>
    <w:rPr>
      <w:rFonts w:ascii="EUAlbertina" w:eastAsia="Times New Roman" w:hAnsi="EUAlbertina" w:cs="Times New Roman"/>
      <w:sz w:val="24"/>
      <w:szCs w:val="24"/>
    </w:rPr>
  </w:style>
  <w:style w:type="paragraph" w:customStyle="1" w:styleId="doc-ti">
    <w:name w:val="doc-ti"/>
    <w:basedOn w:val="Normal"/>
    <w:pPr>
      <w:spacing w:before="240" w:after="120" w:line="240" w:lineRule="auto"/>
      <w:jc w:val="center"/>
    </w:pPr>
    <w:rPr>
      <w:rFonts w:ascii="Times New Roman" w:eastAsia="Times New Roman" w:hAnsi="Times New Roman" w:cs="Times New Roman"/>
      <w:b/>
      <w:bCs/>
      <w:sz w:val="24"/>
      <w:szCs w:val="24"/>
      <w:lang w:eastAsia="en-GB"/>
    </w:rPr>
  </w:style>
  <w:style w:type="character" w:customStyle="1" w:styleId="SubtleEmphasis1">
    <w:name w:val="Subtle Emphasis1"/>
    <w:rPr>
      <w:i/>
      <w:iCs/>
      <w:color w:val="808080"/>
    </w:rPr>
  </w:style>
  <w:style w:type="character" w:customStyle="1" w:styleId="IntenseEmphasis1">
    <w:name w:val="Intense Emphasis1"/>
    <w:rPr>
      <w:b/>
      <w:bCs/>
      <w:i/>
      <w:iCs/>
      <w:color w:val="4F81BD"/>
    </w:rPr>
  </w:style>
  <w:style w:type="character" w:customStyle="1" w:styleId="SubtleReference1">
    <w:name w:val="Subtle Reference1"/>
    <w:rPr>
      <w:smallCaps/>
      <w:color w:val="C0504D"/>
      <w:u w:val="single"/>
    </w:rPr>
  </w:style>
  <w:style w:type="character" w:customStyle="1" w:styleId="IntenseReference1">
    <w:name w:val="Intense Reference1"/>
    <w:rPr>
      <w:b/>
      <w:bCs/>
      <w:smallCaps/>
      <w:color w:val="C0504D"/>
      <w:spacing w:val="5"/>
      <w:u w:val="single"/>
    </w:rPr>
  </w:style>
  <w:style w:type="character" w:customStyle="1" w:styleId="BookTitle1">
    <w:name w:val="Book Title1"/>
    <w:rPr>
      <w:b/>
      <w:bCs/>
      <w:smallCaps/>
      <w:spacing w:val="5"/>
    </w:rPr>
  </w:style>
  <w:style w:type="paragraph" w:customStyle="1" w:styleId="TOCHeading1">
    <w:name w:val="TOC Heading1"/>
    <w:basedOn w:val="Heading1"/>
    <w:next w:val="Normal"/>
    <w:uiPriority w:val="39"/>
    <w:pPr>
      <w:keepNext w:val="0"/>
      <w:keepLines/>
      <w:spacing w:before="480" w:after="0"/>
      <w:jc w:val="both"/>
      <w:outlineLvl w:val="9"/>
    </w:pPr>
    <w:rPr>
      <w:rFonts w:ascii="Cambria" w:hAnsi="Cambria" w:cs="Times New Roman"/>
      <w:color w:val="365F91"/>
      <w:kern w:val="0"/>
      <w:sz w:val="28"/>
      <w:szCs w:val="28"/>
      <w:lang w:eastAsia="en-US"/>
    </w:rPr>
  </w:style>
  <w:style w:type="character" w:customStyle="1" w:styleId="SubtleEmphasis2">
    <w:name w:val="Subtle Emphasis2"/>
    <w:rPr>
      <w:i/>
      <w:iCs/>
      <w:color w:val="808080"/>
    </w:rPr>
  </w:style>
  <w:style w:type="character" w:customStyle="1" w:styleId="IntenseEmphasis2">
    <w:name w:val="Intense Emphasis2"/>
    <w:rPr>
      <w:b/>
      <w:bCs/>
      <w:i/>
      <w:iCs/>
      <w:color w:val="4F81BD"/>
    </w:rPr>
  </w:style>
  <w:style w:type="character" w:customStyle="1" w:styleId="SubtleReference2">
    <w:name w:val="Subtle Reference2"/>
    <w:rPr>
      <w:smallCaps/>
      <w:color w:val="C0504D"/>
      <w:u w:val="single"/>
    </w:rPr>
  </w:style>
  <w:style w:type="character" w:customStyle="1" w:styleId="IntenseReference2">
    <w:name w:val="Intense Reference2"/>
    <w:rPr>
      <w:b/>
      <w:bCs/>
      <w:smallCaps/>
      <w:color w:val="C0504D"/>
      <w:spacing w:val="5"/>
      <w:u w:val="single"/>
    </w:rPr>
  </w:style>
  <w:style w:type="character" w:customStyle="1" w:styleId="BookTitle2">
    <w:name w:val="Book Title2"/>
    <w:rPr>
      <w:b/>
      <w:bCs/>
      <w:smallCaps/>
      <w:spacing w:val="5"/>
    </w:rPr>
  </w:style>
  <w:style w:type="paragraph" w:customStyle="1" w:styleId="TOCHeading2">
    <w:name w:val="TOC Heading2"/>
    <w:basedOn w:val="Heading1"/>
    <w:next w:val="Normal"/>
    <w:uiPriority w:val="39"/>
    <w:pPr>
      <w:keepNext w:val="0"/>
      <w:keepLines/>
      <w:spacing w:before="480" w:after="0"/>
      <w:jc w:val="both"/>
      <w:outlineLvl w:val="9"/>
    </w:pPr>
    <w:rPr>
      <w:rFonts w:ascii="Cambria" w:hAnsi="Cambria" w:cs="Times New Roman"/>
      <w:color w:val="365F91"/>
      <w:kern w:val="0"/>
      <w:sz w:val="28"/>
      <w:szCs w:val="28"/>
      <w:lang w:eastAsia="en-US"/>
    </w:rPr>
  </w:style>
  <w:style w:type="paragraph" w:styleId="Caption">
    <w:name w:val="caption"/>
    <w:basedOn w:val="Normal"/>
    <w:next w:val="Normal"/>
    <w:semiHidden/>
    <w:unhideWhenUsed/>
    <w:qFormat/>
    <w:pPr>
      <w:spacing w:after="200" w:line="240" w:lineRule="auto"/>
    </w:pPr>
    <w:rPr>
      <w:rFonts w:ascii="Times New Roman" w:eastAsia="Times New Roman" w:hAnsi="Times New Roman" w:cs="Times New Roman"/>
      <w:b/>
      <w:bCs/>
      <w:color w:val="5B9BD5" w:themeColor="accent1"/>
      <w:sz w:val="18"/>
      <w:szCs w:val="18"/>
    </w:rPr>
  </w:style>
  <w:style w:type="paragraph" w:styleId="Title">
    <w:name w:val="Title"/>
    <w:basedOn w:val="Normal"/>
    <w:link w:val="TitleChar"/>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link w:val="SubtitleChar"/>
    <w:qFormat/>
    <w:pPr>
      <w:numPr>
        <w:ilvl w:val="1"/>
      </w:numPr>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5B9BD5" w:themeColor="accent1"/>
      <w:spacing w:val="15"/>
      <w:sz w:val="24"/>
      <w:szCs w:val="24"/>
    </w:rPr>
  </w:style>
  <w:style w:type="paragraph" w:customStyle="1" w:styleId="agbullets">
    <w:name w:val="ag_bullets"/>
    <w:basedOn w:val="Normal"/>
    <w:qFormat/>
    <w:pPr>
      <w:numPr>
        <w:numId w:val="14"/>
      </w:numPr>
      <w:spacing w:after="0" w:line="240" w:lineRule="auto"/>
    </w:pPr>
    <w:rPr>
      <w:rFonts w:ascii="Times New Roman" w:eastAsia="Times New Roman" w:hAnsi="Times New Roman" w:cs="Times New Roman"/>
      <w:szCs w:val="20"/>
    </w:rPr>
  </w:style>
  <w:style w:type="paragraph" w:customStyle="1" w:styleId="agtabbullets">
    <w:name w:val="ag_tab_bullets"/>
    <w:basedOn w:val="Normal"/>
    <w:qFormat/>
    <w:pPr>
      <w:numPr>
        <w:numId w:val="15"/>
      </w:numPr>
      <w:spacing w:after="0" w:line="240" w:lineRule="auto"/>
      <w:jc w:val="both"/>
    </w:pPr>
    <w:rPr>
      <w:rFonts w:ascii="Times New Roman" w:eastAsia="Times New Roman" w:hAnsi="Times New Roman" w:cs="Times New Roman"/>
      <w:sz w:val="18"/>
      <w:szCs w:val="20"/>
    </w:rPr>
  </w:style>
  <w:style w:type="paragraph" w:customStyle="1" w:styleId="agfootnote">
    <w:name w:val="ag_footnote"/>
    <w:basedOn w:val="Normal"/>
    <w:qFormat/>
    <w:pPr>
      <w:spacing w:after="120" w:line="240" w:lineRule="auto"/>
      <w:jc w:val="both"/>
    </w:pPr>
    <w:rPr>
      <w:rFonts w:ascii="Times New Roman" w:eastAsia="Times New Roman" w:hAnsi="Times New Roman" w:cs="Times New Roman"/>
      <w:sz w:val="16"/>
      <w:szCs w:val="20"/>
    </w:rPr>
  </w:style>
  <w:style w:type="numbering" w:customStyle="1" w:styleId="NoList1">
    <w:name w:val="No List1"/>
    <w:next w:val="NoList"/>
    <w:uiPriority w:val="99"/>
    <w:semiHidden/>
    <w:unhideWhenUsed/>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eur-lex.europa.eu/budget/www/index-lt.htm" TargetMode="Externa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AFB9-D057-4F75-9736-52D83D04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1062</Words>
  <Characters>5399</Characters>
  <Application>Microsoft Office Word</Application>
  <DocSecurity>0</DocSecurity>
  <Lines>284</Lines>
  <Paragraphs>230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SEILER Brigitte (SG)</cp:lastModifiedBy>
  <cp:revision>18</cp:revision>
  <dcterms:created xsi:type="dcterms:W3CDTF">2020-04-06T07:57:00Z</dcterms:created>
  <dcterms:modified xsi:type="dcterms:W3CDTF">2020-04-23T16:09:00Z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CP-035</vt:lpwstr>
  </property>
  <property fmtid="{D5CDD505-2E9C-101B-9397-08002B2CF9AE}" pid="7" name="Last edited using">
    <vt:lpwstr>LW 7.0, Build 20190717</vt:lpwstr>
  </property>
  <property fmtid="{D5CDD505-2E9C-101B-9397-08002B2CF9AE}" pid="8" name="Created using">
    <vt:lpwstr>LW 7.0, Build 20190717</vt:lpwstr>
  </property>
</Properties>
</file>