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CD170BF-04C6-40D6-AADC-C7173E2CCE9D" style="width:450.45pt;height:351.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u w:color="000000"/>
          <w:bdr w:val="nil"/>
        </w:rPr>
        <w:t>•</w:t>
      </w:r>
      <w:r>
        <w:rPr>
          <w:noProof/>
          <w:u w:color="000000"/>
          <w:bdr w:val="nil"/>
        </w:rPr>
        <w:tab/>
      </w:r>
      <w:r>
        <w:rPr>
          <w:noProof/>
        </w:rPr>
        <w:t>Przyczyny i cele wniosku</w:t>
      </w:r>
    </w:p>
    <w:p>
      <w:pPr>
        <w:rPr>
          <w:noProof/>
        </w:rPr>
      </w:pPr>
      <w:r>
        <w:rPr>
          <w:noProof/>
        </w:rPr>
        <w:t>Aby zagwarantować wystarczające i nieprzerwane dostawy niektórych towarów rolnych lub przemysłowych, których produkcja w Unii jest niewystarczająca lub nie istnieje, oraz aby zapobiec ewentualnym zakłóceniom na rynku tych produktów, rozporządzeniem Rady (UE) nr 1387/2013 (dalej zwanym „rozporządzeniem”) zawieszono, częściowo lub całkowicie, obowiązywanie niektórych ceł autonomicznych wspólnej taryfy celnej.</w:t>
      </w:r>
    </w:p>
    <w:p>
      <w:pPr>
        <w:rPr>
          <w:noProof/>
        </w:rPr>
      </w:pPr>
      <w:r>
        <w:rPr>
          <w:noProof/>
        </w:rPr>
        <w:t>Aby uwzględnić zapotrzebowanie przemysłu unijnego, rozporządzenie to jest aktualizowane co pół roku. Komisja, wspomagana przez Grupę ds. Aspektów Ekonomicznych Taryf Celnych, rozpatrzyła wszystkie wnioski o zawieszenie ceł autonomicznych złożone przez państwa członkowskie.</w:t>
      </w:r>
    </w:p>
    <w:p>
      <w:pPr>
        <w:rPr>
          <w:noProof/>
        </w:rPr>
      </w:pPr>
      <w:r>
        <w:rPr>
          <w:noProof/>
        </w:rPr>
        <w:t>Po rozpatrzeniu wniosków Komisja stwierdza, że zawieszenie ceł jest uzasadnione w przypadku niektórych nowych produktów niewymienionych obecnie w załączniku do rozporządzenia. W odniesieniu do niektórych innych produktów konieczna jest zmiana warunków w zakresie opisu produktu, klasyfikacji, stawek celnych, wymogu dotyczącego końcowego przeznaczenia lub terminu przewidzianego na obowiązkowy przegląd. Proponuje się wycofać produkty, w przypadku których zawieszenie ceł nie leży już w interesie gospodarczym Unii.</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Spójność z przepisami obowiązującymi w tej dziedzinie polityki</w:t>
      </w:r>
    </w:p>
    <w:p>
      <w:pPr>
        <w:rPr>
          <w:noProof/>
        </w:rPr>
      </w:pPr>
      <w:r>
        <w:rPr>
          <w:noProof/>
        </w:rPr>
        <w:t>Wniosek nie ma negatywnego wpływu na kraje korzystające z preferencyjnych umów handlowych z Unią ani na kraje kandydujące i potencjalne kraje kandydujące do takich preferencyjnych umów z Unią (np. ogólny system preferencji taryfowych, porozumienie handlowe z grupą państw Afryki, Karaibów i Pacyfiku oraz umowy o wolnym handlu).</w:t>
      </w:r>
    </w:p>
    <w:p>
      <w:pPr>
        <w:pStyle w:val="ManualHeading2"/>
        <w:rPr>
          <w:rFonts w:eastAsia="Arial Unicode MS"/>
          <w:noProof/>
        </w:rPr>
      </w:pPr>
      <w:r>
        <w:rPr>
          <w:noProof/>
          <w:u w:color="000000"/>
          <w:bdr w:val="nil"/>
        </w:rPr>
        <w:t>•</w:t>
      </w:r>
      <w:r>
        <w:rPr>
          <w:noProof/>
          <w:u w:color="000000"/>
          <w:bdr w:val="nil"/>
        </w:rPr>
        <w:tab/>
      </w:r>
      <w:r>
        <w:rPr>
          <w:noProof/>
        </w:rPr>
        <w:t>Spójność z innymi politykami Unii</w:t>
      </w:r>
    </w:p>
    <w:p>
      <w:pPr>
        <w:rPr>
          <w:noProof/>
        </w:rPr>
      </w:pPr>
      <w:r>
        <w:rPr>
          <w:noProof/>
        </w:rPr>
        <w:t>Wniosek jest zgodny z polityką Unii w obszarze rolnictwa, handlu, przedsiębiorstw, środowiska. rozwoju i stosunków zewnętrznych.</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u w:color="000000"/>
          <w:bdr w:val="nil"/>
        </w:rPr>
        <w:t>•</w:t>
      </w:r>
      <w:r>
        <w:rPr>
          <w:noProof/>
          <w:u w:color="000000"/>
          <w:bdr w:val="nil"/>
        </w:rPr>
        <w:tab/>
        <w:t>Podstawa prawna</w:t>
      </w:r>
    </w:p>
    <w:p>
      <w:pPr>
        <w:rPr>
          <w:noProof/>
        </w:rPr>
      </w:pPr>
      <w:r>
        <w:rPr>
          <w:noProof/>
        </w:rPr>
        <w:t>Podstawę prawną wniosku stanowi art. 31 Traktatu o funkcjonowaniu Unii Europejskiej (TFUE).</w:t>
      </w:r>
    </w:p>
    <w:p>
      <w:pPr>
        <w:pStyle w:val="ManualHeading2"/>
        <w:rPr>
          <w:rFonts w:eastAsia="Arial Unicode MS"/>
          <w:noProof/>
          <w:u w:color="000000"/>
          <w:bdr w:val="nil"/>
        </w:rPr>
      </w:pPr>
      <w:r>
        <w:rPr>
          <w:noProof/>
          <w:u w:color="000000"/>
          <w:bdr w:val="nil"/>
        </w:rPr>
        <w:t>•</w:t>
      </w:r>
      <w:r>
        <w:rPr>
          <w:noProof/>
          <w:u w:color="000000"/>
          <w:bdr w:val="nil"/>
        </w:rPr>
        <w:tab/>
        <w:t xml:space="preserve">Pomocniczość (w przypadku kompetencji niewyłącznych) </w:t>
      </w:r>
    </w:p>
    <w:p>
      <w:pPr>
        <w:rPr>
          <w:noProof/>
        </w:rPr>
      </w:pPr>
      <w:r>
        <w:rPr>
          <w:noProof/>
        </w:rPr>
        <w:t>Niniejszy wniosek wchodzi w zakres wyłącznych kompetencji Unii. Zasada pomocniczości nie ma zatem zastosowania.</w:t>
      </w:r>
    </w:p>
    <w:p>
      <w:pPr>
        <w:pStyle w:val="ManualHeading2"/>
        <w:rPr>
          <w:rFonts w:eastAsia="Arial Unicode MS"/>
          <w:noProof/>
          <w:u w:color="000000"/>
          <w:bdr w:val="nil"/>
        </w:rPr>
      </w:pPr>
      <w:r>
        <w:rPr>
          <w:noProof/>
          <w:u w:color="000000"/>
          <w:bdr w:val="nil"/>
        </w:rPr>
        <w:t>•</w:t>
      </w:r>
      <w:r>
        <w:rPr>
          <w:noProof/>
          <w:u w:color="000000"/>
          <w:bdr w:val="nil"/>
        </w:rPr>
        <w:tab/>
        <w:t>Proporcjonalność</w:t>
      </w:r>
    </w:p>
    <w:p>
      <w:pPr>
        <w:rPr>
          <w:noProof/>
        </w:rPr>
      </w:pPr>
      <w:r>
        <w:rPr>
          <w:noProof/>
        </w:rPr>
        <w:t>Wniosek jest zgodny z zasadą proporcjonalności. Zgodnie z komunikatem Komisji dotyczącym autonomicznych zawieszeń i kontyngentów taryfowych</w:t>
      </w:r>
      <w:r>
        <w:rPr>
          <w:rStyle w:val="FootnoteReference"/>
          <w:noProof/>
        </w:rPr>
        <w:footnoteReference w:id="2"/>
      </w:r>
      <w:r>
        <w:rPr>
          <w:noProof/>
        </w:rPr>
        <w:t xml:space="preserve"> przewidywane środki są zgodne z zasadami uproszczenia procedur obowiązujących podmioty prowadzące działalność w zakresie handlu zagranicznego. Niniejsze rozporządzenie nie wykracza poza to, co jest </w:t>
      </w:r>
      <w:r>
        <w:rPr>
          <w:noProof/>
        </w:rPr>
        <w:lastRenderedPageBreak/>
        <w:t>konieczne do osiągnięcia tych celów, zgodnie z art. 5 ust. 4 Traktatu o Unii Europejskiej (TUE).</w:t>
      </w:r>
    </w:p>
    <w:p>
      <w:pPr>
        <w:pStyle w:val="ManualHeading2"/>
        <w:rPr>
          <w:rFonts w:eastAsia="Arial Unicode MS"/>
          <w:noProof/>
          <w:u w:color="000000"/>
          <w:bdr w:val="nil"/>
        </w:rPr>
      </w:pPr>
      <w:r>
        <w:rPr>
          <w:noProof/>
          <w:u w:color="000000"/>
          <w:bdr w:val="nil"/>
        </w:rPr>
        <w:t>•</w:t>
      </w:r>
      <w:r>
        <w:rPr>
          <w:noProof/>
          <w:u w:color="000000"/>
          <w:bdr w:val="nil"/>
        </w:rPr>
        <w:tab/>
        <w:t>Wybór instrumentu</w:t>
      </w:r>
    </w:p>
    <w:p>
      <w:pPr>
        <w:rPr>
          <w:noProof/>
        </w:rPr>
      </w:pPr>
      <w:r>
        <w:rPr>
          <w:noProof/>
        </w:rPr>
        <w:t>Zgodnie z art. 31 TFUE „Rada określa cła wspólnej taryfy celnej, stanowiąc na wniosek Komisji”. Odpowiednim instrumentem jest zatem rozporządzenie Rady.</w:t>
      </w:r>
    </w:p>
    <w:p>
      <w:pPr>
        <w:pStyle w:val="ManualHeading1"/>
        <w:rPr>
          <w:noProof/>
        </w:rPr>
      </w:pPr>
      <w:r>
        <w:rPr>
          <w:noProof/>
        </w:rPr>
        <w:t>3.</w:t>
      </w:r>
      <w:r>
        <w:rPr>
          <w:noProof/>
        </w:rPr>
        <w:tab/>
        <w:t xml:space="preserve">WYNIKI OCEN </w:t>
      </w:r>
      <w:r>
        <w:rPr>
          <w:i/>
          <w:iCs/>
          <w:noProof/>
        </w:rPr>
        <w:t>EX POST</w:t>
      </w:r>
      <w:r>
        <w:rPr>
          <w:noProof/>
        </w:rPr>
        <w:t>, KONSULTACJI Z ZAINTERESOWANYMI STRONAMI I OCEN SKUTKÓW</w:t>
      </w:r>
    </w:p>
    <w:p>
      <w:pPr>
        <w:pStyle w:val="ManualHeading2"/>
        <w:rPr>
          <w:rFonts w:eastAsia="Arial Unicode MS"/>
          <w:noProof/>
          <w:u w:color="000000"/>
          <w:bdr w:val="nil"/>
        </w:rPr>
      </w:pPr>
      <w:r>
        <w:rPr>
          <w:noProof/>
          <w:u w:color="000000"/>
          <w:bdr w:val="nil"/>
        </w:rPr>
        <w:t>•</w:t>
      </w:r>
      <w:r>
        <w:rPr>
          <w:noProof/>
          <w:u w:color="000000"/>
          <w:bdr w:val="nil"/>
        </w:rPr>
        <w:tab/>
        <w:t xml:space="preserve">Oceny </w:t>
      </w:r>
      <w:r>
        <w:rPr>
          <w:i/>
          <w:iCs/>
          <w:noProof/>
          <w:u w:color="000000"/>
          <w:bdr w:val="nil"/>
        </w:rPr>
        <w:t>ex post</w:t>
      </w:r>
      <w:r>
        <w:rPr>
          <w:noProof/>
          <w:u w:color="000000"/>
          <w:bdr w:val="nil"/>
        </w:rPr>
        <w:t>/oceny adekwatności obowiązującego prawodawstwa</w:t>
      </w:r>
    </w:p>
    <w:p>
      <w:pPr>
        <w:rPr>
          <w:noProof/>
        </w:rPr>
      </w:pPr>
      <w:r>
        <w:rPr>
          <w:noProof/>
        </w:rPr>
        <w:t>System autonomicznych zawieszeń był przedmiotem badania oceniającego przeprowadzonego w 2013 r. W wyniku oceny stwierdzono, że główna idea systemu wciąż jest aktualna. Oszczędności kosztów dla przedsiębiorstw UE dokonujących przywozu w ramach systemu mogą być znaczne. Co więcej, w zależności od produktu, przedsiębiorstwa i branży oszczędności te mogą przynieść szersze korzyści, takie jak zwiększenie konkurencyjności, wydajniejsze metody produkcji i tworzenie lub utrzymanie miejsc pracy w Unii. Szczegółowe informacje na temat oszczędności wynikających z niniejszego rozporządzenia można znaleźć w dołączonej ocenie skutków finansowych.</w:t>
      </w:r>
    </w:p>
    <w:p>
      <w:pPr>
        <w:pStyle w:val="ManualHeading2"/>
        <w:rPr>
          <w:rFonts w:eastAsia="Arial Unicode MS"/>
          <w:noProof/>
          <w:u w:color="000000"/>
          <w:bdr w:val="nil"/>
        </w:rPr>
      </w:pPr>
      <w:r>
        <w:rPr>
          <w:noProof/>
          <w:u w:color="000000"/>
          <w:bdr w:val="nil"/>
        </w:rPr>
        <w:t>•</w:t>
      </w:r>
      <w:r>
        <w:rPr>
          <w:noProof/>
          <w:u w:color="000000"/>
          <w:bdr w:val="nil"/>
        </w:rPr>
        <w:tab/>
        <w:t>Konsultacje z zainteresowanymi stronami</w:t>
      </w:r>
    </w:p>
    <w:p>
      <w:pPr>
        <w:rPr>
          <w:rFonts w:eastAsia="Calibri"/>
          <w:noProof/>
        </w:rPr>
      </w:pPr>
      <w:r>
        <w:rPr>
          <w:noProof/>
        </w:rPr>
        <w:t>Komisja przeprowadziła ocenę niniejszego wniosku przy wsparciu ze strony Grupy ds. Aspektów Ekonomicznych Taryf Celnych, w skład której wchodzą przedstawiciele wszystkich państw członkowskich oraz Turcji. Grupa ta odbyła trzy spotkania, zanim uzgodniono zmiany przewidziane w niniejszym wniosku.</w:t>
      </w:r>
    </w:p>
    <w:p>
      <w:pPr>
        <w:rPr>
          <w:rFonts w:eastAsia="Calibri"/>
          <w:noProof/>
        </w:rPr>
      </w:pPr>
      <w:r>
        <w:rPr>
          <w:noProof/>
        </w:rPr>
        <w:t>Starannie oceniła każdy wniosek (dodanie, poprawkę lub skreślenie). Grupa zbadała każdy przypadek w szczególności pod kątem tego, czy nie spowoduje on szkody dla producentów unijnych i czy przyczyni się on do zwiększenia i wzmocnienia konkurencyjności produkcji unijnej. Członkowie Grupy ds. Aspektów Ekonomicznych Taryf Celnych przeprowadzili ocenę w drodze dyskusji, zaś państwa członkowskie odbyły konsultacje z odpowiednimi branżami, stowarzyszeniami, izbami handlowymi i innymi zainteresowanymi stronami.</w:t>
      </w:r>
    </w:p>
    <w:p>
      <w:pPr>
        <w:rPr>
          <w:noProof/>
        </w:rPr>
      </w:pPr>
      <w:r>
        <w:rPr>
          <w:noProof/>
        </w:rPr>
        <w:t>Wszystkie wymienione zawieszenia ceł były przedmiotem porozumień lub kompromisów osiągniętych podczas dyskusji, które odbyły się w Grupie ds. Aspektów Ekonomicznych Taryf Celnych. Nie wskazano żadnych potencjalnie poważnych zagrożeń, które mogłyby mieć nieodwracalne skutki.</w:t>
      </w:r>
    </w:p>
    <w:p>
      <w:pPr>
        <w:pStyle w:val="ManualHeading2"/>
        <w:rPr>
          <w:rFonts w:eastAsia="Arial Unicode MS"/>
          <w:noProof/>
          <w:u w:color="000000"/>
          <w:bdr w:val="nil"/>
        </w:rPr>
      </w:pPr>
      <w:r>
        <w:rPr>
          <w:noProof/>
          <w:u w:color="000000"/>
          <w:bdr w:val="nil"/>
        </w:rPr>
        <w:t>•</w:t>
      </w:r>
      <w:r>
        <w:rPr>
          <w:noProof/>
          <w:u w:color="000000"/>
          <w:bdr w:val="nil"/>
        </w:rPr>
        <w:tab/>
        <w:t>Ocena skutków</w:t>
      </w:r>
    </w:p>
    <w:p>
      <w:pPr>
        <w:rPr>
          <w:noProof/>
        </w:rPr>
      </w:pPr>
      <w:r>
        <w:rPr>
          <w:noProof/>
        </w:rPr>
        <w:t>Proponowana zmiana ma charakter czysto techniczny i dotyczy wyłącznie zakresu zawieszeń wymienionych w załączniku do rozporządzenia Rady (UE) nr 1387/2013. Nie przeprowadzono zatem oceny skutków dla niniejszego wniosku.</w:t>
      </w:r>
    </w:p>
    <w:p>
      <w:pPr>
        <w:pStyle w:val="ManualHeading2"/>
        <w:rPr>
          <w:rFonts w:eastAsia="Arial Unicode MS"/>
          <w:noProof/>
          <w:u w:color="000000"/>
          <w:bdr w:val="nil"/>
        </w:rPr>
      </w:pPr>
      <w:r>
        <w:rPr>
          <w:noProof/>
          <w:u w:color="000000"/>
          <w:bdr w:val="nil"/>
        </w:rPr>
        <w:t>•</w:t>
      </w:r>
      <w:r>
        <w:rPr>
          <w:noProof/>
          <w:u w:color="000000"/>
          <w:bdr w:val="nil"/>
        </w:rPr>
        <w:tab/>
        <w:t>Prawa podstawowe</w:t>
      </w:r>
    </w:p>
    <w:p>
      <w:pPr>
        <w:rPr>
          <w:noProof/>
        </w:rPr>
      </w:pPr>
      <w:r>
        <w:rPr>
          <w:noProof/>
        </w:rPr>
        <w:t>Wniosek nie ma wpływu na prawa podstawowe.</w:t>
      </w:r>
    </w:p>
    <w:p>
      <w:pPr>
        <w:pStyle w:val="ManualHeading1"/>
        <w:rPr>
          <w:noProof/>
        </w:rPr>
      </w:pPr>
      <w:r>
        <w:rPr>
          <w:noProof/>
        </w:rPr>
        <w:t>4.</w:t>
      </w:r>
      <w:r>
        <w:rPr>
          <w:noProof/>
        </w:rPr>
        <w:tab/>
        <w:t>WPŁYW NA BUDŻET</w:t>
      </w:r>
    </w:p>
    <w:p>
      <w:pPr>
        <w:rPr>
          <w:noProof/>
        </w:rPr>
      </w:pPr>
      <w:r>
        <w:rPr>
          <w:noProof/>
        </w:rPr>
        <w:t xml:space="preserve">Niniejszy wniosek nie ma wpływu finansowego na wydatki, lecz ma wpływ finansowy na dochody. Niepobrane należności celne wyniosą łącznie około 7 mln EUR rocznie. Wpływ na tradycyjne zasoby własne budżetu wyniesie 5,6 mln EUR rocznie (czyli 80 % łącznej kwoty). </w:t>
      </w:r>
      <w:r>
        <w:rPr>
          <w:noProof/>
        </w:rPr>
        <w:lastRenderedPageBreak/>
        <w:t>Wpływ niniejszego wniosku na budżet określono w sposób bardziej szczegółowy w ocenie skutków finansowych regulacji.</w:t>
      </w:r>
    </w:p>
    <w:p>
      <w:pPr>
        <w:rPr>
          <w:noProof/>
        </w:rPr>
      </w:pPr>
      <w:r>
        <w:rPr>
          <w:noProof/>
        </w:rPr>
        <w:t>Utrata dochodów w zakresie tradycyjnych zasobów własnych zostanie zrekompensowana ze składek państw członkowskich opartych na dochodzie narodowym brutto (DNB).</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u w:color="000000"/>
          <w:bdr w:val="nil"/>
        </w:rPr>
        <w:t>•</w:t>
      </w:r>
      <w:r>
        <w:rPr>
          <w:noProof/>
          <w:u w:color="000000"/>
          <w:bdr w:val="nil"/>
        </w:rPr>
        <w:tab/>
        <w:t>Plany wdrożenia i monitorowanie, ocena i sprawozdania</w:t>
      </w:r>
    </w:p>
    <w:p>
      <w:pPr>
        <w:rPr>
          <w:noProof/>
        </w:rPr>
      </w:pPr>
      <w:r>
        <w:rPr>
          <w:noProof/>
        </w:rPr>
        <w:t>Proponowane środki są administrowane w ramach Zintegrowanej Taryfy Unii Europejskiej (TARIC) i są stosowane przez organy celne państw członkowskich.</w:t>
      </w:r>
    </w:p>
    <w:p>
      <w:pPr>
        <w:rPr>
          <w:noProof/>
        </w:rPr>
        <w:sectPr>
          <w:footerReference w:type="default" r:id="rId11"/>
          <w:footerReference w:type="first" r:id="rId12"/>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2020/0062 (NLE)</w:t>
      </w:r>
    </w:p>
    <w:p>
      <w:pPr>
        <w:pStyle w:val="Statut"/>
        <w:rPr>
          <w:noProof/>
        </w:rPr>
      </w:pPr>
      <w:r>
        <w:rPr>
          <w:noProof/>
        </w:rPr>
        <w:t>Wniosek</w:t>
      </w:r>
    </w:p>
    <w:p>
      <w:pPr>
        <w:pStyle w:val="Typedudocument"/>
        <w:rPr>
          <w:noProof/>
        </w:rPr>
      </w:pPr>
      <w:r>
        <w:rPr>
          <w:noProof/>
        </w:rPr>
        <w:t>ROZPORZĄDZENIE RADY</w:t>
      </w:r>
    </w:p>
    <w:p>
      <w:pPr>
        <w:pStyle w:val="Titreobjet"/>
        <w:rPr>
          <w:noProof/>
        </w:rPr>
      </w:pPr>
      <w:r>
        <w:rPr>
          <w:noProof/>
        </w:rPr>
        <w:t>zmieniające rozporządzenie (UE) nr 1387/2013 zawieszające cła autonomiczne wspólnej taryfy celnej na niektóre produkty rolne i przemysłowe</w:t>
      </w:r>
    </w:p>
    <w:p>
      <w:pPr>
        <w:pStyle w:val="Institutionquiagit"/>
        <w:rPr>
          <w:noProof/>
        </w:rPr>
      </w:pPr>
      <w:r>
        <w:rPr>
          <w:noProof/>
        </w:rPr>
        <w:t>RADA UNII EUROPEJSKIEJ,</w:t>
      </w:r>
    </w:p>
    <w:p>
      <w:pPr>
        <w:rPr>
          <w:noProof/>
        </w:rPr>
      </w:pPr>
      <w:r>
        <w:rPr>
          <w:noProof/>
        </w:rPr>
        <w:t>uwzględniając Traktat o funkcjonowaniu Unii Europejskiej, w szczególności jego art. 31,</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Aby zapewnić wystarczające i nieprzerwane dostawy niektórych produktów rolnych i przemysłowych, które są niedostępne w Unii, i tym samym uniknąć zakłóceń na rynku tych produktów, rozporządzeniem Rady (UE) nr 1387/2013</w:t>
      </w:r>
      <w:r>
        <w:rPr>
          <w:rStyle w:val="FootnoteReference"/>
          <w:noProof/>
        </w:rPr>
        <w:footnoteReference w:id="3"/>
      </w:r>
      <w:r>
        <w:rPr>
          <w:noProof/>
        </w:rPr>
        <w:t xml:space="preserve"> zawieszono cła wspólnej taryfy celnej (WTC) rodzaju, o którym mowa w art. 56 ust. 2 lit. c) rozporządzenia Parlamentu Europejskiego i Rady (UE) nr 952/2013 ustanawiającego unijny kodeks celny</w:t>
      </w:r>
      <w:r>
        <w:rPr>
          <w:rStyle w:val="FootnoteReference"/>
          <w:noProof/>
        </w:rPr>
        <w:footnoteReference w:id="4"/>
      </w:r>
      <w:r>
        <w:rPr>
          <w:noProof/>
        </w:rPr>
        <w:t xml:space="preserve"> („cła WTC”). Produkty te mogą być przywożone do Unii z zastosowaniem obniżonych lub zerowych stawek celnych.</w:t>
      </w:r>
    </w:p>
    <w:p>
      <w:pPr>
        <w:pStyle w:val="ManualConsidrant"/>
        <w:rPr>
          <w:noProof/>
        </w:rPr>
      </w:pPr>
      <w:r>
        <w:t>(2)</w:t>
      </w:r>
      <w:r>
        <w:tab/>
      </w:r>
      <w:r>
        <w:rPr>
          <w:noProof/>
        </w:rPr>
        <w:t xml:space="preserve">W przypadku niektórych produktów, które nie są wymienione w załączniku do rozporządzenia (UE) nr 1387/2013, unijna produkcja jest obecnie niewystarczająca lub nieistniejąca. W interesie Unii leży zatem całkowite zawieszenie ceł WTC na te produkty. </w:t>
      </w:r>
    </w:p>
    <w:p>
      <w:pPr>
        <w:pStyle w:val="ManualConsidrant"/>
        <w:rPr>
          <w:noProof/>
        </w:rPr>
      </w:pPr>
      <w:r>
        <w:t>(3)</w:t>
      </w:r>
      <w:r>
        <w:tab/>
      </w:r>
      <w:r>
        <w:rPr>
          <w:noProof/>
        </w:rPr>
        <w:t>W celu wspierania produkcji zintegrowanych baterii w Unii i zgodnie z komunikatem Komisji z dnia 17 maja 2018 r. pt. „Europa w ruchu – zrównoważona mobilność dla Europy: bezpieczna, połączona i ekologiczna”</w:t>
      </w:r>
      <w:r>
        <w:rPr>
          <w:rStyle w:val="FootnoteReference"/>
          <w:noProof/>
        </w:rPr>
        <w:footnoteReference w:id="5"/>
      </w:r>
      <w:r>
        <w:rPr>
          <w:noProof/>
        </w:rPr>
        <w:t xml:space="preserve"> należy przyznać częściowe zawieszenie ceł WTC na niektóre produkty niewymienione w załączniku do rozporządzenia (UE) nr 1387/2013. Ponadto w odniesieniu do niektórych produktów, objętych obecnie całkowitym zawieszeniem ceł, należy przyznać jedynie częściowe zawieszenie ceł WTC. Datą ustaloną dla obowiązkowego przeglądu tych zawieszeń powinien być dzień 31 grudnia 2020 r., aby umożliwić ich przegląd z uwzględnieniem zmian zachodzących w sektorze baterii w Unii.</w:t>
      </w:r>
    </w:p>
    <w:p>
      <w:pPr>
        <w:pStyle w:val="ManualConsidrant"/>
        <w:rPr>
          <w:noProof/>
        </w:rPr>
      </w:pPr>
      <w:r>
        <w:t>(4)</w:t>
      </w:r>
      <w:r>
        <w:tab/>
      </w:r>
      <w:r>
        <w:rPr>
          <w:noProof/>
        </w:rPr>
        <w:t>W odniesieniu do listy kandydackiej, o której mowa w art. 59 rozporządzenia (WE) nr 1907/2006 Parlamentu Europejskiego i Rady</w:t>
      </w:r>
      <w:r>
        <w:rPr>
          <w:rStyle w:val="FootnoteReference"/>
          <w:noProof/>
        </w:rPr>
        <w:footnoteReference w:id="6"/>
      </w:r>
      <w:r>
        <w:rPr>
          <w:noProof/>
        </w:rPr>
        <w:t xml:space="preserve">, w przypadku produktów </w:t>
      </w:r>
      <w:r>
        <w:rPr>
          <w:noProof/>
        </w:rPr>
        <w:lastRenderedPageBreak/>
        <w:t xml:space="preserve">wymienionych na tej liście należy przyznać jedynie częściowe zawieszenie ceł WTC. Datą ustaloną dla obowiązkowego przeglądu tych zawieszeń powinien być dzień 31 grudnia 2021 r., aby umożliwić podmiotom gospodarczym zastąpienie takich produktów rozwiązaniami alternatywnymi. </w:t>
      </w:r>
    </w:p>
    <w:p>
      <w:pPr>
        <w:pStyle w:val="ManualConsidrant"/>
        <w:rPr>
          <w:noProof/>
        </w:rPr>
      </w:pPr>
      <w:r>
        <w:t>(5)</w:t>
      </w:r>
      <w:r>
        <w:tab/>
      </w:r>
      <w:r>
        <w:rPr>
          <w:noProof/>
        </w:rPr>
        <w:t>Opisy produktów, klasyfikacje oraz wymogi dotyczące końcowego przeznaczenia w przypadku niektórych zawieszeń ceł WTC wymienionych w załączniku do rozporządzenia (UE) nr 1387/2013 wymagają modyfikacji w celu uwzględnienia zmian technicznych wprowadzonych w tych produktach oraz tendencji gospodarczych na rynku.</w:t>
      </w:r>
    </w:p>
    <w:p>
      <w:pPr>
        <w:pStyle w:val="ManualConsidrant"/>
        <w:rPr>
          <w:noProof/>
        </w:rPr>
      </w:pPr>
      <w:r>
        <w:t>(6)</w:t>
      </w:r>
      <w:r>
        <w:tab/>
      </w:r>
      <w:r>
        <w:rPr>
          <w:noProof/>
        </w:rPr>
        <w:t>Utrzymanie niektórych zawieszeń ceł WTC dla niektórych produktów wymienionych w załączniku do rozporządzenia (UE) nr 1387/2013 nie leży już w interesie Unii. Zawieszenia dla tych produktów należy w związku z tym wycofać.</w:t>
      </w:r>
    </w:p>
    <w:p>
      <w:pPr>
        <w:pStyle w:val="ManualConsidrant"/>
        <w:rPr>
          <w:noProof/>
        </w:rPr>
      </w:pPr>
      <w:r>
        <w:t>(7)</w:t>
      </w:r>
      <w:r>
        <w:tab/>
      </w:r>
      <w:r>
        <w:rPr>
          <w:noProof/>
        </w:rPr>
        <w:t>Należy zatem odpowiednio zmienić rozporządzenie (UE) nr 1387/2013.</w:t>
      </w:r>
    </w:p>
    <w:p>
      <w:pPr>
        <w:pStyle w:val="ManualConsidrant"/>
        <w:rPr>
          <w:noProof/>
        </w:rPr>
      </w:pPr>
      <w:r>
        <w:t>(8)</w:t>
      </w:r>
      <w:r>
        <w:tab/>
      </w:r>
      <w:r>
        <w:rPr>
          <w:noProof/>
        </w:rPr>
        <w:t>Aby uniknąć jakichkolwiek zakłóceń w stosowaniu systemu autonomicznych zawieszeń i aby zapewnić zgodność z wytycznymi zawartymi w komunikacie Komisji z dnia 13 grudnia 2011 r. dotyczącym autonomicznych zawieszeń i kontyngentów taryfowych</w:t>
      </w:r>
      <w:r>
        <w:rPr>
          <w:rStyle w:val="FootnoteReference"/>
          <w:noProof/>
        </w:rPr>
        <w:footnoteReference w:id="7"/>
      </w:r>
      <w:r>
        <w:rPr>
          <w:noProof/>
        </w:rPr>
        <w:t>, zmiany przewidziane w niniejszym rozporządzeniu dotyczącym zawieszeń dla omawianych produktów należy stosować od dnia 1 lipca 2020 r. Rozporządzenie powinno zatem wejść w życie w trybie pilnym,</w:t>
      </w:r>
    </w:p>
    <w:p>
      <w:pPr>
        <w:pStyle w:val="Formuledadoption"/>
        <w:rPr>
          <w:noProof/>
        </w:rPr>
      </w:pPr>
      <w:r>
        <w:rPr>
          <w:noProof/>
        </w:rPr>
        <w:t>PRZYJMUJE NINIEJSZE ROZPORZĄDZENIE:</w:t>
      </w:r>
    </w:p>
    <w:p>
      <w:pPr>
        <w:pStyle w:val="Titrearticle"/>
        <w:rPr>
          <w:noProof/>
        </w:rPr>
      </w:pPr>
      <w:r>
        <w:rPr>
          <w:noProof/>
        </w:rPr>
        <w:t>Artykuł 1</w:t>
      </w:r>
    </w:p>
    <w:p>
      <w:pPr>
        <w:rPr>
          <w:noProof/>
        </w:rPr>
      </w:pPr>
      <w:r>
        <w:rPr>
          <w:noProof/>
        </w:rPr>
        <w:t>W załączniku do rozporządzenia (UE) nr 1387/2013 wprowadza się zmiany zgodnie z załącznikiem do niniejszego rozporządzenia.</w:t>
      </w:r>
    </w:p>
    <w:p>
      <w:pPr>
        <w:pStyle w:val="Titrearticle"/>
        <w:rPr>
          <w:noProof/>
        </w:rPr>
      </w:pPr>
      <w:r>
        <w:rPr>
          <w:noProof/>
        </w:rPr>
        <w:t>Artykuł 2</w:t>
      </w:r>
    </w:p>
    <w:p>
      <w:pPr>
        <w:rPr>
          <w:noProof/>
        </w:rPr>
      </w:pPr>
      <w:r>
        <w:rPr>
          <w:noProof/>
        </w:rPr>
        <w:t>Niniejsze rozporządzenie wchodzi w życie następnego dnia po jego opublikowaniu w </w:t>
      </w:r>
      <w:r>
        <w:rPr>
          <w:i/>
          <w:noProof/>
        </w:rPr>
        <w:t>Dzienniku Urzędowym Unii Europejskiej</w:t>
      </w:r>
      <w:r>
        <w:rPr>
          <w:noProof/>
        </w:rPr>
        <w:t xml:space="preserve">. </w:t>
      </w:r>
    </w:p>
    <w:p>
      <w:pPr>
        <w:rPr>
          <w:noProof/>
        </w:rPr>
      </w:pPr>
      <w:r>
        <w:rPr>
          <w:noProof/>
        </w:rPr>
        <w:t>Niniejsze rozporządzenie stosuje się od dnia 1 lipca 2020 r.</w:t>
      </w:r>
    </w:p>
    <w:p>
      <w:pPr>
        <w:pStyle w:val="Applicationdirecte"/>
        <w:rPr>
          <w:noProof/>
        </w:rPr>
      </w:pPr>
      <w:r>
        <w:rPr>
          <w:noProof/>
        </w:rPr>
        <w:t>Niniejsze rozporządzenie wiąże w całości i jest bezpośrednio stosowane we wszystkich państwach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OCENA SKUTKÓW FINANSOWYCH REGULACJI</w:t>
      </w:r>
    </w:p>
    <w:p>
      <w:pPr>
        <w:pStyle w:val="ManualHeading1"/>
        <w:rPr>
          <w:bCs/>
          <w:noProof/>
          <w:szCs w:val="24"/>
        </w:rPr>
      </w:pPr>
      <w:r>
        <w:t>1.</w:t>
      </w:r>
      <w:r>
        <w:tab/>
      </w:r>
      <w:r>
        <w:rPr>
          <w:noProof/>
        </w:rPr>
        <w:t>1. TYTUŁ WNIOSKU:</w:t>
      </w:r>
    </w:p>
    <w:p>
      <w:pPr>
        <w:pStyle w:val="Text1"/>
        <w:rPr>
          <w:noProof/>
        </w:rPr>
      </w:pPr>
      <w:r>
        <w:rPr>
          <w:noProof/>
        </w:rPr>
        <w:t>Rozporządzenie Rady zmieniające rozporządzenie (UE) nr 1387/2013 zawieszające cła autonomiczne wspólnej taryfy celnej na niektóre produkty rolne i przemysłowe</w:t>
      </w:r>
    </w:p>
    <w:p>
      <w:pPr>
        <w:pStyle w:val="ManualHeading1"/>
        <w:rPr>
          <w:noProof/>
          <w:szCs w:val="24"/>
        </w:rPr>
      </w:pPr>
      <w:r>
        <w:t>2.</w:t>
      </w:r>
      <w:r>
        <w:tab/>
      </w:r>
      <w:r>
        <w:rPr>
          <w:noProof/>
        </w:rPr>
        <w:t>LINIE BUDŻETOWE:</w:t>
      </w:r>
    </w:p>
    <w:p>
      <w:pPr>
        <w:pStyle w:val="Text1"/>
        <w:rPr>
          <w:noProof/>
        </w:rPr>
      </w:pPr>
      <w:r>
        <w:rPr>
          <w:noProof/>
        </w:rPr>
        <w:t>Rozdział i artykuł: rozdział 12, art. 120</w:t>
      </w:r>
    </w:p>
    <w:p>
      <w:pPr>
        <w:pStyle w:val="Text1"/>
        <w:rPr>
          <w:noProof/>
        </w:rPr>
      </w:pPr>
      <w:r>
        <w:rPr>
          <w:noProof/>
        </w:rPr>
        <w:t>Kwota zapisana w budżecie na 2020 r.: 22 156 900 000 EUR</w:t>
      </w:r>
    </w:p>
    <w:p>
      <w:pPr>
        <w:pStyle w:val="ManualHeading1"/>
        <w:rPr>
          <w:bCs/>
          <w:noProof/>
          <w:szCs w:val="24"/>
        </w:rPr>
      </w:pPr>
      <w:r>
        <w:t>3.</w:t>
      </w:r>
      <w:r>
        <w:tab/>
      </w:r>
      <w:r>
        <w:rPr>
          <w:noProof/>
        </w:rPr>
        <w:t>WPŁYW FINANSOWY</w:t>
      </w:r>
    </w:p>
    <w:p>
      <w:pPr>
        <w:pStyle w:val="Text1"/>
        <w:rPr>
          <w:noProof/>
        </w:rPr>
      </w:pPr>
      <w:r>
        <w:rPr>
          <w:noProof/>
        </w:rPr>
        <w:sym w:font="Wingdings" w:char="F0A8"/>
      </w:r>
      <w:r>
        <w:rPr>
          <w:noProof/>
        </w:rPr>
        <w:tab/>
        <w:t>Wniosek nie ma wpływu finansowego</w:t>
      </w:r>
    </w:p>
    <w:p>
      <w:pPr>
        <w:pStyle w:val="Text1"/>
        <w:rPr>
          <w:noProof/>
        </w:rPr>
      </w:pPr>
      <w:r>
        <w:rPr>
          <w:noProof/>
        </w:rPr>
        <w:t>X Wniosek nie ma wpływu finansowego na wydatki, lecz ma wpływ finansowy na dochody – Wpływ ten jest następujący:</w:t>
      </w:r>
    </w:p>
    <w:p>
      <w:pPr>
        <w:jc w:val="right"/>
        <w:rPr>
          <w:noProof/>
        </w:rPr>
      </w:pPr>
      <w:r>
        <w:rPr>
          <w:noProof/>
        </w:rPr>
        <w:t>(w mln EUR do jednego miejsca po przecinku)</w:t>
      </w:r>
    </w:p>
    <w:tbl>
      <w:tblPr>
        <w:tblW w:w="83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2"/>
        <w:gridCol w:w="2880"/>
        <w:gridCol w:w="2070"/>
        <w:gridCol w:w="2070"/>
      </w:tblGrid>
      <w:tr>
        <w:trPr>
          <w:gridAfter w:val="2"/>
          <w:wAfter w:w="4140" w:type="dxa"/>
          <w:cantSplit/>
        </w:trPr>
        <w:tc>
          <w:tcPr>
            <w:tcW w:w="1322" w:type="dxa"/>
          </w:tcPr>
          <w:p>
            <w:pPr>
              <w:spacing w:before="0" w:after="0"/>
              <w:jc w:val="left"/>
              <w:rPr>
                <w:noProof/>
                <w:snapToGrid w:val="0"/>
                <w:sz w:val="18"/>
              </w:rPr>
            </w:pPr>
          </w:p>
        </w:tc>
        <w:tc>
          <w:tcPr>
            <w:tcW w:w="2880" w:type="dxa"/>
          </w:tcPr>
          <w:p>
            <w:pPr>
              <w:spacing w:before="0" w:after="0"/>
              <w:jc w:val="left"/>
              <w:rPr>
                <w:noProof/>
                <w:snapToGrid w:val="0"/>
                <w:sz w:val="18"/>
              </w:rPr>
            </w:pPr>
          </w:p>
        </w:tc>
      </w:tr>
      <w:tr>
        <w:trPr>
          <w:cantSplit/>
        </w:trPr>
        <w:tc>
          <w:tcPr>
            <w:tcW w:w="1322" w:type="dxa"/>
          </w:tcPr>
          <w:p>
            <w:pPr>
              <w:spacing w:before="0" w:after="0"/>
              <w:jc w:val="left"/>
              <w:rPr>
                <w:noProof/>
                <w:snapToGrid w:val="0"/>
              </w:rPr>
            </w:pPr>
            <w:r>
              <w:rPr>
                <w:noProof/>
                <w:sz w:val="22"/>
              </w:rPr>
              <w:t>Linia budżetowa</w:t>
            </w:r>
          </w:p>
        </w:tc>
        <w:tc>
          <w:tcPr>
            <w:tcW w:w="2880" w:type="dxa"/>
          </w:tcPr>
          <w:p>
            <w:pPr>
              <w:spacing w:before="0" w:after="0"/>
              <w:jc w:val="center"/>
              <w:rPr>
                <w:noProof/>
                <w:snapToGrid w:val="0"/>
              </w:rPr>
            </w:pPr>
            <w:r>
              <w:rPr>
                <w:noProof/>
                <w:sz w:val="22"/>
              </w:rPr>
              <w:t>Dochody</w:t>
            </w:r>
          </w:p>
        </w:tc>
        <w:tc>
          <w:tcPr>
            <w:tcW w:w="2070" w:type="dxa"/>
            <w:shd w:val="clear" w:color="auto" w:fill="auto"/>
          </w:tcPr>
          <w:p>
            <w:pPr>
              <w:spacing w:before="0" w:after="0"/>
              <w:jc w:val="center"/>
              <w:rPr>
                <w:noProof/>
                <w:snapToGrid w:val="0"/>
              </w:rPr>
            </w:pPr>
            <w:r>
              <w:rPr>
                <w:noProof/>
                <w:sz w:val="22"/>
              </w:rPr>
              <w:t>Okres 6 miesięcy, od dnia dd/mm/rrrr</w:t>
            </w:r>
          </w:p>
        </w:tc>
        <w:tc>
          <w:tcPr>
            <w:tcW w:w="2070" w:type="dxa"/>
            <w:shd w:val="clear" w:color="auto" w:fill="auto"/>
          </w:tcPr>
          <w:p>
            <w:pPr>
              <w:spacing w:before="0" w:after="0"/>
              <w:jc w:val="center"/>
              <w:rPr>
                <w:noProof/>
                <w:snapToGrid w:val="0"/>
              </w:rPr>
            </w:pPr>
            <w:r>
              <w:rPr>
                <w:noProof/>
                <w:sz w:val="22"/>
              </w:rPr>
              <w:t>[Rok: druga połowa 2020 r.]</w:t>
            </w:r>
          </w:p>
        </w:tc>
      </w:tr>
      <w:tr>
        <w:trPr>
          <w:cantSplit/>
        </w:trPr>
        <w:tc>
          <w:tcPr>
            <w:tcW w:w="1322" w:type="dxa"/>
            <w:shd w:val="clear" w:color="auto" w:fill="auto"/>
          </w:tcPr>
          <w:p>
            <w:pPr>
              <w:spacing w:before="0" w:after="0"/>
              <w:jc w:val="left"/>
              <w:rPr>
                <w:noProof/>
              </w:rPr>
            </w:pPr>
            <w:r>
              <w:rPr>
                <w:noProof/>
                <w:sz w:val="22"/>
              </w:rPr>
              <w:t xml:space="preserve">Artykuł 120 </w:t>
            </w:r>
          </w:p>
          <w:p>
            <w:pPr>
              <w:spacing w:before="0" w:after="0"/>
              <w:jc w:val="left"/>
              <w:rPr>
                <w:noProof/>
                <w:snapToGrid w:val="0"/>
              </w:rPr>
            </w:pPr>
          </w:p>
        </w:tc>
        <w:tc>
          <w:tcPr>
            <w:tcW w:w="2880" w:type="dxa"/>
          </w:tcPr>
          <w:p>
            <w:pPr>
              <w:spacing w:before="0" w:after="0"/>
              <w:jc w:val="left"/>
              <w:rPr>
                <w:i/>
                <w:noProof/>
                <w:snapToGrid w:val="0"/>
              </w:rPr>
            </w:pPr>
            <w:r>
              <w:rPr>
                <w:i/>
                <w:noProof/>
                <w:sz w:val="22"/>
              </w:rPr>
              <w:t>Wpływ na zasoby własne</w:t>
            </w:r>
          </w:p>
        </w:tc>
        <w:tc>
          <w:tcPr>
            <w:tcW w:w="2070" w:type="dxa"/>
            <w:shd w:val="clear" w:color="auto" w:fill="auto"/>
          </w:tcPr>
          <w:p>
            <w:pPr>
              <w:spacing w:before="0" w:after="0"/>
              <w:jc w:val="left"/>
              <w:rPr>
                <w:noProof/>
                <w:snapToGrid w:val="0"/>
              </w:rPr>
            </w:pPr>
            <w:r>
              <w:rPr>
                <w:noProof/>
                <w:sz w:val="22"/>
              </w:rPr>
              <w:t xml:space="preserve">      01/07/2020</w:t>
            </w:r>
          </w:p>
        </w:tc>
        <w:tc>
          <w:tcPr>
            <w:tcW w:w="2070" w:type="dxa"/>
            <w:shd w:val="clear" w:color="auto" w:fill="auto"/>
          </w:tcPr>
          <w:p>
            <w:pPr>
              <w:spacing w:before="0" w:after="0"/>
              <w:jc w:val="center"/>
              <w:rPr>
                <w:noProof/>
                <w:snapToGrid w:val="0"/>
              </w:rPr>
            </w:pPr>
            <w:r>
              <w:rPr>
                <w:noProof/>
                <w:sz w:val="22"/>
              </w:rPr>
              <w:t>-2,8</w:t>
            </w:r>
          </w:p>
        </w:tc>
      </w:tr>
    </w:tbl>
    <w:p>
      <w:pPr>
        <w:rPr>
          <w:b/>
          <w:i/>
          <w:noProof/>
          <w:snapToGrid w:val="0"/>
        </w:rPr>
      </w:pPr>
    </w:p>
    <w:tbl>
      <w:tblPr>
        <w:tblW w:w="84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
        <w:gridCol w:w="1321"/>
        <w:gridCol w:w="823"/>
        <w:gridCol w:w="2144"/>
        <w:gridCol w:w="4106"/>
      </w:tblGrid>
      <w:tr>
        <w:trPr>
          <w:gridBefore w:val="1"/>
          <w:wBefore w:w="6" w:type="dxa"/>
          <w:cantSplit/>
        </w:trPr>
        <w:tc>
          <w:tcPr>
            <w:tcW w:w="8394" w:type="dxa"/>
            <w:gridSpan w:val="4"/>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r>
              <w:rPr>
                <w:noProof/>
                <w:sz w:val="22"/>
              </w:rPr>
              <w:t>Sytuacja po rozpoczęciu działania</w:t>
            </w:r>
          </w:p>
        </w:tc>
      </w:tr>
      <w:tr>
        <w:trPr>
          <w:gridBefore w:val="1"/>
          <w:wBefore w:w="6" w:type="dxa"/>
          <w:cantSplit/>
        </w:trPr>
        <w:tc>
          <w:tcPr>
            <w:tcW w:w="1321" w:type="dxa"/>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p>
        </w:tc>
        <w:tc>
          <w:tcPr>
            <w:tcW w:w="7073" w:type="dxa"/>
            <w:gridSpan w:val="3"/>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r>
              <w:rPr>
                <w:noProof/>
                <w:sz w:val="22"/>
              </w:rPr>
              <w:t>[lata 2020–2024]</w:t>
            </w:r>
          </w:p>
        </w:tc>
      </w:tr>
      <w:tr>
        <w:trPr>
          <w:gridBefore w:val="1"/>
          <w:wBefore w:w="6" w:type="dxa"/>
          <w:cantSplit/>
        </w:trPr>
        <w:tc>
          <w:tcPr>
            <w:tcW w:w="1321" w:type="dxa"/>
            <w:tcBorders>
              <w:top w:val="single" w:sz="4" w:space="0" w:color="auto"/>
              <w:left w:val="single" w:sz="4" w:space="0" w:color="auto"/>
              <w:bottom w:val="single" w:sz="4" w:space="0" w:color="auto"/>
              <w:right w:val="single" w:sz="4" w:space="0" w:color="auto"/>
            </w:tcBorders>
          </w:tcPr>
          <w:p>
            <w:pPr>
              <w:spacing w:line="276" w:lineRule="auto"/>
              <w:rPr>
                <w:noProof/>
                <w:szCs w:val="24"/>
              </w:rPr>
            </w:pPr>
            <w:r>
              <w:rPr>
                <w:noProof/>
                <w:sz w:val="22"/>
              </w:rPr>
              <w:t>Artykuł 120</w:t>
            </w:r>
          </w:p>
        </w:tc>
        <w:tc>
          <w:tcPr>
            <w:tcW w:w="7073" w:type="dxa"/>
            <w:gridSpan w:val="3"/>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r>
              <w:rPr>
                <w:noProof/>
                <w:sz w:val="22"/>
              </w:rPr>
              <w:t>-5,6/rok</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106" w:type="dxa"/>
        </w:trPr>
        <w:tc>
          <w:tcPr>
            <w:tcW w:w="21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pPr>
              <w:pStyle w:val="Text1"/>
              <w:rPr>
                <w:noProof/>
              </w:rPr>
            </w:pPr>
          </w:p>
        </w:tc>
        <w:tc>
          <w:tcPr>
            <w:tcW w:w="21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pPr>
              <w:pStyle w:val="Text1"/>
              <w:rPr>
                <w:noProof/>
              </w:rPr>
            </w:pPr>
          </w:p>
        </w:tc>
      </w:tr>
    </w:tbl>
    <w:p>
      <w:pPr>
        <w:pStyle w:val="Text1"/>
        <w:rPr>
          <w:noProof/>
        </w:rPr>
      </w:pPr>
      <w:r>
        <w:rPr>
          <w:noProof/>
        </w:rPr>
        <w:t>Załącznik III obejmuje 61 nowych produktów. Niepobrane należności celne odpowiadające tym zawieszeniom, obliczone na podstawie prognoz składających wnioski państw członkowskich na lata 2020–2024, wynoszą 6 mln EUR rocznie.</w:t>
      </w:r>
    </w:p>
    <w:p>
      <w:pPr>
        <w:pStyle w:val="Text1"/>
        <w:rPr>
          <w:noProof/>
        </w:rPr>
      </w:pPr>
      <w:r>
        <w:rPr>
          <w:noProof/>
        </w:rPr>
        <w:t>Z istniejących danych statystycznych za ubiegłe lata wynika jednak, że konieczne jest pomnożenie tej kwoty przez uśredniony współczynnik – szacowany na 1,8 – w celu uwzględnienia przywozu do innych państw członkowskich z zastosowaniem tych samych zawieszeń. Oznacza to niepobrane należności celne w wysokości ok. 10,8 mln EUR rocznie.</w:t>
      </w:r>
    </w:p>
    <w:p>
      <w:pPr>
        <w:pStyle w:val="Text1"/>
        <w:rPr>
          <w:noProof/>
        </w:rPr>
      </w:pPr>
      <w:r>
        <w:rPr>
          <w:noProof/>
        </w:rPr>
        <w:t>Zerowa stawka celna dla pięciu istniejących zawieszeń została podwyższona. Stanowi to wzrost pobieranych należności celnych o 0,6 mln EUR rocznie według szacunków na podstawie statystyk za 2019 r.</w:t>
      </w:r>
    </w:p>
    <w:p>
      <w:pPr>
        <w:pStyle w:val="Text1"/>
        <w:rPr>
          <w:noProof/>
        </w:rPr>
      </w:pPr>
      <w:r>
        <w:rPr>
          <w:noProof/>
        </w:rPr>
        <w:t>Z załącznika wycofano 19 produktów w związku z ponownym wprowadzeniem ceł. Stanowi to wzrost pobieranych należności celnych o 3,2 mln EUR rocznie według szacunków na podstawie statystyk za 2019 r.</w:t>
      </w:r>
    </w:p>
    <w:p>
      <w:pPr>
        <w:pStyle w:val="Text1"/>
        <w:rPr>
          <w:noProof/>
        </w:rPr>
      </w:pPr>
      <w:r>
        <w:rPr>
          <w:noProof/>
        </w:rPr>
        <w:t>Na podstawie powyższego wpływ na uszczuplenie dochodów w budżecie UE wynikający z niniejszego rozporządzenia szacuje się na 10,8 – 3,2 – 0,6 = 7 mln EUR (kwota brutto, z uwzględnieniem kosztów poboru) x 0,8 = 5,6 mln EUR rocznie w okresie od 1.07.2020 r. do 31.12.2024 r.</w:t>
      </w:r>
    </w:p>
    <w:p>
      <w:pPr>
        <w:pStyle w:val="ManualHeading1"/>
        <w:rPr>
          <w:bCs/>
          <w:noProof/>
          <w:szCs w:val="24"/>
        </w:rPr>
      </w:pPr>
      <w:r>
        <w:t>4.</w:t>
      </w:r>
      <w:r>
        <w:tab/>
      </w:r>
      <w:r>
        <w:rPr>
          <w:noProof/>
        </w:rPr>
        <w:t>ŚRODKI ZWALCZANIA NADUŻYĆ FINANSOWYCH</w:t>
      </w:r>
    </w:p>
    <w:p>
      <w:pPr>
        <w:pStyle w:val="Text1"/>
        <w:rPr>
          <w:noProof/>
        </w:rPr>
      </w:pPr>
      <w:r>
        <w:rPr>
          <w:noProof/>
        </w:rPr>
        <w:t>Kontrole końcowego przeznaczenia niektórych produktów objętych niniejszym rozporządzeniem Rady zostaną przeprowadzone zgodnie z art. 254 rozporządzenia Parlamentu Europejskiego i Rady (UE) nr 952/2013 z dnia 9 października 2013 r. ustanawiającego unijny kodeks celny.</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Malgun Gothic Semi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Dz.U. C 363 z 13.12.2011, s. 6.</w:t>
      </w:r>
    </w:p>
  </w:footnote>
  <w:footnote w:id="3">
    <w:p>
      <w:pPr>
        <w:pStyle w:val="FootnoteText"/>
      </w:pPr>
      <w:r>
        <w:rPr>
          <w:rStyle w:val="FootnoteReference"/>
        </w:rPr>
        <w:footnoteRef/>
      </w:r>
      <w:r>
        <w:tab/>
        <w:t>Rozporządzenie Rady (UE) nr </w:t>
      </w:r>
      <w:r>
        <w:rPr>
          <w:rStyle w:val="highlight"/>
        </w:rPr>
        <w:t>1387/2013</w:t>
      </w:r>
      <w:r>
        <w:t xml:space="preserve"> z dnia 17 grudnia 2013 r. zawieszające cła autonomiczne wspólnej taryfy celnej na niektóre produkty rolne i przemysłowe, oraz uchylające rozporządzenie (UE) nr 1344/2011 (Dz.U. L 354 z 28.12.2013, s. 201).</w:t>
      </w:r>
    </w:p>
  </w:footnote>
  <w:footnote w:id="4">
    <w:p>
      <w:pPr>
        <w:pStyle w:val="FootnoteText"/>
      </w:pPr>
      <w:r>
        <w:rPr>
          <w:rStyle w:val="FootnoteReference"/>
        </w:rPr>
        <w:footnoteRef/>
      </w:r>
      <w:r>
        <w:tab/>
        <w:t>Rozporządzenie Parlamentu Europejskiego i Rady (UE) nr 952/2013 z dnia 9 października 2013 r. ustanawiające unijny kodeks celny (Dz.U. L 269 z 10.10.2013, s. 1).</w:t>
      </w:r>
    </w:p>
  </w:footnote>
  <w:footnote w:id="5">
    <w:p>
      <w:pPr>
        <w:pStyle w:val="FootnoteText"/>
      </w:pPr>
      <w:r>
        <w:rPr>
          <w:rStyle w:val="FootnoteReference"/>
        </w:rPr>
        <w:footnoteRef/>
      </w:r>
      <w:r>
        <w:tab/>
        <w:t>COM(2018) 293 final.</w:t>
      </w:r>
    </w:p>
  </w:footnote>
  <w:footnote w:id="6">
    <w:p>
      <w:pPr>
        <w:pStyle w:val="FootnoteText"/>
      </w:pPr>
      <w:r>
        <w:rPr>
          <w:rStyle w:val="FootnoteReference"/>
        </w:rPr>
        <w:footnoteRef/>
      </w:r>
      <w:r>
        <w:tab/>
        <w:t>Rozporządzenie (WE) nr 1907/2006 Parlamentu Europejskiego i Rady z dnia 18 grudnia 2006 r. w sprawie rejestracji, oceny, udzielania zezwoleń i stosowanych ograniczeń w zakresie chemikaliów (REACH) i utworzenia Europejskiej Agencji Chemikaliów, zmieniające dyrektywę 1999/4/WE oraz uchylające rozporządzenie Rady (EWG) nr 793/93 i rozporządzenie Komisji (WE) nr 1488/94, jak również dyrektywę Rady 76/769/EWG i dyrektywy Komisji 91/155/EWG, 93/67/EWG i 2000/21/WE (Dz.U. L 396 z 30.12.2006, s. 1).</w:t>
      </w:r>
    </w:p>
  </w:footnote>
  <w:footnote w:id="7">
    <w:p>
      <w:pPr>
        <w:pStyle w:val="FootnoteText"/>
      </w:pPr>
      <w:r>
        <w:rPr>
          <w:rStyle w:val="FootnoteReference"/>
        </w:rPr>
        <w:footnoteRef/>
      </w:r>
      <w:r>
        <w:tab/>
        <w:t>Dz.U. C 363 z 13.12.2011, s.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059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D24B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52D1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B165FD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A8ED2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2"/>
  </w:num>
  <w:num w:numId="11">
    <w:abstractNumId w:val="24"/>
    <w:lvlOverride w:ilvl="0">
      <w:startOverride w:val="1"/>
    </w:lvlOverride>
  </w:num>
  <w:num w:numId="12">
    <w:abstractNumId w:val="1"/>
  </w:num>
  <w:num w:numId="13">
    <w:abstractNumId w:val="0"/>
  </w:num>
  <w:num w:numId="14">
    <w:abstractNumId w:val="18"/>
  </w:num>
  <w:num w:numId="15">
    <w:abstractNumId w:val="10"/>
  </w:num>
  <w:num w:numId="16">
    <w:abstractNumId w:val="21"/>
  </w:num>
  <w:num w:numId="17">
    <w:abstractNumId w:val="9"/>
  </w:num>
  <w:num w:numId="18">
    <w:abstractNumId w:val="11"/>
  </w:num>
  <w:num w:numId="19">
    <w:abstractNumId w:val="7"/>
  </w:num>
  <w:num w:numId="20">
    <w:abstractNumId w:val="20"/>
  </w:num>
  <w:num w:numId="21">
    <w:abstractNumId w:val="6"/>
  </w:num>
  <w:num w:numId="22">
    <w:abstractNumId w:val="12"/>
  </w:num>
  <w:num w:numId="23">
    <w:abstractNumId w:val="16"/>
  </w:num>
  <w:num w:numId="24">
    <w:abstractNumId w:val="17"/>
  </w:num>
  <w:num w:numId="25">
    <w:abstractNumId w:val="8"/>
  </w:num>
  <w:num w:numId="26">
    <w:abstractNumId w:val="15"/>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ttachedTemplate r:id="rId1"/>
  <w:revisionView w:markup="0"/>
  <w:defaultTabStop w:val="720"/>
  <w:hyphenationZone w:val="425"/>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4-21 12:05:4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CD170BF-04C6-40D6-AADC-C7173E2CCE9D"/>
    <w:docVar w:name="LW_COVERPAGE_TYPE" w:val="1"/>
    <w:docVar w:name="LW_CROSSREFERENCE" w:val="&lt;UNUSED&gt;"/>
    <w:docVar w:name="LW_DocType" w:val="COM"/>
    <w:docVar w:name="LW_EMISSION" w:val="24.4.2020"/>
    <w:docVar w:name="LW_EMISSION_ISODATE" w:val="2020-04-24"/>
    <w:docVar w:name="LW_EMISSION_LOCATION" w:val="BRX"/>
    <w:docVar w:name="LW_EMISSION_PREFIX" w:val="Bruksela, dnia "/>
    <w:docVar w:name="LW_EMISSION_SUFFIX" w:val=" r."/>
    <w:docVar w:name="LW_ID_DOCMODEL" w:val="SJ-016"/>
    <w:docVar w:name="LW_ID_DOCSIGNATURE" w:val="SJ-016"/>
    <w:docVar w:name="LW_ID_DOCSTRUCTURE" w:val="COM/PL/ORG"/>
    <w:docVar w:name="LW_ID_DOCTYPE" w:val="SJ-016"/>
    <w:docVar w:name="LW_ID_STATUT" w:val="SJ-016"/>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062"/>
    <w:docVar w:name="LW_REF.II.NEW.CP_YEAR" w:val="2020"/>
    <w:docVar w:name="LW_REF.INST.NEW" w:val="COM"/>
    <w:docVar w:name="LW_REF.INST.NEW_ADOPTED" w:val="final"/>
    <w:docVar w:name="LW_REF.INST.NEW_TEXT" w:val="(2020) 1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zmieniaj\u261?ce rozporz\u261?dzenie (UE) nr 1387/2013 zawieszaj\u261?ce c\u322?a autonomiczne wspólnej taryfy celnej na niektóre produkty rolne i przemys\u322?owe"/>
    <w:docVar w:name="LW_TYPE.DOC.CP" w:val="ROZPORZ\u260?DZEN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pPr>
      <w:numPr>
        <w:numId w:val="6"/>
      </w:numPr>
    </w:pPr>
    <w:rPr>
      <w:rFonts w:eastAsia="Times New Roman"/>
      <w:lang w:eastAsia="en-GB"/>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character" w:styleId="CommentReference">
    <w:name w:val="annotation reference"/>
    <w:rPr>
      <w:rFonts w:cs="Times New Roman"/>
      <w:sz w:val="16"/>
      <w:szCs w:val="16"/>
    </w:rPr>
  </w:style>
  <w:style w:type="paragraph" w:styleId="ListNumber2">
    <w:name w:val="List Number 2"/>
    <w:basedOn w:val="Normal"/>
    <w:pPr>
      <w:numPr>
        <w:numId w:val="10"/>
      </w:numPr>
      <w:contextualSpacing/>
    </w:pPr>
    <w:rPr>
      <w:rFonts w:eastAsia="Times New Roman"/>
      <w:lang w:eastAsia="en-GB"/>
    </w:rPr>
  </w:style>
  <w:style w:type="character" w:customStyle="1" w:styleId="highlight">
    <w:name w:val="highlight"/>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ListParagraph">
    <w:name w:val="List Paragraph"/>
    <w:basedOn w:val="Normal"/>
    <w:uiPriority w:val="34"/>
    <w:qFormat/>
    <w:pPr>
      <w:ind w:left="720"/>
      <w:contextualSpacing/>
    </w:pPr>
  </w:style>
  <w:style w:type="character" w:customStyle="1" w:styleId="super">
    <w:name w:val="super"/>
    <w:basedOn w:val="DefaultParagraphFon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l-PL"/>
    </w:rPr>
  </w:style>
  <w:style w:type="character" w:styleId="EndnoteReference">
    <w:name w:val="endnote reference"/>
    <w:basedOn w:val="DefaultParagraphFont"/>
    <w:uiPriority w:val="99"/>
    <w:semiHidden/>
    <w:unhideWhenUsed/>
    <w:rPr>
      <w:vertAlign w:val="superscript"/>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pPr>
      <w:numPr>
        <w:numId w:val="6"/>
      </w:numPr>
    </w:pPr>
    <w:rPr>
      <w:rFonts w:eastAsia="Times New Roman"/>
      <w:lang w:eastAsia="en-GB"/>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character" w:styleId="CommentReference">
    <w:name w:val="annotation reference"/>
    <w:rPr>
      <w:rFonts w:cs="Times New Roman"/>
      <w:sz w:val="16"/>
      <w:szCs w:val="16"/>
    </w:rPr>
  </w:style>
  <w:style w:type="paragraph" w:styleId="ListNumber2">
    <w:name w:val="List Number 2"/>
    <w:basedOn w:val="Normal"/>
    <w:pPr>
      <w:numPr>
        <w:numId w:val="10"/>
      </w:numPr>
      <w:contextualSpacing/>
    </w:pPr>
    <w:rPr>
      <w:rFonts w:eastAsia="Times New Roman"/>
      <w:lang w:eastAsia="en-GB"/>
    </w:rPr>
  </w:style>
  <w:style w:type="character" w:customStyle="1" w:styleId="highlight">
    <w:name w:val="highlight"/>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ListParagraph">
    <w:name w:val="List Paragraph"/>
    <w:basedOn w:val="Normal"/>
    <w:uiPriority w:val="34"/>
    <w:qFormat/>
    <w:pPr>
      <w:ind w:left="720"/>
      <w:contextualSpacing/>
    </w:pPr>
  </w:style>
  <w:style w:type="character" w:customStyle="1" w:styleId="super">
    <w:name w:val="super"/>
    <w:basedOn w:val="DefaultParagraphFon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l-PL"/>
    </w:rPr>
  </w:style>
  <w:style w:type="character" w:styleId="EndnoteReference">
    <w:name w:val="endnote reference"/>
    <w:basedOn w:val="DefaultParagraphFont"/>
    <w:uiPriority w:val="99"/>
    <w:semiHidden/>
    <w:unhideWhenUsed/>
    <w:rPr>
      <w:vertAlign w:val="superscript"/>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2610">
      <w:bodyDiv w:val="1"/>
      <w:marLeft w:val="0"/>
      <w:marRight w:val="0"/>
      <w:marTop w:val="0"/>
      <w:marBottom w:val="0"/>
      <w:divBdr>
        <w:top w:val="none" w:sz="0" w:space="0" w:color="auto"/>
        <w:left w:val="none" w:sz="0" w:space="0" w:color="auto"/>
        <w:bottom w:val="none" w:sz="0" w:space="0" w:color="auto"/>
        <w:right w:val="none" w:sz="0" w:space="0" w:color="auto"/>
      </w:divBdr>
      <w:divsChild>
        <w:div w:id="870608553">
          <w:marLeft w:val="0"/>
          <w:marRight w:val="0"/>
          <w:marTop w:val="0"/>
          <w:marBottom w:val="0"/>
          <w:divBdr>
            <w:top w:val="none" w:sz="0" w:space="0" w:color="auto"/>
            <w:left w:val="none" w:sz="0" w:space="0" w:color="auto"/>
            <w:bottom w:val="none" w:sz="0" w:space="0" w:color="auto"/>
            <w:right w:val="none" w:sz="0" w:space="0" w:color="auto"/>
          </w:divBdr>
          <w:divsChild>
            <w:div w:id="469858113">
              <w:marLeft w:val="0"/>
              <w:marRight w:val="0"/>
              <w:marTop w:val="0"/>
              <w:marBottom w:val="0"/>
              <w:divBdr>
                <w:top w:val="none" w:sz="0" w:space="0" w:color="auto"/>
                <w:left w:val="none" w:sz="0" w:space="0" w:color="auto"/>
                <w:bottom w:val="none" w:sz="0" w:space="0" w:color="auto"/>
                <w:right w:val="none" w:sz="0" w:space="0" w:color="auto"/>
              </w:divBdr>
              <w:divsChild>
                <w:div w:id="348458442">
                  <w:marLeft w:val="0"/>
                  <w:marRight w:val="0"/>
                  <w:marTop w:val="0"/>
                  <w:marBottom w:val="0"/>
                  <w:divBdr>
                    <w:top w:val="none" w:sz="0" w:space="0" w:color="auto"/>
                    <w:left w:val="none" w:sz="0" w:space="0" w:color="auto"/>
                    <w:bottom w:val="none" w:sz="0" w:space="0" w:color="auto"/>
                    <w:right w:val="none" w:sz="0" w:space="0" w:color="auto"/>
                  </w:divBdr>
                  <w:divsChild>
                    <w:div w:id="1439835553">
                      <w:marLeft w:val="1"/>
                      <w:marRight w:val="1"/>
                      <w:marTop w:val="0"/>
                      <w:marBottom w:val="0"/>
                      <w:divBdr>
                        <w:top w:val="none" w:sz="0" w:space="0" w:color="auto"/>
                        <w:left w:val="none" w:sz="0" w:space="0" w:color="auto"/>
                        <w:bottom w:val="none" w:sz="0" w:space="0" w:color="auto"/>
                        <w:right w:val="none" w:sz="0" w:space="0" w:color="auto"/>
                      </w:divBdr>
                      <w:divsChild>
                        <w:div w:id="1596787558">
                          <w:marLeft w:val="0"/>
                          <w:marRight w:val="0"/>
                          <w:marTop w:val="0"/>
                          <w:marBottom w:val="0"/>
                          <w:divBdr>
                            <w:top w:val="none" w:sz="0" w:space="0" w:color="auto"/>
                            <w:left w:val="none" w:sz="0" w:space="0" w:color="auto"/>
                            <w:bottom w:val="none" w:sz="0" w:space="0" w:color="auto"/>
                            <w:right w:val="none" w:sz="0" w:space="0" w:color="auto"/>
                          </w:divBdr>
                          <w:divsChild>
                            <w:div w:id="1005090943">
                              <w:marLeft w:val="0"/>
                              <w:marRight w:val="0"/>
                              <w:marTop w:val="0"/>
                              <w:marBottom w:val="360"/>
                              <w:divBdr>
                                <w:top w:val="none" w:sz="0" w:space="0" w:color="auto"/>
                                <w:left w:val="none" w:sz="0" w:space="0" w:color="auto"/>
                                <w:bottom w:val="none" w:sz="0" w:space="0" w:color="auto"/>
                                <w:right w:val="none" w:sz="0" w:space="0" w:color="auto"/>
                              </w:divBdr>
                              <w:divsChild>
                                <w:div w:id="956060776">
                                  <w:marLeft w:val="0"/>
                                  <w:marRight w:val="0"/>
                                  <w:marTop w:val="0"/>
                                  <w:marBottom w:val="0"/>
                                  <w:divBdr>
                                    <w:top w:val="none" w:sz="0" w:space="0" w:color="auto"/>
                                    <w:left w:val="none" w:sz="0" w:space="0" w:color="auto"/>
                                    <w:bottom w:val="none" w:sz="0" w:space="0" w:color="auto"/>
                                    <w:right w:val="none" w:sz="0" w:space="0" w:color="auto"/>
                                  </w:divBdr>
                                  <w:divsChild>
                                    <w:div w:id="992880060">
                                      <w:marLeft w:val="0"/>
                                      <w:marRight w:val="0"/>
                                      <w:marTop w:val="0"/>
                                      <w:marBottom w:val="0"/>
                                      <w:divBdr>
                                        <w:top w:val="none" w:sz="0" w:space="0" w:color="auto"/>
                                        <w:left w:val="none" w:sz="0" w:space="0" w:color="auto"/>
                                        <w:bottom w:val="none" w:sz="0" w:space="0" w:color="auto"/>
                                        <w:right w:val="none" w:sz="0" w:space="0" w:color="auto"/>
                                      </w:divBdr>
                                      <w:divsChild>
                                        <w:div w:id="1032998542">
                                          <w:marLeft w:val="0"/>
                                          <w:marRight w:val="0"/>
                                          <w:marTop w:val="0"/>
                                          <w:marBottom w:val="0"/>
                                          <w:divBdr>
                                            <w:top w:val="none" w:sz="0" w:space="0" w:color="auto"/>
                                            <w:left w:val="none" w:sz="0" w:space="0" w:color="auto"/>
                                            <w:bottom w:val="none" w:sz="0" w:space="0" w:color="auto"/>
                                            <w:right w:val="none" w:sz="0" w:space="0" w:color="auto"/>
                                          </w:divBdr>
                                          <w:divsChild>
                                            <w:div w:id="567107782">
                                              <w:marLeft w:val="0"/>
                                              <w:marRight w:val="0"/>
                                              <w:marTop w:val="0"/>
                                              <w:marBottom w:val="0"/>
                                              <w:divBdr>
                                                <w:top w:val="none" w:sz="0" w:space="0" w:color="auto"/>
                                                <w:left w:val="none" w:sz="0" w:space="0" w:color="auto"/>
                                                <w:bottom w:val="none" w:sz="0" w:space="0" w:color="auto"/>
                                                <w:right w:val="none" w:sz="0" w:space="0" w:color="auto"/>
                                              </w:divBdr>
                                              <w:divsChild>
                                                <w:div w:id="65037580">
                                                  <w:marLeft w:val="0"/>
                                                  <w:marRight w:val="0"/>
                                                  <w:marTop w:val="0"/>
                                                  <w:marBottom w:val="0"/>
                                                  <w:divBdr>
                                                    <w:top w:val="none" w:sz="0" w:space="0" w:color="auto"/>
                                                    <w:left w:val="none" w:sz="0" w:space="0" w:color="auto"/>
                                                    <w:bottom w:val="none" w:sz="0" w:space="0" w:color="auto"/>
                                                    <w:right w:val="none" w:sz="0" w:space="0" w:color="auto"/>
                                                  </w:divBdr>
                                                  <w:divsChild>
                                                    <w:div w:id="616373303">
                                                      <w:marLeft w:val="0"/>
                                                      <w:marRight w:val="0"/>
                                                      <w:marTop w:val="0"/>
                                                      <w:marBottom w:val="0"/>
                                                      <w:divBdr>
                                                        <w:top w:val="none" w:sz="0" w:space="0" w:color="auto"/>
                                                        <w:left w:val="none" w:sz="0" w:space="0" w:color="auto"/>
                                                        <w:bottom w:val="none" w:sz="0" w:space="0" w:color="auto"/>
                                                        <w:right w:val="none" w:sz="0" w:space="0" w:color="auto"/>
                                                      </w:divBdr>
                                                      <w:divsChild>
                                                        <w:div w:id="1683358307">
                                                          <w:marLeft w:val="0"/>
                                                          <w:marRight w:val="0"/>
                                                          <w:marTop w:val="0"/>
                                                          <w:marBottom w:val="0"/>
                                                          <w:divBdr>
                                                            <w:top w:val="none" w:sz="0" w:space="0" w:color="auto"/>
                                                            <w:left w:val="none" w:sz="0" w:space="0" w:color="auto"/>
                                                            <w:bottom w:val="none" w:sz="0" w:space="0" w:color="auto"/>
                                                            <w:right w:val="none" w:sz="0" w:space="0" w:color="auto"/>
                                                          </w:divBdr>
                                                          <w:divsChild>
                                                            <w:div w:id="1570731546">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sChild>
                                            </w:div>
                                          </w:divsChild>
                                        </w:div>
                                      </w:divsChild>
                                    </w:div>
                                  </w:divsChild>
                                </w:div>
                              </w:divsChild>
                            </w:div>
                          </w:divsChild>
                        </w:div>
                      </w:divsChild>
                    </w:div>
                  </w:divsChild>
                </w:div>
              </w:divsChild>
            </w:div>
          </w:divsChild>
        </w:div>
      </w:divsChild>
    </w:div>
    <w:div w:id="40443003">
      <w:bodyDiv w:val="1"/>
      <w:marLeft w:val="0"/>
      <w:marRight w:val="0"/>
      <w:marTop w:val="0"/>
      <w:marBottom w:val="0"/>
      <w:divBdr>
        <w:top w:val="none" w:sz="0" w:space="0" w:color="auto"/>
        <w:left w:val="none" w:sz="0" w:space="0" w:color="auto"/>
        <w:bottom w:val="none" w:sz="0" w:space="0" w:color="auto"/>
        <w:right w:val="none" w:sz="0" w:space="0" w:color="auto"/>
      </w:divBdr>
      <w:divsChild>
        <w:div w:id="123617481">
          <w:marLeft w:val="0"/>
          <w:marRight w:val="0"/>
          <w:marTop w:val="0"/>
          <w:marBottom w:val="0"/>
          <w:divBdr>
            <w:top w:val="none" w:sz="0" w:space="0" w:color="auto"/>
            <w:left w:val="none" w:sz="0" w:space="0" w:color="auto"/>
            <w:bottom w:val="none" w:sz="0" w:space="0" w:color="auto"/>
            <w:right w:val="none" w:sz="0" w:space="0" w:color="auto"/>
          </w:divBdr>
          <w:divsChild>
            <w:div w:id="1642466502">
              <w:marLeft w:val="0"/>
              <w:marRight w:val="0"/>
              <w:marTop w:val="0"/>
              <w:marBottom w:val="0"/>
              <w:divBdr>
                <w:top w:val="none" w:sz="0" w:space="0" w:color="auto"/>
                <w:left w:val="none" w:sz="0" w:space="0" w:color="auto"/>
                <w:bottom w:val="none" w:sz="0" w:space="0" w:color="auto"/>
                <w:right w:val="none" w:sz="0" w:space="0" w:color="auto"/>
              </w:divBdr>
              <w:divsChild>
                <w:div w:id="207497411">
                  <w:marLeft w:val="0"/>
                  <w:marRight w:val="0"/>
                  <w:marTop w:val="0"/>
                  <w:marBottom w:val="0"/>
                  <w:divBdr>
                    <w:top w:val="none" w:sz="0" w:space="0" w:color="auto"/>
                    <w:left w:val="none" w:sz="0" w:space="0" w:color="auto"/>
                    <w:bottom w:val="none" w:sz="0" w:space="0" w:color="auto"/>
                    <w:right w:val="none" w:sz="0" w:space="0" w:color="auto"/>
                  </w:divBdr>
                  <w:divsChild>
                    <w:div w:id="1970740336">
                      <w:marLeft w:val="1"/>
                      <w:marRight w:val="1"/>
                      <w:marTop w:val="0"/>
                      <w:marBottom w:val="0"/>
                      <w:divBdr>
                        <w:top w:val="none" w:sz="0" w:space="0" w:color="auto"/>
                        <w:left w:val="none" w:sz="0" w:space="0" w:color="auto"/>
                        <w:bottom w:val="none" w:sz="0" w:space="0" w:color="auto"/>
                        <w:right w:val="none" w:sz="0" w:space="0" w:color="auto"/>
                      </w:divBdr>
                      <w:divsChild>
                        <w:div w:id="1484588182">
                          <w:marLeft w:val="0"/>
                          <w:marRight w:val="0"/>
                          <w:marTop w:val="0"/>
                          <w:marBottom w:val="0"/>
                          <w:divBdr>
                            <w:top w:val="none" w:sz="0" w:space="0" w:color="auto"/>
                            <w:left w:val="none" w:sz="0" w:space="0" w:color="auto"/>
                            <w:bottom w:val="none" w:sz="0" w:space="0" w:color="auto"/>
                            <w:right w:val="none" w:sz="0" w:space="0" w:color="auto"/>
                          </w:divBdr>
                          <w:divsChild>
                            <w:div w:id="1671788007">
                              <w:marLeft w:val="0"/>
                              <w:marRight w:val="0"/>
                              <w:marTop w:val="0"/>
                              <w:marBottom w:val="360"/>
                              <w:divBdr>
                                <w:top w:val="none" w:sz="0" w:space="0" w:color="auto"/>
                                <w:left w:val="none" w:sz="0" w:space="0" w:color="auto"/>
                                <w:bottom w:val="none" w:sz="0" w:space="0" w:color="auto"/>
                                <w:right w:val="none" w:sz="0" w:space="0" w:color="auto"/>
                              </w:divBdr>
                              <w:divsChild>
                                <w:div w:id="1934238648">
                                  <w:marLeft w:val="0"/>
                                  <w:marRight w:val="0"/>
                                  <w:marTop w:val="0"/>
                                  <w:marBottom w:val="0"/>
                                  <w:divBdr>
                                    <w:top w:val="none" w:sz="0" w:space="0" w:color="auto"/>
                                    <w:left w:val="none" w:sz="0" w:space="0" w:color="auto"/>
                                    <w:bottom w:val="none" w:sz="0" w:space="0" w:color="auto"/>
                                    <w:right w:val="none" w:sz="0" w:space="0" w:color="auto"/>
                                  </w:divBdr>
                                  <w:divsChild>
                                    <w:div w:id="840438064">
                                      <w:marLeft w:val="0"/>
                                      <w:marRight w:val="0"/>
                                      <w:marTop w:val="0"/>
                                      <w:marBottom w:val="0"/>
                                      <w:divBdr>
                                        <w:top w:val="none" w:sz="0" w:space="0" w:color="auto"/>
                                        <w:left w:val="none" w:sz="0" w:space="0" w:color="auto"/>
                                        <w:bottom w:val="none" w:sz="0" w:space="0" w:color="auto"/>
                                        <w:right w:val="none" w:sz="0" w:space="0" w:color="auto"/>
                                      </w:divBdr>
                                      <w:divsChild>
                                        <w:div w:id="279192780">
                                          <w:marLeft w:val="0"/>
                                          <w:marRight w:val="0"/>
                                          <w:marTop w:val="0"/>
                                          <w:marBottom w:val="0"/>
                                          <w:divBdr>
                                            <w:top w:val="none" w:sz="0" w:space="0" w:color="auto"/>
                                            <w:left w:val="none" w:sz="0" w:space="0" w:color="auto"/>
                                            <w:bottom w:val="none" w:sz="0" w:space="0" w:color="auto"/>
                                            <w:right w:val="none" w:sz="0" w:space="0" w:color="auto"/>
                                          </w:divBdr>
                                          <w:divsChild>
                                            <w:div w:id="951741341">
                                              <w:marLeft w:val="0"/>
                                              <w:marRight w:val="0"/>
                                              <w:marTop w:val="0"/>
                                              <w:marBottom w:val="0"/>
                                              <w:divBdr>
                                                <w:top w:val="none" w:sz="0" w:space="0" w:color="auto"/>
                                                <w:left w:val="none" w:sz="0" w:space="0" w:color="auto"/>
                                                <w:bottom w:val="none" w:sz="0" w:space="0" w:color="auto"/>
                                                <w:right w:val="none" w:sz="0" w:space="0" w:color="auto"/>
                                              </w:divBdr>
                                              <w:divsChild>
                                                <w:div w:id="1320186085">
                                                  <w:marLeft w:val="0"/>
                                                  <w:marRight w:val="0"/>
                                                  <w:marTop w:val="0"/>
                                                  <w:marBottom w:val="0"/>
                                                  <w:divBdr>
                                                    <w:top w:val="none" w:sz="0" w:space="0" w:color="auto"/>
                                                    <w:left w:val="none" w:sz="0" w:space="0" w:color="auto"/>
                                                    <w:bottom w:val="none" w:sz="0" w:space="0" w:color="auto"/>
                                                    <w:right w:val="none" w:sz="0" w:space="0" w:color="auto"/>
                                                  </w:divBdr>
                                                  <w:divsChild>
                                                    <w:div w:id="292829287">
                                                      <w:marLeft w:val="0"/>
                                                      <w:marRight w:val="0"/>
                                                      <w:marTop w:val="0"/>
                                                      <w:marBottom w:val="0"/>
                                                      <w:divBdr>
                                                        <w:top w:val="none" w:sz="0" w:space="0" w:color="auto"/>
                                                        <w:left w:val="none" w:sz="0" w:space="0" w:color="auto"/>
                                                        <w:bottom w:val="none" w:sz="0" w:space="0" w:color="auto"/>
                                                        <w:right w:val="none" w:sz="0" w:space="0" w:color="auto"/>
                                                      </w:divBdr>
                                                      <w:divsChild>
                                                        <w:div w:id="1982688315">
                                                          <w:marLeft w:val="0"/>
                                                          <w:marRight w:val="0"/>
                                                          <w:marTop w:val="0"/>
                                                          <w:marBottom w:val="0"/>
                                                          <w:divBdr>
                                                            <w:top w:val="none" w:sz="0" w:space="0" w:color="auto"/>
                                                            <w:left w:val="none" w:sz="0" w:space="0" w:color="auto"/>
                                                            <w:bottom w:val="none" w:sz="0" w:space="0" w:color="auto"/>
                                                            <w:right w:val="none" w:sz="0" w:space="0" w:color="auto"/>
                                                          </w:divBdr>
                                                        </w:div>
                                                        <w:div w:id="7575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803188">
      <w:bodyDiv w:val="1"/>
      <w:marLeft w:val="0"/>
      <w:marRight w:val="0"/>
      <w:marTop w:val="0"/>
      <w:marBottom w:val="0"/>
      <w:divBdr>
        <w:top w:val="none" w:sz="0" w:space="0" w:color="auto"/>
        <w:left w:val="none" w:sz="0" w:space="0" w:color="auto"/>
        <w:bottom w:val="none" w:sz="0" w:space="0" w:color="auto"/>
        <w:right w:val="none" w:sz="0" w:space="0" w:color="auto"/>
      </w:divBdr>
    </w:div>
    <w:div w:id="454911197">
      <w:bodyDiv w:val="1"/>
      <w:marLeft w:val="0"/>
      <w:marRight w:val="0"/>
      <w:marTop w:val="0"/>
      <w:marBottom w:val="0"/>
      <w:divBdr>
        <w:top w:val="none" w:sz="0" w:space="0" w:color="auto"/>
        <w:left w:val="none" w:sz="0" w:space="0" w:color="auto"/>
        <w:bottom w:val="none" w:sz="0" w:space="0" w:color="auto"/>
        <w:right w:val="none" w:sz="0" w:space="0" w:color="auto"/>
      </w:divBdr>
      <w:divsChild>
        <w:div w:id="1594318115">
          <w:marLeft w:val="0"/>
          <w:marRight w:val="0"/>
          <w:marTop w:val="0"/>
          <w:marBottom w:val="0"/>
          <w:divBdr>
            <w:top w:val="none" w:sz="0" w:space="0" w:color="auto"/>
            <w:left w:val="none" w:sz="0" w:space="0" w:color="auto"/>
            <w:bottom w:val="none" w:sz="0" w:space="0" w:color="auto"/>
            <w:right w:val="none" w:sz="0" w:space="0" w:color="auto"/>
          </w:divBdr>
          <w:divsChild>
            <w:div w:id="541328176">
              <w:marLeft w:val="0"/>
              <w:marRight w:val="0"/>
              <w:marTop w:val="0"/>
              <w:marBottom w:val="0"/>
              <w:divBdr>
                <w:top w:val="none" w:sz="0" w:space="0" w:color="auto"/>
                <w:left w:val="none" w:sz="0" w:space="0" w:color="auto"/>
                <w:bottom w:val="none" w:sz="0" w:space="0" w:color="auto"/>
                <w:right w:val="none" w:sz="0" w:space="0" w:color="auto"/>
              </w:divBdr>
              <w:divsChild>
                <w:div w:id="588656507">
                  <w:marLeft w:val="0"/>
                  <w:marRight w:val="0"/>
                  <w:marTop w:val="0"/>
                  <w:marBottom w:val="0"/>
                  <w:divBdr>
                    <w:top w:val="none" w:sz="0" w:space="0" w:color="auto"/>
                    <w:left w:val="none" w:sz="0" w:space="0" w:color="auto"/>
                    <w:bottom w:val="none" w:sz="0" w:space="0" w:color="auto"/>
                    <w:right w:val="none" w:sz="0" w:space="0" w:color="auto"/>
                  </w:divBdr>
                  <w:divsChild>
                    <w:div w:id="290136567">
                      <w:marLeft w:val="1"/>
                      <w:marRight w:val="1"/>
                      <w:marTop w:val="0"/>
                      <w:marBottom w:val="0"/>
                      <w:divBdr>
                        <w:top w:val="none" w:sz="0" w:space="0" w:color="auto"/>
                        <w:left w:val="none" w:sz="0" w:space="0" w:color="auto"/>
                        <w:bottom w:val="none" w:sz="0" w:space="0" w:color="auto"/>
                        <w:right w:val="none" w:sz="0" w:space="0" w:color="auto"/>
                      </w:divBdr>
                      <w:divsChild>
                        <w:div w:id="1376393091">
                          <w:marLeft w:val="0"/>
                          <w:marRight w:val="0"/>
                          <w:marTop w:val="0"/>
                          <w:marBottom w:val="0"/>
                          <w:divBdr>
                            <w:top w:val="none" w:sz="0" w:space="0" w:color="auto"/>
                            <w:left w:val="none" w:sz="0" w:space="0" w:color="auto"/>
                            <w:bottom w:val="none" w:sz="0" w:space="0" w:color="auto"/>
                            <w:right w:val="none" w:sz="0" w:space="0" w:color="auto"/>
                          </w:divBdr>
                          <w:divsChild>
                            <w:div w:id="208995554">
                              <w:marLeft w:val="0"/>
                              <w:marRight w:val="0"/>
                              <w:marTop w:val="0"/>
                              <w:marBottom w:val="360"/>
                              <w:divBdr>
                                <w:top w:val="none" w:sz="0" w:space="0" w:color="auto"/>
                                <w:left w:val="none" w:sz="0" w:space="0" w:color="auto"/>
                                <w:bottom w:val="none" w:sz="0" w:space="0" w:color="auto"/>
                                <w:right w:val="none" w:sz="0" w:space="0" w:color="auto"/>
                              </w:divBdr>
                              <w:divsChild>
                                <w:div w:id="1794209277">
                                  <w:marLeft w:val="0"/>
                                  <w:marRight w:val="0"/>
                                  <w:marTop w:val="0"/>
                                  <w:marBottom w:val="0"/>
                                  <w:divBdr>
                                    <w:top w:val="none" w:sz="0" w:space="0" w:color="auto"/>
                                    <w:left w:val="none" w:sz="0" w:space="0" w:color="auto"/>
                                    <w:bottom w:val="none" w:sz="0" w:space="0" w:color="auto"/>
                                    <w:right w:val="none" w:sz="0" w:space="0" w:color="auto"/>
                                  </w:divBdr>
                                  <w:divsChild>
                                    <w:div w:id="1839879867">
                                      <w:marLeft w:val="0"/>
                                      <w:marRight w:val="0"/>
                                      <w:marTop w:val="0"/>
                                      <w:marBottom w:val="0"/>
                                      <w:divBdr>
                                        <w:top w:val="none" w:sz="0" w:space="0" w:color="auto"/>
                                        <w:left w:val="none" w:sz="0" w:space="0" w:color="auto"/>
                                        <w:bottom w:val="none" w:sz="0" w:space="0" w:color="auto"/>
                                        <w:right w:val="none" w:sz="0" w:space="0" w:color="auto"/>
                                      </w:divBdr>
                                      <w:divsChild>
                                        <w:div w:id="1242986911">
                                          <w:marLeft w:val="0"/>
                                          <w:marRight w:val="0"/>
                                          <w:marTop w:val="0"/>
                                          <w:marBottom w:val="0"/>
                                          <w:divBdr>
                                            <w:top w:val="none" w:sz="0" w:space="0" w:color="auto"/>
                                            <w:left w:val="none" w:sz="0" w:space="0" w:color="auto"/>
                                            <w:bottom w:val="none" w:sz="0" w:space="0" w:color="auto"/>
                                            <w:right w:val="none" w:sz="0" w:space="0" w:color="auto"/>
                                          </w:divBdr>
                                          <w:divsChild>
                                            <w:div w:id="1938635632">
                                              <w:marLeft w:val="0"/>
                                              <w:marRight w:val="0"/>
                                              <w:marTop w:val="0"/>
                                              <w:marBottom w:val="0"/>
                                              <w:divBdr>
                                                <w:top w:val="none" w:sz="0" w:space="0" w:color="auto"/>
                                                <w:left w:val="none" w:sz="0" w:space="0" w:color="auto"/>
                                                <w:bottom w:val="none" w:sz="0" w:space="0" w:color="auto"/>
                                                <w:right w:val="none" w:sz="0" w:space="0" w:color="auto"/>
                                              </w:divBdr>
                                              <w:divsChild>
                                                <w:div w:id="125902049">
                                                  <w:marLeft w:val="0"/>
                                                  <w:marRight w:val="0"/>
                                                  <w:marTop w:val="0"/>
                                                  <w:marBottom w:val="0"/>
                                                  <w:divBdr>
                                                    <w:top w:val="none" w:sz="0" w:space="0" w:color="auto"/>
                                                    <w:left w:val="none" w:sz="0" w:space="0" w:color="auto"/>
                                                    <w:bottom w:val="none" w:sz="0" w:space="0" w:color="auto"/>
                                                    <w:right w:val="none" w:sz="0" w:space="0" w:color="auto"/>
                                                  </w:divBdr>
                                                  <w:divsChild>
                                                    <w:div w:id="2111121257">
                                                      <w:marLeft w:val="0"/>
                                                      <w:marRight w:val="0"/>
                                                      <w:marTop w:val="0"/>
                                                      <w:marBottom w:val="0"/>
                                                      <w:divBdr>
                                                        <w:top w:val="none" w:sz="0" w:space="0" w:color="auto"/>
                                                        <w:left w:val="none" w:sz="0" w:space="0" w:color="auto"/>
                                                        <w:bottom w:val="none" w:sz="0" w:space="0" w:color="auto"/>
                                                        <w:right w:val="none" w:sz="0" w:space="0" w:color="auto"/>
                                                      </w:divBdr>
                                                      <w:divsChild>
                                                        <w:div w:id="16272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995713">
      <w:bodyDiv w:val="1"/>
      <w:marLeft w:val="0"/>
      <w:marRight w:val="0"/>
      <w:marTop w:val="0"/>
      <w:marBottom w:val="0"/>
      <w:divBdr>
        <w:top w:val="none" w:sz="0" w:space="0" w:color="auto"/>
        <w:left w:val="none" w:sz="0" w:space="0" w:color="auto"/>
        <w:bottom w:val="none" w:sz="0" w:space="0" w:color="auto"/>
        <w:right w:val="none" w:sz="0" w:space="0" w:color="auto"/>
      </w:divBdr>
    </w:div>
    <w:div w:id="789665751">
      <w:bodyDiv w:val="1"/>
      <w:marLeft w:val="0"/>
      <w:marRight w:val="0"/>
      <w:marTop w:val="0"/>
      <w:marBottom w:val="0"/>
      <w:divBdr>
        <w:top w:val="none" w:sz="0" w:space="0" w:color="auto"/>
        <w:left w:val="none" w:sz="0" w:space="0" w:color="auto"/>
        <w:bottom w:val="none" w:sz="0" w:space="0" w:color="auto"/>
        <w:right w:val="none" w:sz="0" w:space="0" w:color="auto"/>
      </w:divBdr>
    </w:div>
    <w:div w:id="969091523">
      <w:bodyDiv w:val="1"/>
      <w:marLeft w:val="0"/>
      <w:marRight w:val="0"/>
      <w:marTop w:val="0"/>
      <w:marBottom w:val="0"/>
      <w:divBdr>
        <w:top w:val="none" w:sz="0" w:space="0" w:color="auto"/>
        <w:left w:val="none" w:sz="0" w:space="0" w:color="auto"/>
        <w:bottom w:val="none" w:sz="0" w:space="0" w:color="auto"/>
        <w:right w:val="none" w:sz="0" w:space="0" w:color="auto"/>
      </w:divBdr>
      <w:divsChild>
        <w:div w:id="168251472">
          <w:marLeft w:val="0"/>
          <w:marRight w:val="0"/>
          <w:marTop w:val="0"/>
          <w:marBottom w:val="0"/>
          <w:divBdr>
            <w:top w:val="none" w:sz="0" w:space="0" w:color="auto"/>
            <w:left w:val="none" w:sz="0" w:space="0" w:color="auto"/>
            <w:bottom w:val="none" w:sz="0" w:space="0" w:color="auto"/>
            <w:right w:val="none" w:sz="0" w:space="0" w:color="auto"/>
          </w:divBdr>
          <w:divsChild>
            <w:div w:id="1723669543">
              <w:marLeft w:val="0"/>
              <w:marRight w:val="0"/>
              <w:marTop w:val="0"/>
              <w:marBottom w:val="0"/>
              <w:divBdr>
                <w:top w:val="none" w:sz="0" w:space="0" w:color="auto"/>
                <w:left w:val="none" w:sz="0" w:space="0" w:color="auto"/>
                <w:bottom w:val="none" w:sz="0" w:space="0" w:color="auto"/>
                <w:right w:val="none" w:sz="0" w:space="0" w:color="auto"/>
              </w:divBdr>
              <w:divsChild>
                <w:div w:id="1787581652">
                  <w:marLeft w:val="0"/>
                  <w:marRight w:val="0"/>
                  <w:marTop w:val="0"/>
                  <w:marBottom w:val="0"/>
                  <w:divBdr>
                    <w:top w:val="none" w:sz="0" w:space="0" w:color="auto"/>
                    <w:left w:val="none" w:sz="0" w:space="0" w:color="auto"/>
                    <w:bottom w:val="none" w:sz="0" w:space="0" w:color="auto"/>
                    <w:right w:val="none" w:sz="0" w:space="0" w:color="auto"/>
                  </w:divBdr>
                  <w:divsChild>
                    <w:div w:id="1250848091">
                      <w:marLeft w:val="1"/>
                      <w:marRight w:val="1"/>
                      <w:marTop w:val="0"/>
                      <w:marBottom w:val="0"/>
                      <w:divBdr>
                        <w:top w:val="none" w:sz="0" w:space="0" w:color="auto"/>
                        <w:left w:val="none" w:sz="0" w:space="0" w:color="auto"/>
                        <w:bottom w:val="none" w:sz="0" w:space="0" w:color="auto"/>
                        <w:right w:val="none" w:sz="0" w:space="0" w:color="auto"/>
                      </w:divBdr>
                      <w:divsChild>
                        <w:div w:id="606159388">
                          <w:marLeft w:val="0"/>
                          <w:marRight w:val="0"/>
                          <w:marTop w:val="0"/>
                          <w:marBottom w:val="0"/>
                          <w:divBdr>
                            <w:top w:val="none" w:sz="0" w:space="0" w:color="auto"/>
                            <w:left w:val="none" w:sz="0" w:space="0" w:color="auto"/>
                            <w:bottom w:val="none" w:sz="0" w:space="0" w:color="auto"/>
                            <w:right w:val="none" w:sz="0" w:space="0" w:color="auto"/>
                          </w:divBdr>
                          <w:divsChild>
                            <w:div w:id="2077899324">
                              <w:marLeft w:val="0"/>
                              <w:marRight w:val="0"/>
                              <w:marTop w:val="0"/>
                              <w:marBottom w:val="360"/>
                              <w:divBdr>
                                <w:top w:val="none" w:sz="0" w:space="0" w:color="auto"/>
                                <w:left w:val="none" w:sz="0" w:space="0" w:color="auto"/>
                                <w:bottom w:val="none" w:sz="0" w:space="0" w:color="auto"/>
                                <w:right w:val="none" w:sz="0" w:space="0" w:color="auto"/>
                              </w:divBdr>
                              <w:divsChild>
                                <w:div w:id="440538560">
                                  <w:marLeft w:val="0"/>
                                  <w:marRight w:val="0"/>
                                  <w:marTop w:val="0"/>
                                  <w:marBottom w:val="0"/>
                                  <w:divBdr>
                                    <w:top w:val="none" w:sz="0" w:space="0" w:color="auto"/>
                                    <w:left w:val="none" w:sz="0" w:space="0" w:color="auto"/>
                                    <w:bottom w:val="none" w:sz="0" w:space="0" w:color="auto"/>
                                    <w:right w:val="none" w:sz="0" w:space="0" w:color="auto"/>
                                  </w:divBdr>
                                  <w:divsChild>
                                    <w:div w:id="739254575">
                                      <w:marLeft w:val="0"/>
                                      <w:marRight w:val="0"/>
                                      <w:marTop w:val="0"/>
                                      <w:marBottom w:val="0"/>
                                      <w:divBdr>
                                        <w:top w:val="none" w:sz="0" w:space="0" w:color="auto"/>
                                        <w:left w:val="none" w:sz="0" w:space="0" w:color="auto"/>
                                        <w:bottom w:val="none" w:sz="0" w:space="0" w:color="auto"/>
                                        <w:right w:val="none" w:sz="0" w:space="0" w:color="auto"/>
                                      </w:divBdr>
                                      <w:divsChild>
                                        <w:div w:id="394551911">
                                          <w:marLeft w:val="0"/>
                                          <w:marRight w:val="0"/>
                                          <w:marTop w:val="0"/>
                                          <w:marBottom w:val="0"/>
                                          <w:divBdr>
                                            <w:top w:val="none" w:sz="0" w:space="0" w:color="auto"/>
                                            <w:left w:val="none" w:sz="0" w:space="0" w:color="auto"/>
                                            <w:bottom w:val="none" w:sz="0" w:space="0" w:color="auto"/>
                                            <w:right w:val="none" w:sz="0" w:space="0" w:color="auto"/>
                                          </w:divBdr>
                                          <w:divsChild>
                                            <w:div w:id="1748187547">
                                              <w:marLeft w:val="0"/>
                                              <w:marRight w:val="0"/>
                                              <w:marTop w:val="0"/>
                                              <w:marBottom w:val="0"/>
                                              <w:divBdr>
                                                <w:top w:val="none" w:sz="0" w:space="0" w:color="auto"/>
                                                <w:left w:val="none" w:sz="0" w:space="0" w:color="auto"/>
                                                <w:bottom w:val="none" w:sz="0" w:space="0" w:color="auto"/>
                                                <w:right w:val="none" w:sz="0" w:space="0" w:color="auto"/>
                                              </w:divBdr>
                                              <w:divsChild>
                                                <w:div w:id="3103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348975">
      <w:bodyDiv w:val="1"/>
      <w:marLeft w:val="0"/>
      <w:marRight w:val="0"/>
      <w:marTop w:val="0"/>
      <w:marBottom w:val="0"/>
      <w:divBdr>
        <w:top w:val="none" w:sz="0" w:space="0" w:color="auto"/>
        <w:left w:val="none" w:sz="0" w:space="0" w:color="auto"/>
        <w:bottom w:val="none" w:sz="0" w:space="0" w:color="auto"/>
        <w:right w:val="none" w:sz="0" w:space="0" w:color="auto"/>
      </w:divBdr>
      <w:divsChild>
        <w:div w:id="254285967">
          <w:marLeft w:val="0"/>
          <w:marRight w:val="0"/>
          <w:marTop w:val="0"/>
          <w:marBottom w:val="0"/>
          <w:divBdr>
            <w:top w:val="none" w:sz="0" w:space="0" w:color="auto"/>
            <w:left w:val="none" w:sz="0" w:space="0" w:color="auto"/>
            <w:bottom w:val="none" w:sz="0" w:space="0" w:color="auto"/>
            <w:right w:val="none" w:sz="0" w:space="0" w:color="auto"/>
          </w:divBdr>
          <w:divsChild>
            <w:div w:id="1206211674">
              <w:marLeft w:val="0"/>
              <w:marRight w:val="0"/>
              <w:marTop w:val="0"/>
              <w:marBottom w:val="0"/>
              <w:divBdr>
                <w:top w:val="none" w:sz="0" w:space="0" w:color="auto"/>
                <w:left w:val="none" w:sz="0" w:space="0" w:color="auto"/>
                <w:bottom w:val="none" w:sz="0" w:space="0" w:color="auto"/>
                <w:right w:val="none" w:sz="0" w:space="0" w:color="auto"/>
              </w:divBdr>
              <w:divsChild>
                <w:div w:id="1609387115">
                  <w:marLeft w:val="0"/>
                  <w:marRight w:val="0"/>
                  <w:marTop w:val="0"/>
                  <w:marBottom w:val="0"/>
                  <w:divBdr>
                    <w:top w:val="none" w:sz="0" w:space="0" w:color="auto"/>
                    <w:left w:val="none" w:sz="0" w:space="0" w:color="auto"/>
                    <w:bottom w:val="none" w:sz="0" w:space="0" w:color="auto"/>
                    <w:right w:val="none" w:sz="0" w:space="0" w:color="auto"/>
                  </w:divBdr>
                  <w:divsChild>
                    <w:div w:id="171997608">
                      <w:marLeft w:val="1"/>
                      <w:marRight w:val="1"/>
                      <w:marTop w:val="0"/>
                      <w:marBottom w:val="0"/>
                      <w:divBdr>
                        <w:top w:val="none" w:sz="0" w:space="0" w:color="auto"/>
                        <w:left w:val="none" w:sz="0" w:space="0" w:color="auto"/>
                        <w:bottom w:val="none" w:sz="0" w:space="0" w:color="auto"/>
                        <w:right w:val="none" w:sz="0" w:space="0" w:color="auto"/>
                      </w:divBdr>
                      <w:divsChild>
                        <w:div w:id="1060447748">
                          <w:marLeft w:val="0"/>
                          <w:marRight w:val="0"/>
                          <w:marTop w:val="0"/>
                          <w:marBottom w:val="0"/>
                          <w:divBdr>
                            <w:top w:val="none" w:sz="0" w:space="0" w:color="auto"/>
                            <w:left w:val="none" w:sz="0" w:space="0" w:color="auto"/>
                            <w:bottom w:val="none" w:sz="0" w:space="0" w:color="auto"/>
                            <w:right w:val="none" w:sz="0" w:space="0" w:color="auto"/>
                          </w:divBdr>
                          <w:divsChild>
                            <w:div w:id="744298422">
                              <w:marLeft w:val="0"/>
                              <w:marRight w:val="0"/>
                              <w:marTop w:val="0"/>
                              <w:marBottom w:val="360"/>
                              <w:divBdr>
                                <w:top w:val="none" w:sz="0" w:space="0" w:color="auto"/>
                                <w:left w:val="none" w:sz="0" w:space="0" w:color="auto"/>
                                <w:bottom w:val="none" w:sz="0" w:space="0" w:color="auto"/>
                                <w:right w:val="none" w:sz="0" w:space="0" w:color="auto"/>
                              </w:divBdr>
                              <w:divsChild>
                                <w:div w:id="1258366132">
                                  <w:marLeft w:val="0"/>
                                  <w:marRight w:val="0"/>
                                  <w:marTop w:val="0"/>
                                  <w:marBottom w:val="0"/>
                                  <w:divBdr>
                                    <w:top w:val="none" w:sz="0" w:space="0" w:color="auto"/>
                                    <w:left w:val="none" w:sz="0" w:space="0" w:color="auto"/>
                                    <w:bottom w:val="none" w:sz="0" w:space="0" w:color="auto"/>
                                    <w:right w:val="none" w:sz="0" w:space="0" w:color="auto"/>
                                  </w:divBdr>
                                  <w:divsChild>
                                    <w:div w:id="1764496030">
                                      <w:marLeft w:val="0"/>
                                      <w:marRight w:val="0"/>
                                      <w:marTop w:val="0"/>
                                      <w:marBottom w:val="0"/>
                                      <w:divBdr>
                                        <w:top w:val="none" w:sz="0" w:space="0" w:color="auto"/>
                                        <w:left w:val="none" w:sz="0" w:space="0" w:color="auto"/>
                                        <w:bottom w:val="none" w:sz="0" w:space="0" w:color="auto"/>
                                        <w:right w:val="none" w:sz="0" w:space="0" w:color="auto"/>
                                      </w:divBdr>
                                      <w:divsChild>
                                        <w:div w:id="545410360">
                                          <w:marLeft w:val="0"/>
                                          <w:marRight w:val="0"/>
                                          <w:marTop w:val="0"/>
                                          <w:marBottom w:val="0"/>
                                          <w:divBdr>
                                            <w:top w:val="none" w:sz="0" w:space="0" w:color="auto"/>
                                            <w:left w:val="none" w:sz="0" w:space="0" w:color="auto"/>
                                            <w:bottom w:val="none" w:sz="0" w:space="0" w:color="auto"/>
                                            <w:right w:val="none" w:sz="0" w:space="0" w:color="auto"/>
                                          </w:divBdr>
                                          <w:divsChild>
                                            <w:div w:id="323552574">
                                              <w:marLeft w:val="0"/>
                                              <w:marRight w:val="0"/>
                                              <w:marTop w:val="0"/>
                                              <w:marBottom w:val="0"/>
                                              <w:divBdr>
                                                <w:top w:val="none" w:sz="0" w:space="0" w:color="auto"/>
                                                <w:left w:val="none" w:sz="0" w:space="0" w:color="auto"/>
                                                <w:bottom w:val="none" w:sz="0" w:space="0" w:color="auto"/>
                                                <w:right w:val="none" w:sz="0" w:space="0" w:color="auto"/>
                                              </w:divBdr>
                                              <w:divsChild>
                                                <w:div w:id="1083189108">
                                                  <w:marLeft w:val="0"/>
                                                  <w:marRight w:val="0"/>
                                                  <w:marTop w:val="0"/>
                                                  <w:marBottom w:val="0"/>
                                                  <w:divBdr>
                                                    <w:top w:val="none" w:sz="0" w:space="0" w:color="auto"/>
                                                    <w:left w:val="none" w:sz="0" w:space="0" w:color="auto"/>
                                                    <w:bottom w:val="none" w:sz="0" w:space="0" w:color="auto"/>
                                                    <w:right w:val="none" w:sz="0" w:space="0" w:color="auto"/>
                                                  </w:divBdr>
                                                  <w:divsChild>
                                                    <w:div w:id="1162626214">
                                                      <w:marLeft w:val="0"/>
                                                      <w:marRight w:val="0"/>
                                                      <w:marTop w:val="0"/>
                                                      <w:marBottom w:val="0"/>
                                                      <w:divBdr>
                                                        <w:top w:val="none" w:sz="0" w:space="0" w:color="auto"/>
                                                        <w:left w:val="none" w:sz="0" w:space="0" w:color="auto"/>
                                                        <w:bottom w:val="none" w:sz="0" w:space="0" w:color="auto"/>
                                                        <w:right w:val="none" w:sz="0" w:space="0" w:color="auto"/>
                                                      </w:divBdr>
                                                      <w:divsChild>
                                                        <w:div w:id="7966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730939">
      <w:bodyDiv w:val="1"/>
      <w:marLeft w:val="0"/>
      <w:marRight w:val="0"/>
      <w:marTop w:val="0"/>
      <w:marBottom w:val="0"/>
      <w:divBdr>
        <w:top w:val="none" w:sz="0" w:space="0" w:color="auto"/>
        <w:left w:val="none" w:sz="0" w:space="0" w:color="auto"/>
        <w:bottom w:val="none" w:sz="0" w:space="0" w:color="auto"/>
        <w:right w:val="none" w:sz="0" w:space="0" w:color="auto"/>
      </w:divBdr>
    </w:div>
    <w:div w:id="1131217148">
      <w:bodyDiv w:val="1"/>
      <w:marLeft w:val="0"/>
      <w:marRight w:val="0"/>
      <w:marTop w:val="0"/>
      <w:marBottom w:val="0"/>
      <w:divBdr>
        <w:top w:val="none" w:sz="0" w:space="0" w:color="auto"/>
        <w:left w:val="none" w:sz="0" w:space="0" w:color="auto"/>
        <w:bottom w:val="none" w:sz="0" w:space="0" w:color="auto"/>
        <w:right w:val="none" w:sz="0" w:space="0" w:color="auto"/>
      </w:divBdr>
      <w:divsChild>
        <w:div w:id="1907296558">
          <w:marLeft w:val="0"/>
          <w:marRight w:val="0"/>
          <w:marTop w:val="0"/>
          <w:marBottom w:val="0"/>
          <w:divBdr>
            <w:top w:val="none" w:sz="0" w:space="0" w:color="auto"/>
            <w:left w:val="none" w:sz="0" w:space="0" w:color="auto"/>
            <w:bottom w:val="none" w:sz="0" w:space="0" w:color="auto"/>
            <w:right w:val="none" w:sz="0" w:space="0" w:color="auto"/>
          </w:divBdr>
          <w:divsChild>
            <w:div w:id="1762604526">
              <w:marLeft w:val="0"/>
              <w:marRight w:val="0"/>
              <w:marTop w:val="0"/>
              <w:marBottom w:val="0"/>
              <w:divBdr>
                <w:top w:val="none" w:sz="0" w:space="0" w:color="auto"/>
                <w:left w:val="none" w:sz="0" w:space="0" w:color="auto"/>
                <w:bottom w:val="none" w:sz="0" w:space="0" w:color="auto"/>
                <w:right w:val="none" w:sz="0" w:space="0" w:color="auto"/>
              </w:divBdr>
              <w:divsChild>
                <w:div w:id="1087845476">
                  <w:marLeft w:val="0"/>
                  <w:marRight w:val="0"/>
                  <w:marTop w:val="0"/>
                  <w:marBottom w:val="0"/>
                  <w:divBdr>
                    <w:top w:val="none" w:sz="0" w:space="0" w:color="auto"/>
                    <w:left w:val="none" w:sz="0" w:space="0" w:color="auto"/>
                    <w:bottom w:val="none" w:sz="0" w:space="0" w:color="auto"/>
                    <w:right w:val="none" w:sz="0" w:space="0" w:color="auto"/>
                  </w:divBdr>
                  <w:divsChild>
                    <w:div w:id="503516936">
                      <w:marLeft w:val="1"/>
                      <w:marRight w:val="1"/>
                      <w:marTop w:val="0"/>
                      <w:marBottom w:val="0"/>
                      <w:divBdr>
                        <w:top w:val="none" w:sz="0" w:space="0" w:color="auto"/>
                        <w:left w:val="none" w:sz="0" w:space="0" w:color="auto"/>
                        <w:bottom w:val="none" w:sz="0" w:space="0" w:color="auto"/>
                        <w:right w:val="none" w:sz="0" w:space="0" w:color="auto"/>
                      </w:divBdr>
                      <w:divsChild>
                        <w:div w:id="832333528">
                          <w:marLeft w:val="0"/>
                          <w:marRight w:val="0"/>
                          <w:marTop w:val="0"/>
                          <w:marBottom w:val="0"/>
                          <w:divBdr>
                            <w:top w:val="none" w:sz="0" w:space="0" w:color="auto"/>
                            <w:left w:val="none" w:sz="0" w:space="0" w:color="auto"/>
                            <w:bottom w:val="none" w:sz="0" w:space="0" w:color="auto"/>
                            <w:right w:val="none" w:sz="0" w:space="0" w:color="auto"/>
                          </w:divBdr>
                          <w:divsChild>
                            <w:div w:id="1070156503">
                              <w:marLeft w:val="0"/>
                              <w:marRight w:val="0"/>
                              <w:marTop w:val="0"/>
                              <w:marBottom w:val="360"/>
                              <w:divBdr>
                                <w:top w:val="none" w:sz="0" w:space="0" w:color="auto"/>
                                <w:left w:val="none" w:sz="0" w:space="0" w:color="auto"/>
                                <w:bottom w:val="none" w:sz="0" w:space="0" w:color="auto"/>
                                <w:right w:val="none" w:sz="0" w:space="0" w:color="auto"/>
                              </w:divBdr>
                              <w:divsChild>
                                <w:div w:id="372073370">
                                  <w:marLeft w:val="0"/>
                                  <w:marRight w:val="0"/>
                                  <w:marTop w:val="0"/>
                                  <w:marBottom w:val="0"/>
                                  <w:divBdr>
                                    <w:top w:val="none" w:sz="0" w:space="0" w:color="auto"/>
                                    <w:left w:val="none" w:sz="0" w:space="0" w:color="auto"/>
                                    <w:bottom w:val="none" w:sz="0" w:space="0" w:color="auto"/>
                                    <w:right w:val="none" w:sz="0" w:space="0" w:color="auto"/>
                                  </w:divBdr>
                                  <w:divsChild>
                                    <w:div w:id="114369295">
                                      <w:marLeft w:val="0"/>
                                      <w:marRight w:val="0"/>
                                      <w:marTop w:val="0"/>
                                      <w:marBottom w:val="0"/>
                                      <w:divBdr>
                                        <w:top w:val="none" w:sz="0" w:space="0" w:color="auto"/>
                                        <w:left w:val="none" w:sz="0" w:space="0" w:color="auto"/>
                                        <w:bottom w:val="none" w:sz="0" w:space="0" w:color="auto"/>
                                        <w:right w:val="none" w:sz="0" w:space="0" w:color="auto"/>
                                      </w:divBdr>
                                      <w:divsChild>
                                        <w:div w:id="933124376">
                                          <w:marLeft w:val="0"/>
                                          <w:marRight w:val="0"/>
                                          <w:marTop w:val="0"/>
                                          <w:marBottom w:val="0"/>
                                          <w:divBdr>
                                            <w:top w:val="none" w:sz="0" w:space="0" w:color="auto"/>
                                            <w:left w:val="none" w:sz="0" w:space="0" w:color="auto"/>
                                            <w:bottom w:val="none" w:sz="0" w:space="0" w:color="auto"/>
                                            <w:right w:val="none" w:sz="0" w:space="0" w:color="auto"/>
                                          </w:divBdr>
                                          <w:divsChild>
                                            <w:div w:id="385877351">
                                              <w:marLeft w:val="0"/>
                                              <w:marRight w:val="0"/>
                                              <w:marTop w:val="0"/>
                                              <w:marBottom w:val="0"/>
                                              <w:divBdr>
                                                <w:top w:val="none" w:sz="0" w:space="0" w:color="auto"/>
                                                <w:left w:val="none" w:sz="0" w:space="0" w:color="auto"/>
                                                <w:bottom w:val="none" w:sz="0" w:space="0" w:color="auto"/>
                                                <w:right w:val="none" w:sz="0" w:space="0" w:color="auto"/>
                                              </w:divBdr>
                                              <w:divsChild>
                                                <w:div w:id="1780100480">
                                                  <w:marLeft w:val="0"/>
                                                  <w:marRight w:val="0"/>
                                                  <w:marTop w:val="0"/>
                                                  <w:marBottom w:val="0"/>
                                                  <w:divBdr>
                                                    <w:top w:val="none" w:sz="0" w:space="0" w:color="auto"/>
                                                    <w:left w:val="none" w:sz="0" w:space="0" w:color="auto"/>
                                                    <w:bottom w:val="none" w:sz="0" w:space="0" w:color="auto"/>
                                                    <w:right w:val="none" w:sz="0" w:space="0" w:color="auto"/>
                                                  </w:divBdr>
                                                  <w:divsChild>
                                                    <w:div w:id="1626043079">
                                                      <w:marLeft w:val="0"/>
                                                      <w:marRight w:val="0"/>
                                                      <w:marTop w:val="0"/>
                                                      <w:marBottom w:val="0"/>
                                                      <w:divBdr>
                                                        <w:top w:val="none" w:sz="0" w:space="0" w:color="auto"/>
                                                        <w:left w:val="none" w:sz="0" w:space="0" w:color="auto"/>
                                                        <w:bottom w:val="none" w:sz="0" w:space="0" w:color="auto"/>
                                                        <w:right w:val="none" w:sz="0" w:space="0" w:color="auto"/>
                                                      </w:divBdr>
                                                      <w:divsChild>
                                                        <w:div w:id="21056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034229">
      <w:bodyDiv w:val="1"/>
      <w:marLeft w:val="0"/>
      <w:marRight w:val="0"/>
      <w:marTop w:val="0"/>
      <w:marBottom w:val="0"/>
      <w:divBdr>
        <w:top w:val="none" w:sz="0" w:space="0" w:color="auto"/>
        <w:left w:val="none" w:sz="0" w:space="0" w:color="auto"/>
        <w:bottom w:val="none" w:sz="0" w:space="0" w:color="auto"/>
        <w:right w:val="none" w:sz="0" w:space="0" w:color="auto"/>
      </w:divBdr>
      <w:divsChild>
        <w:div w:id="1815953444">
          <w:marLeft w:val="0"/>
          <w:marRight w:val="0"/>
          <w:marTop w:val="0"/>
          <w:marBottom w:val="0"/>
          <w:divBdr>
            <w:top w:val="none" w:sz="0" w:space="0" w:color="auto"/>
            <w:left w:val="none" w:sz="0" w:space="0" w:color="auto"/>
            <w:bottom w:val="none" w:sz="0" w:space="0" w:color="auto"/>
            <w:right w:val="none" w:sz="0" w:space="0" w:color="auto"/>
          </w:divBdr>
          <w:divsChild>
            <w:div w:id="393628660">
              <w:marLeft w:val="0"/>
              <w:marRight w:val="0"/>
              <w:marTop w:val="0"/>
              <w:marBottom w:val="0"/>
              <w:divBdr>
                <w:top w:val="none" w:sz="0" w:space="0" w:color="auto"/>
                <w:left w:val="none" w:sz="0" w:space="0" w:color="auto"/>
                <w:bottom w:val="none" w:sz="0" w:space="0" w:color="auto"/>
                <w:right w:val="none" w:sz="0" w:space="0" w:color="auto"/>
              </w:divBdr>
              <w:divsChild>
                <w:div w:id="790367907">
                  <w:marLeft w:val="0"/>
                  <w:marRight w:val="0"/>
                  <w:marTop w:val="0"/>
                  <w:marBottom w:val="0"/>
                  <w:divBdr>
                    <w:top w:val="none" w:sz="0" w:space="0" w:color="auto"/>
                    <w:left w:val="none" w:sz="0" w:space="0" w:color="auto"/>
                    <w:bottom w:val="none" w:sz="0" w:space="0" w:color="auto"/>
                    <w:right w:val="none" w:sz="0" w:space="0" w:color="auto"/>
                  </w:divBdr>
                  <w:divsChild>
                    <w:div w:id="2028746587">
                      <w:marLeft w:val="1"/>
                      <w:marRight w:val="1"/>
                      <w:marTop w:val="0"/>
                      <w:marBottom w:val="0"/>
                      <w:divBdr>
                        <w:top w:val="none" w:sz="0" w:space="0" w:color="auto"/>
                        <w:left w:val="none" w:sz="0" w:space="0" w:color="auto"/>
                        <w:bottom w:val="none" w:sz="0" w:space="0" w:color="auto"/>
                        <w:right w:val="none" w:sz="0" w:space="0" w:color="auto"/>
                      </w:divBdr>
                      <w:divsChild>
                        <w:div w:id="1943026622">
                          <w:marLeft w:val="0"/>
                          <w:marRight w:val="0"/>
                          <w:marTop w:val="0"/>
                          <w:marBottom w:val="0"/>
                          <w:divBdr>
                            <w:top w:val="none" w:sz="0" w:space="0" w:color="auto"/>
                            <w:left w:val="none" w:sz="0" w:space="0" w:color="auto"/>
                            <w:bottom w:val="none" w:sz="0" w:space="0" w:color="auto"/>
                            <w:right w:val="none" w:sz="0" w:space="0" w:color="auto"/>
                          </w:divBdr>
                          <w:divsChild>
                            <w:div w:id="1064567548">
                              <w:marLeft w:val="0"/>
                              <w:marRight w:val="0"/>
                              <w:marTop w:val="0"/>
                              <w:marBottom w:val="360"/>
                              <w:divBdr>
                                <w:top w:val="none" w:sz="0" w:space="0" w:color="auto"/>
                                <w:left w:val="none" w:sz="0" w:space="0" w:color="auto"/>
                                <w:bottom w:val="none" w:sz="0" w:space="0" w:color="auto"/>
                                <w:right w:val="none" w:sz="0" w:space="0" w:color="auto"/>
                              </w:divBdr>
                              <w:divsChild>
                                <w:div w:id="157156434">
                                  <w:marLeft w:val="0"/>
                                  <w:marRight w:val="0"/>
                                  <w:marTop w:val="0"/>
                                  <w:marBottom w:val="0"/>
                                  <w:divBdr>
                                    <w:top w:val="none" w:sz="0" w:space="0" w:color="auto"/>
                                    <w:left w:val="none" w:sz="0" w:space="0" w:color="auto"/>
                                    <w:bottom w:val="none" w:sz="0" w:space="0" w:color="auto"/>
                                    <w:right w:val="none" w:sz="0" w:space="0" w:color="auto"/>
                                  </w:divBdr>
                                  <w:divsChild>
                                    <w:div w:id="435444672">
                                      <w:marLeft w:val="0"/>
                                      <w:marRight w:val="0"/>
                                      <w:marTop w:val="0"/>
                                      <w:marBottom w:val="0"/>
                                      <w:divBdr>
                                        <w:top w:val="none" w:sz="0" w:space="0" w:color="auto"/>
                                        <w:left w:val="none" w:sz="0" w:space="0" w:color="auto"/>
                                        <w:bottom w:val="none" w:sz="0" w:space="0" w:color="auto"/>
                                        <w:right w:val="none" w:sz="0" w:space="0" w:color="auto"/>
                                      </w:divBdr>
                                      <w:divsChild>
                                        <w:div w:id="795222139">
                                          <w:marLeft w:val="0"/>
                                          <w:marRight w:val="0"/>
                                          <w:marTop w:val="0"/>
                                          <w:marBottom w:val="0"/>
                                          <w:divBdr>
                                            <w:top w:val="none" w:sz="0" w:space="0" w:color="auto"/>
                                            <w:left w:val="none" w:sz="0" w:space="0" w:color="auto"/>
                                            <w:bottom w:val="none" w:sz="0" w:space="0" w:color="auto"/>
                                            <w:right w:val="none" w:sz="0" w:space="0" w:color="auto"/>
                                          </w:divBdr>
                                          <w:divsChild>
                                            <w:div w:id="1972976895">
                                              <w:marLeft w:val="0"/>
                                              <w:marRight w:val="0"/>
                                              <w:marTop w:val="0"/>
                                              <w:marBottom w:val="0"/>
                                              <w:divBdr>
                                                <w:top w:val="none" w:sz="0" w:space="0" w:color="auto"/>
                                                <w:left w:val="none" w:sz="0" w:space="0" w:color="auto"/>
                                                <w:bottom w:val="none" w:sz="0" w:space="0" w:color="auto"/>
                                                <w:right w:val="none" w:sz="0" w:space="0" w:color="auto"/>
                                              </w:divBdr>
                                              <w:divsChild>
                                                <w:div w:id="611674012">
                                                  <w:marLeft w:val="0"/>
                                                  <w:marRight w:val="0"/>
                                                  <w:marTop w:val="0"/>
                                                  <w:marBottom w:val="0"/>
                                                  <w:divBdr>
                                                    <w:top w:val="none" w:sz="0" w:space="0" w:color="auto"/>
                                                    <w:left w:val="none" w:sz="0" w:space="0" w:color="auto"/>
                                                    <w:bottom w:val="none" w:sz="0" w:space="0" w:color="auto"/>
                                                    <w:right w:val="none" w:sz="0" w:space="0" w:color="auto"/>
                                                  </w:divBdr>
                                                  <w:divsChild>
                                                    <w:div w:id="1592591127">
                                                      <w:marLeft w:val="0"/>
                                                      <w:marRight w:val="0"/>
                                                      <w:marTop w:val="0"/>
                                                      <w:marBottom w:val="0"/>
                                                      <w:divBdr>
                                                        <w:top w:val="none" w:sz="0" w:space="0" w:color="auto"/>
                                                        <w:left w:val="none" w:sz="0" w:space="0" w:color="auto"/>
                                                        <w:bottom w:val="none" w:sz="0" w:space="0" w:color="auto"/>
                                                        <w:right w:val="none" w:sz="0" w:space="0" w:color="auto"/>
                                                      </w:divBdr>
                                                      <w:divsChild>
                                                        <w:div w:id="4915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8431047">
      <w:bodyDiv w:val="1"/>
      <w:marLeft w:val="0"/>
      <w:marRight w:val="0"/>
      <w:marTop w:val="0"/>
      <w:marBottom w:val="0"/>
      <w:divBdr>
        <w:top w:val="none" w:sz="0" w:space="0" w:color="auto"/>
        <w:left w:val="none" w:sz="0" w:space="0" w:color="auto"/>
        <w:bottom w:val="none" w:sz="0" w:space="0" w:color="auto"/>
        <w:right w:val="none" w:sz="0" w:space="0" w:color="auto"/>
      </w:divBdr>
    </w:div>
    <w:div w:id="1489203430">
      <w:bodyDiv w:val="1"/>
      <w:marLeft w:val="0"/>
      <w:marRight w:val="0"/>
      <w:marTop w:val="0"/>
      <w:marBottom w:val="0"/>
      <w:divBdr>
        <w:top w:val="none" w:sz="0" w:space="0" w:color="auto"/>
        <w:left w:val="none" w:sz="0" w:space="0" w:color="auto"/>
        <w:bottom w:val="none" w:sz="0" w:space="0" w:color="auto"/>
        <w:right w:val="none" w:sz="0" w:space="0" w:color="auto"/>
      </w:divBdr>
    </w:div>
    <w:div w:id="1506019174">
      <w:bodyDiv w:val="1"/>
      <w:marLeft w:val="0"/>
      <w:marRight w:val="0"/>
      <w:marTop w:val="0"/>
      <w:marBottom w:val="0"/>
      <w:divBdr>
        <w:top w:val="none" w:sz="0" w:space="0" w:color="auto"/>
        <w:left w:val="none" w:sz="0" w:space="0" w:color="auto"/>
        <w:bottom w:val="none" w:sz="0" w:space="0" w:color="auto"/>
        <w:right w:val="none" w:sz="0" w:space="0" w:color="auto"/>
      </w:divBdr>
      <w:divsChild>
        <w:div w:id="1942182550">
          <w:marLeft w:val="0"/>
          <w:marRight w:val="0"/>
          <w:marTop w:val="0"/>
          <w:marBottom w:val="0"/>
          <w:divBdr>
            <w:top w:val="none" w:sz="0" w:space="0" w:color="auto"/>
            <w:left w:val="none" w:sz="0" w:space="0" w:color="auto"/>
            <w:bottom w:val="none" w:sz="0" w:space="0" w:color="auto"/>
            <w:right w:val="none" w:sz="0" w:space="0" w:color="auto"/>
          </w:divBdr>
          <w:divsChild>
            <w:div w:id="1114133176">
              <w:marLeft w:val="0"/>
              <w:marRight w:val="0"/>
              <w:marTop w:val="0"/>
              <w:marBottom w:val="0"/>
              <w:divBdr>
                <w:top w:val="none" w:sz="0" w:space="0" w:color="auto"/>
                <w:left w:val="none" w:sz="0" w:space="0" w:color="auto"/>
                <w:bottom w:val="none" w:sz="0" w:space="0" w:color="auto"/>
                <w:right w:val="none" w:sz="0" w:space="0" w:color="auto"/>
              </w:divBdr>
              <w:divsChild>
                <w:div w:id="300577785">
                  <w:marLeft w:val="0"/>
                  <w:marRight w:val="0"/>
                  <w:marTop w:val="0"/>
                  <w:marBottom w:val="0"/>
                  <w:divBdr>
                    <w:top w:val="none" w:sz="0" w:space="0" w:color="auto"/>
                    <w:left w:val="none" w:sz="0" w:space="0" w:color="auto"/>
                    <w:bottom w:val="none" w:sz="0" w:space="0" w:color="auto"/>
                    <w:right w:val="none" w:sz="0" w:space="0" w:color="auto"/>
                  </w:divBdr>
                  <w:divsChild>
                    <w:div w:id="1280407581">
                      <w:marLeft w:val="1"/>
                      <w:marRight w:val="1"/>
                      <w:marTop w:val="0"/>
                      <w:marBottom w:val="0"/>
                      <w:divBdr>
                        <w:top w:val="none" w:sz="0" w:space="0" w:color="auto"/>
                        <w:left w:val="none" w:sz="0" w:space="0" w:color="auto"/>
                        <w:bottom w:val="none" w:sz="0" w:space="0" w:color="auto"/>
                        <w:right w:val="none" w:sz="0" w:space="0" w:color="auto"/>
                      </w:divBdr>
                      <w:divsChild>
                        <w:div w:id="207761447">
                          <w:marLeft w:val="0"/>
                          <w:marRight w:val="0"/>
                          <w:marTop w:val="0"/>
                          <w:marBottom w:val="0"/>
                          <w:divBdr>
                            <w:top w:val="none" w:sz="0" w:space="0" w:color="auto"/>
                            <w:left w:val="none" w:sz="0" w:space="0" w:color="auto"/>
                            <w:bottom w:val="none" w:sz="0" w:space="0" w:color="auto"/>
                            <w:right w:val="none" w:sz="0" w:space="0" w:color="auto"/>
                          </w:divBdr>
                          <w:divsChild>
                            <w:div w:id="835345138">
                              <w:marLeft w:val="0"/>
                              <w:marRight w:val="0"/>
                              <w:marTop w:val="0"/>
                              <w:marBottom w:val="360"/>
                              <w:divBdr>
                                <w:top w:val="none" w:sz="0" w:space="0" w:color="auto"/>
                                <w:left w:val="none" w:sz="0" w:space="0" w:color="auto"/>
                                <w:bottom w:val="none" w:sz="0" w:space="0" w:color="auto"/>
                                <w:right w:val="none" w:sz="0" w:space="0" w:color="auto"/>
                              </w:divBdr>
                              <w:divsChild>
                                <w:div w:id="1452892388">
                                  <w:marLeft w:val="0"/>
                                  <w:marRight w:val="0"/>
                                  <w:marTop w:val="0"/>
                                  <w:marBottom w:val="0"/>
                                  <w:divBdr>
                                    <w:top w:val="none" w:sz="0" w:space="0" w:color="auto"/>
                                    <w:left w:val="none" w:sz="0" w:space="0" w:color="auto"/>
                                    <w:bottom w:val="none" w:sz="0" w:space="0" w:color="auto"/>
                                    <w:right w:val="none" w:sz="0" w:space="0" w:color="auto"/>
                                  </w:divBdr>
                                  <w:divsChild>
                                    <w:div w:id="1229880104">
                                      <w:marLeft w:val="0"/>
                                      <w:marRight w:val="0"/>
                                      <w:marTop w:val="0"/>
                                      <w:marBottom w:val="0"/>
                                      <w:divBdr>
                                        <w:top w:val="none" w:sz="0" w:space="0" w:color="auto"/>
                                        <w:left w:val="none" w:sz="0" w:space="0" w:color="auto"/>
                                        <w:bottom w:val="none" w:sz="0" w:space="0" w:color="auto"/>
                                        <w:right w:val="none" w:sz="0" w:space="0" w:color="auto"/>
                                      </w:divBdr>
                                      <w:divsChild>
                                        <w:div w:id="1827167674">
                                          <w:marLeft w:val="0"/>
                                          <w:marRight w:val="0"/>
                                          <w:marTop w:val="0"/>
                                          <w:marBottom w:val="0"/>
                                          <w:divBdr>
                                            <w:top w:val="none" w:sz="0" w:space="0" w:color="auto"/>
                                            <w:left w:val="none" w:sz="0" w:space="0" w:color="auto"/>
                                            <w:bottom w:val="none" w:sz="0" w:space="0" w:color="auto"/>
                                            <w:right w:val="none" w:sz="0" w:space="0" w:color="auto"/>
                                          </w:divBdr>
                                          <w:divsChild>
                                            <w:div w:id="664895173">
                                              <w:marLeft w:val="0"/>
                                              <w:marRight w:val="0"/>
                                              <w:marTop w:val="0"/>
                                              <w:marBottom w:val="0"/>
                                              <w:divBdr>
                                                <w:top w:val="none" w:sz="0" w:space="0" w:color="auto"/>
                                                <w:left w:val="none" w:sz="0" w:space="0" w:color="auto"/>
                                                <w:bottom w:val="none" w:sz="0" w:space="0" w:color="auto"/>
                                                <w:right w:val="none" w:sz="0" w:space="0" w:color="auto"/>
                                              </w:divBdr>
                                              <w:divsChild>
                                                <w:div w:id="1352414840">
                                                  <w:marLeft w:val="0"/>
                                                  <w:marRight w:val="0"/>
                                                  <w:marTop w:val="0"/>
                                                  <w:marBottom w:val="0"/>
                                                  <w:divBdr>
                                                    <w:top w:val="none" w:sz="0" w:space="0" w:color="auto"/>
                                                    <w:left w:val="none" w:sz="0" w:space="0" w:color="auto"/>
                                                    <w:bottom w:val="none" w:sz="0" w:space="0" w:color="auto"/>
                                                    <w:right w:val="none" w:sz="0" w:space="0" w:color="auto"/>
                                                  </w:divBdr>
                                                  <w:divsChild>
                                                    <w:div w:id="401487734">
                                                      <w:marLeft w:val="0"/>
                                                      <w:marRight w:val="0"/>
                                                      <w:marTop w:val="0"/>
                                                      <w:marBottom w:val="0"/>
                                                      <w:divBdr>
                                                        <w:top w:val="none" w:sz="0" w:space="0" w:color="auto"/>
                                                        <w:left w:val="none" w:sz="0" w:space="0" w:color="auto"/>
                                                        <w:bottom w:val="none" w:sz="0" w:space="0" w:color="auto"/>
                                                        <w:right w:val="none" w:sz="0" w:space="0" w:color="auto"/>
                                                      </w:divBdr>
                                                      <w:divsChild>
                                                        <w:div w:id="17896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546297">
      <w:bodyDiv w:val="1"/>
      <w:marLeft w:val="0"/>
      <w:marRight w:val="0"/>
      <w:marTop w:val="0"/>
      <w:marBottom w:val="0"/>
      <w:divBdr>
        <w:top w:val="none" w:sz="0" w:space="0" w:color="auto"/>
        <w:left w:val="none" w:sz="0" w:space="0" w:color="auto"/>
        <w:bottom w:val="none" w:sz="0" w:space="0" w:color="auto"/>
        <w:right w:val="none" w:sz="0" w:space="0" w:color="auto"/>
      </w:divBdr>
    </w:div>
    <w:div w:id="1588151910">
      <w:bodyDiv w:val="1"/>
      <w:marLeft w:val="0"/>
      <w:marRight w:val="0"/>
      <w:marTop w:val="0"/>
      <w:marBottom w:val="0"/>
      <w:divBdr>
        <w:top w:val="none" w:sz="0" w:space="0" w:color="auto"/>
        <w:left w:val="none" w:sz="0" w:space="0" w:color="auto"/>
        <w:bottom w:val="none" w:sz="0" w:space="0" w:color="auto"/>
        <w:right w:val="none" w:sz="0" w:space="0" w:color="auto"/>
      </w:divBdr>
    </w:div>
    <w:div w:id="16457420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43">
          <w:marLeft w:val="0"/>
          <w:marRight w:val="0"/>
          <w:marTop w:val="0"/>
          <w:marBottom w:val="0"/>
          <w:divBdr>
            <w:top w:val="none" w:sz="0" w:space="0" w:color="auto"/>
            <w:left w:val="none" w:sz="0" w:space="0" w:color="auto"/>
            <w:bottom w:val="none" w:sz="0" w:space="0" w:color="auto"/>
            <w:right w:val="none" w:sz="0" w:space="0" w:color="auto"/>
          </w:divBdr>
          <w:divsChild>
            <w:div w:id="2027097901">
              <w:marLeft w:val="0"/>
              <w:marRight w:val="0"/>
              <w:marTop w:val="0"/>
              <w:marBottom w:val="0"/>
              <w:divBdr>
                <w:top w:val="none" w:sz="0" w:space="0" w:color="auto"/>
                <w:left w:val="none" w:sz="0" w:space="0" w:color="auto"/>
                <w:bottom w:val="none" w:sz="0" w:space="0" w:color="auto"/>
                <w:right w:val="none" w:sz="0" w:space="0" w:color="auto"/>
              </w:divBdr>
              <w:divsChild>
                <w:div w:id="1169826678">
                  <w:marLeft w:val="0"/>
                  <w:marRight w:val="0"/>
                  <w:marTop w:val="0"/>
                  <w:marBottom w:val="0"/>
                  <w:divBdr>
                    <w:top w:val="none" w:sz="0" w:space="0" w:color="auto"/>
                    <w:left w:val="none" w:sz="0" w:space="0" w:color="auto"/>
                    <w:bottom w:val="none" w:sz="0" w:space="0" w:color="auto"/>
                    <w:right w:val="none" w:sz="0" w:space="0" w:color="auto"/>
                  </w:divBdr>
                  <w:divsChild>
                    <w:div w:id="1819683194">
                      <w:marLeft w:val="1"/>
                      <w:marRight w:val="1"/>
                      <w:marTop w:val="0"/>
                      <w:marBottom w:val="0"/>
                      <w:divBdr>
                        <w:top w:val="none" w:sz="0" w:space="0" w:color="auto"/>
                        <w:left w:val="none" w:sz="0" w:space="0" w:color="auto"/>
                        <w:bottom w:val="none" w:sz="0" w:space="0" w:color="auto"/>
                        <w:right w:val="none" w:sz="0" w:space="0" w:color="auto"/>
                      </w:divBdr>
                      <w:divsChild>
                        <w:div w:id="314258545">
                          <w:marLeft w:val="0"/>
                          <w:marRight w:val="0"/>
                          <w:marTop w:val="0"/>
                          <w:marBottom w:val="0"/>
                          <w:divBdr>
                            <w:top w:val="none" w:sz="0" w:space="0" w:color="auto"/>
                            <w:left w:val="none" w:sz="0" w:space="0" w:color="auto"/>
                            <w:bottom w:val="none" w:sz="0" w:space="0" w:color="auto"/>
                            <w:right w:val="none" w:sz="0" w:space="0" w:color="auto"/>
                          </w:divBdr>
                          <w:divsChild>
                            <w:div w:id="792138010">
                              <w:marLeft w:val="0"/>
                              <w:marRight w:val="0"/>
                              <w:marTop w:val="0"/>
                              <w:marBottom w:val="360"/>
                              <w:divBdr>
                                <w:top w:val="none" w:sz="0" w:space="0" w:color="auto"/>
                                <w:left w:val="none" w:sz="0" w:space="0" w:color="auto"/>
                                <w:bottom w:val="none" w:sz="0" w:space="0" w:color="auto"/>
                                <w:right w:val="none" w:sz="0" w:space="0" w:color="auto"/>
                              </w:divBdr>
                              <w:divsChild>
                                <w:div w:id="1871062947">
                                  <w:marLeft w:val="0"/>
                                  <w:marRight w:val="0"/>
                                  <w:marTop w:val="0"/>
                                  <w:marBottom w:val="0"/>
                                  <w:divBdr>
                                    <w:top w:val="none" w:sz="0" w:space="0" w:color="auto"/>
                                    <w:left w:val="none" w:sz="0" w:space="0" w:color="auto"/>
                                    <w:bottom w:val="none" w:sz="0" w:space="0" w:color="auto"/>
                                    <w:right w:val="none" w:sz="0" w:space="0" w:color="auto"/>
                                  </w:divBdr>
                                  <w:divsChild>
                                    <w:div w:id="1840002608">
                                      <w:marLeft w:val="0"/>
                                      <w:marRight w:val="0"/>
                                      <w:marTop w:val="0"/>
                                      <w:marBottom w:val="0"/>
                                      <w:divBdr>
                                        <w:top w:val="none" w:sz="0" w:space="0" w:color="auto"/>
                                        <w:left w:val="none" w:sz="0" w:space="0" w:color="auto"/>
                                        <w:bottom w:val="none" w:sz="0" w:space="0" w:color="auto"/>
                                        <w:right w:val="none" w:sz="0" w:space="0" w:color="auto"/>
                                      </w:divBdr>
                                      <w:divsChild>
                                        <w:div w:id="539128182">
                                          <w:marLeft w:val="0"/>
                                          <w:marRight w:val="0"/>
                                          <w:marTop w:val="0"/>
                                          <w:marBottom w:val="0"/>
                                          <w:divBdr>
                                            <w:top w:val="none" w:sz="0" w:space="0" w:color="auto"/>
                                            <w:left w:val="none" w:sz="0" w:space="0" w:color="auto"/>
                                            <w:bottom w:val="none" w:sz="0" w:space="0" w:color="auto"/>
                                            <w:right w:val="none" w:sz="0" w:space="0" w:color="auto"/>
                                          </w:divBdr>
                                          <w:divsChild>
                                            <w:div w:id="1410806001">
                                              <w:marLeft w:val="0"/>
                                              <w:marRight w:val="0"/>
                                              <w:marTop w:val="0"/>
                                              <w:marBottom w:val="0"/>
                                              <w:divBdr>
                                                <w:top w:val="none" w:sz="0" w:space="0" w:color="auto"/>
                                                <w:left w:val="none" w:sz="0" w:space="0" w:color="auto"/>
                                                <w:bottom w:val="none" w:sz="0" w:space="0" w:color="auto"/>
                                                <w:right w:val="none" w:sz="0" w:space="0" w:color="auto"/>
                                              </w:divBdr>
                                              <w:divsChild>
                                                <w:div w:id="1723287426">
                                                  <w:marLeft w:val="0"/>
                                                  <w:marRight w:val="0"/>
                                                  <w:marTop w:val="0"/>
                                                  <w:marBottom w:val="0"/>
                                                  <w:divBdr>
                                                    <w:top w:val="none" w:sz="0" w:space="0" w:color="auto"/>
                                                    <w:left w:val="none" w:sz="0" w:space="0" w:color="auto"/>
                                                    <w:bottom w:val="none" w:sz="0" w:space="0" w:color="auto"/>
                                                    <w:right w:val="none" w:sz="0" w:space="0" w:color="auto"/>
                                                  </w:divBdr>
                                                  <w:divsChild>
                                                    <w:div w:id="2110814943">
                                                      <w:marLeft w:val="0"/>
                                                      <w:marRight w:val="0"/>
                                                      <w:marTop w:val="0"/>
                                                      <w:marBottom w:val="0"/>
                                                      <w:divBdr>
                                                        <w:top w:val="none" w:sz="0" w:space="0" w:color="auto"/>
                                                        <w:left w:val="none" w:sz="0" w:space="0" w:color="auto"/>
                                                        <w:bottom w:val="none" w:sz="0" w:space="0" w:color="auto"/>
                                                        <w:right w:val="none" w:sz="0" w:space="0" w:color="auto"/>
                                                      </w:divBdr>
                                                      <w:divsChild>
                                                        <w:div w:id="740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173786">
      <w:bodyDiv w:val="1"/>
      <w:marLeft w:val="0"/>
      <w:marRight w:val="0"/>
      <w:marTop w:val="0"/>
      <w:marBottom w:val="0"/>
      <w:divBdr>
        <w:top w:val="none" w:sz="0" w:space="0" w:color="auto"/>
        <w:left w:val="none" w:sz="0" w:space="0" w:color="auto"/>
        <w:bottom w:val="none" w:sz="0" w:space="0" w:color="auto"/>
        <w:right w:val="none" w:sz="0" w:space="0" w:color="auto"/>
      </w:divBdr>
      <w:divsChild>
        <w:div w:id="1149126990">
          <w:marLeft w:val="0"/>
          <w:marRight w:val="0"/>
          <w:marTop w:val="0"/>
          <w:marBottom w:val="0"/>
          <w:divBdr>
            <w:top w:val="none" w:sz="0" w:space="0" w:color="auto"/>
            <w:left w:val="none" w:sz="0" w:space="0" w:color="auto"/>
            <w:bottom w:val="none" w:sz="0" w:space="0" w:color="auto"/>
            <w:right w:val="none" w:sz="0" w:space="0" w:color="auto"/>
          </w:divBdr>
          <w:divsChild>
            <w:div w:id="700284331">
              <w:marLeft w:val="0"/>
              <w:marRight w:val="0"/>
              <w:marTop w:val="0"/>
              <w:marBottom w:val="0"/>
              <w:divBdr>
                <w:top w:val="none" w:sz="0" w:space="0" w:color="auto"/>
                <w:left w:val="none" w:sz="0" w:space="0" w:color="auto"/>
                <w:bottom w:val="none" w:sz="0" w:space="0" w:color="auto"/>
                <w:right w:val="none" w:sz="0" w:space="0" w:color="auto"/>
              </w:divBdr>
              <w:divsChild>
                <w:div w:id="421415695">
                  <w:marLeft w:val="0"/>
                  <w:marRight w:val="0"/>
                  <w:marTop w:val="0"/>
                  <w:marBottom w:val="0"/>
                  <w:divBdr>
                    <w:top w:val="none" w:sz="0" w:space="0" w:color="auto"/>
                    <w:left w:val="none" w:sz="0" w:space="0" w:color="auto"/>
                    <w:bottom w:val="none" w:sz="0" w:space="0" w:color="auto"/>
                    <w:right w:val="none" w:sz="0" w:space="0" w:color="auto"/>
                  </w:divBdr>
                  <w:divsChild>
                    <w:div w:id="1660693377">
                      <w:marLeft w:val="1"/>
                      <w:marRight w:val="1"/>
                      <w:marTop w:val="0"/>
                      <w:marBottom w:val="0"/>
                      <w:divBdr>
                        <w:top w:val="none" w:sz="0" w:space="0" w:color="auto"/>
                        <w:left w:val="none" w:sz="0" w:space="0" w:color="auto"/>
                        <w:bottom w:val="none" w:sz="0" w:space="0" w:color="auto"/>
                        <w:right w:val="none" w:sz="0" w:space="0" w:color="auto"/>
                      </w:divBdr>
                      <w:divsChild>
                        <w:div w:id="1751808465">
                          <w:marLeft w:val="0"/>
                          <w:marRight w:val="0"/>
                          <w:marTop w:val="0"/>
                          <w:marBottom w:val="0"/>
                          <w:divBdr>
                            <w:top w:val="none" w:sz="0" w:space="0" w:color="auto"/>
                            <w:left w:val="none" w:sz="0" w:space="0" w:color="auto"/>
                            <w:bottom w:val="none" w:sz="0" w:space="0" w:color="auto"/>
                            <w:right w:val="none" w:sz="0" w:space="0" w:color="auto"/>
                          </w:divBdr>
                          <w:divsChild>
                            <w:div w:id="809635790">
                              <w:marLeft w:val="0"/>
                              <w:marRight w:val="0"/>
                              <w:marTop w:val="0"/>
                              <w:marBottom w:val="360"/>
                              <w:divBdr>
                                <w:top w:val="none" w:sz="0" w:space="0" w:color="auto"/>
                                <w:left w:val="none" w:sz="0" w:space="0" w:color="auto"/>
                                <w:bottom w:val="none" w:sz="0" w:space="0" w:color="auto"/>
                                <w:right w:val="none" w:sz="0" w:space="0" w:color="auto"/>
                              </w:divBdr>
                              <w:divsChild>
                                <w:div w:id="1484545962">
                                  <w:marLeft w:val="0"/>
                                  <w:marRight w:val="0"/>
                                  <w:marTop w:val="0"/>
                                  <w:marBottom w:val="0"/>
                                  <w:divBdr>
                                    <w:top w:val="none" w:sz="0" w:space="0" w:color="auto"/>
                                    <w:left w:val="none" w:sz="0" w:space="0" w:color="auto"/>
                                    <w:bottom w:val="none" w:sz="0" w:space="0" w:color="auto"/>
                                    <w:right w:val="none" w:sz="0" w:space="0" w:color="auto"/>
                                  </w:divBdr>
                                  <w:divsChild>
                                    <w:div w:id="2032800188">
                                      <w:marLeft w:val="0"/>
                                      <w:marRight w:val="0"/>
                                      <w:marTop w:val="0"/>
                                      <w:marBottom w:val="0"/>
                                      <w:divBdr>
                                        <w:top w:val="none" w:sz="0" w:space="0" w:color="auto"/>
                                        <w:left w:val="none" w:sz="0" w:space="0" w:color="auto"/>
                                        <w:bottom w:val="none" w:sz="0" w:space="0" w:color="auto"/>
                                        <w:right w:val="none" w:sz="0" w:space="0" w:color="auto"/>
                                      </w:divBdr>
                                      <w:divsChild>
                                        <w:div w:id="358553051">
                                          <w:marLeft w:val="0"/>
                                          <w:marRight w:val="0"/>
                                          <w:marTop w:val="0"/>
                                          <w:marBottom w:val="0"/>
                                          <w:divBdr>
                                            <w:top w:val="none" w:sz="0" w:space="0" w:color="auto"/>
                                            <w:left w:val="none" w:sz="0" w:space="0" w:color="auto"/>
                                            <w:bottom w:val="none" w:sz="0" w:space="0" w:color="auto"/>
                                            <w:right w:val="none" w:sz="0" w:space="0" w:color="auto"/>
                                          </w:divBdr>
                                          <w:divsChild>
                                            <w:div w:id="749621478">
                                              <w:marLeft w:val="0"/>
                                              <w:marRight w:val="0"/>
                                              <w:marTop w:val="0"/>
                                              <w:marBottom w:val="0"/>
                                              <w:divBdr>
                                                <w:top w:val="none" w:sz="0" w:space="0" w:color="auto"/>
                                                <w:left w:val="none" w:sz="0" w:space="0" w:color="auto"/>
                                                <w:bottom w:val="none" w:sz="0" w:space="0" w:color="auto"/>
                                                <w:right w:val="none" w:sz="0" w:space="0" w:color="auto"/>
                                              </w:divBdr>
                                              <w:divsChild>
                                                <w:div w:id="1164591346">
                                                  <w:marLeft w:val="0"/>
                                                  <w:marRight w:val="0"/>
                                                  <w:marTop w:val="0"/>
                                                  <w:marBottom w:val="0"/>
                                                  <w:divBdr>
                                                    <w:top w:val="none" w:sz="0" w:space="0" w:color="auto"/>
                                                    <w:left w:val="none" w:sz="0" w:space="0" w:color="auto"/>
                                                    <w:bottom w:val="none" w:sz="0" w:space="0" w:color="auto"/>
                                                    <w:right w:val="none" w:sz="0" w:space="0" w:color="auto"/>
                                                  </w:divBdr>
                                                  <w:divsChild>
                                                    <w:div w:id="999382448">
                                                      <w:marLeft w:val="0"/>
                                                      <w:marRight w:val="0"/>
                                                      <w:marTop w:val="0"/>
                                                      <w:marBottom w:val="0"/>
                                                      <w:divBdr>
                                                        <w:top w:val="none" w:sz="0" w:space="0" w:color="auto"/>
                                                        <w:left w:val="none" w:sz="0" w:space="0" w:color="auto"/>
                                                        <w:bottom w:val="none" w:sz="0" w:space="0" w:color="auto"/>
                                                        <w:right w:val="none" w:sz="0" w:space="0" w:color="auto"/>
                                                      </w:divBdr>
                                                      <w:divsChild>
                                                        <w:div w:id="657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154701">
      <w:bodyDiv w:val="1"/>
      <w:marLeft w:val="0"/>
      <w:marRight w:val="0"/>
      <w:marTop w:val="0"/>
      <w:marBottom w:val="0"/>
      <w:divBdr>
        <w:top w:val="none" w:sz="0" w:space="0" w:color="auto"/>
        <w:left w:val="none" w:sz="0" w:space="0" w:color="auto"/>
        <w:bottom w:val="none" w:sz="0" w:space="0" w:color="auto"/>
        <w:right w:val="none" w:sz="0" w:space="0" w:color="auto"/>
      </w:divBdr>
      <w:divsChild>
        <w:div w:id="968972707">
          <w:marLeft w:val="0"/>
          <w:marRight w:val="0"/>
          <w:marTop w:val="0"/>
          <w:marBottom w:val="0"/>
          <w:divBdr>
            <w:top w:val="none" w:sz="0" w:space="0" w:color="auto"/>
            <w:left w:val="none" w:sz="0" w:space="0" w:color="auto"/>
            <w:bottom w:val="none" w:sz="0" w:space="0" w:color="auto"/>
            <w:right w:val="none" w:sz="0" w:space="0" w:color="auto"/>
          </w:divBdr>
          <w:divsChild>
            <w:div w:id="1841431340">
              <w:marLeft w:val="0"/>
              <w:marRight w:val="0"/>
              <w:marTop w:val="0"/>
              <w:marBottom w:val="0"/>
              <w:divBdr>
                <w:top w:val="none" w:sz="0" w:space="0" w:color="auto"/>
                <w:left w:val="none" w:sz="0" w:space="0" w:color="auto"/>
                <w:bottom w:val="none" w:sz="0" w:space="0" w:color="auto"/>
                <w:right w:val="none" w:sz="0" w:space="0" w:color="auto"/>
              </w:divBdr>
              <w:divsChild>
                <w:div w:id="576743454">
                  <w:marLeft w:val="0"/>
                  <w:marRight w:val="0"/>
                  <w:marTop w:val="0"/>
                  <w:marBottom w:val="0"/>
                  <w:divBdr>
                    <w:top w:val="none" w:sz="0" w:space="0" w:color="auto"/>
                    <w:left w:val="none" w:sz="0" w:space="0" w:color="auto"/>
                    <w:bottom w:val="none" w:sz="0" w:space="0" w:color="auto"/>
                    <w:right w:val="none" w:sz="0" w:space="0" w:color="auto"/>
                  </w:divBdr>
                  <w:divsChild>
                    <w:div w:id="1719041073">
                      <w:marLeft w:val="1"/>
                      <w:marRight w:val="1"/>
                      <w:marTop w:val="0"/>
                      <w:marBottom w:val="0"/>
                      <w:divBdr>
                        <w:top w:val="none" w:sz="0" w:space="0" w:color="auto"/>
                        <w:left w:val="none" w:sz="0" w:space="0" w:color="auto"/>
                        <w:bottom w:val="none" w:sz="0" w:space="0" w:color="auto"/>
                        <w:right w:val="none" w:sz="0" w:space="0" w:color="auto"/>
                      </w:divBdr>
                      <w:divsChild>
                        <w:div w:id="1667316910">
                          <w:marLeft w:val="0"/>
                          <w:marRight w:val="0"/>
                          <w:marTop w:val="0"/>
                          <w:marBottom w:val="0"/>
                          <w:divBdr>
                            <w:top w:val="none" w:sz="0" w:space="0" w:color="auto"/>
                            <w:left w:val="none" w:sz="0" w:space="0" w:color="auto"/>
                            <w:bottom w:val="none" w:sz="0" w:space="0" w:color="auto"/>
                            <w:right w:val="none" w:sz="0" w:space="0" w:color="auto"/>
                          </w:divBdr>
                          <w:divsChild>
                            <w:div w:id="1460369492">
                              <w:marLeft w:val="0"/>
                              <w:marRight w:val="0"/>
                              <w:marTop w:val="0"/>
                              <w:marBottom w:val="360"/>
                              <w:divBdr>
                                <w:top w:val="none" w:sz="0" w:space="0" w:color="auto"/>
                                <w:left w:val="none" w:sz="0" w:space="0" w:color="auto"/>
                                <w:bottom w:val="none" w:sz="0" w:space="0" w:color="auto"/>
                                <w:right w:val="none" w:sz="0" w:space="0" w:color="auto"/>
                              </w:divBdr>
                              <w:divsChild>
                                <w:div w:id="866407942">
                                  <w:marLeft w:val="0"/>
                                  <w:marRight w:val="0"/>
                                  <w:marTop w:val="0"/>
                                  <w:marBottom w:val="0"/>
                                  <w:divBdr>
                                    <w:top w:val="none" w:sz="0" w:space="0" w:color="auto"/>
                                    <w:left w:val="none" w:sz="0" w:space="0" w:color="auto"/>
                                    <w:bottom w:val="none" w:sz="0" w:space="0" w:color="auto"/>
                                    <w:right w:val="none" w:sz="0" w:space="0" w:color="auto"/>
                                  </w:divBdr>
                                  <w:divsChild>
                                    <w:div w:id="516312978">
                                      <w:marLeft w:val="0"/>
                                      <w:marRight w:val="0"/>
                                      <w:marTop w:val="0"/>
                                      <w:marBottom w:val="0"/>
                                      <w:divBdr>
                                        <w:top w:val="none" w:sz="0" w:space="0" w:color="auto"/>
                                        <w:left w:val="none" w:sz="0" w:space="0" w:color="auto"/>
                                        <w:bottom w:val="none" w:sz="0" w:space="0" w:color="auto"/>
                                        <w:right w:val="none" w:sz="0" w:space="0" w:color="auto"/>
                                      </w:divBdr>
                                      <w:divsChild>
                                        <w:div w:id="360322527">
                                          <w:marLeft w:val="0"/>
                                          <w:marRight w:val="0"/>
                                          <w:marTop w:val="0"/>
                                          <w:marBottom w:val="0"/>
                                          <w:divBdr>
                                            <w:top w:val="none" w:sz="0" w:space="0" w:color="auto"/>
                                            <w:left w:val="none" w:sz="0" w:space="0" w:color="auto"/>
                                            <w:bottom w:val="none" w:sz="0" w:space="0" w:color="auto"/>
                                            <w:right w:val="none" w:sz="0" w:space="0" w:color="auto"/>
                                          </w:divBdr>
                                          <w:divsChild>
                                            <w:div w:id="2070881850">
                                              <w:marLeft w:val="0"/>
                                              <w:marRight w:val="0"/>
                                              <w:marTop w:val="0"/>
                                              <w:marBottom w:val="0"/>
                                              <w:divBdr>
                                                <w:top w:val="none" w:sz="0" w:space="0" w:color="auto"/>
                                                <w:left w:val="none" w:sz="0" w:space="0" w:color="auto"/>
                                                <w:bottom w:val="none" w:sz="0" w:space="0" w:color="auto"/>
                                                <w:right w:val="none" w:sz="0" w:space="0" w:color="auto"/>
                                              </w:divBdr>
                                              <w:divsChild>
                                                <w:div w:id="2009090260">
                                                  <w:marLeft w:val="0"/>
                                                  <w:marRight w:val="0"/>
                                                  <w:marTop w:val="0"/>
                                                  <w:marBottom w:val="0"/>
                                                  <w:divBdr>
                                                    <w:top w:val="none" w:sz="0" w:space="0" w:color="auto"/>
                                                    <w:left w:val="none" w:sz="0" w:space="0" w:color="auto"/>
                                                    <w:bottom w:val="none" w:sz="0" w:space="0" w:color="auto"/>
                                                    <w:right w:val="none" w:sz="0" w:space="0" w:color="auto"/>
                                                  </w:divBdr>
                                                  <w:divsChild>
                                                    <w:div w:id="1645352925">
                                                      <w:marLeft w:val="0"/>
                                                      <w:marRight w:val="0"/>
                                                      <w:marTop w:val="0"/>
                                                      <w:marBottom w:val="0"/>
                                                      <w:divBdr>
                                                        <w:top w:val="none" w:sz="0" w:space="0" w:color="auto"/>
                                                        <w:left w:val="none" w:sz="0" w:space="0" w:color="auto"/>
                                                        <w:bottom w:val="none" w:sz="0" w:space="0" w:color="auto"/>
                                                        <w:right w:val="none" w:sz="0" w:space="0" w:color="auto"/>
                                                      </w:divBdr>
                                                      <w:divsChild>
                                                        <w:div w:id="11523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347683">
      <w:bodyDiv w:val="1"/>
      <w:marLeft w:val="0"/>
      <w:marRight w:val="0"/>
      <w:marTop w:val="0"/>
      <w:marBottom w:val="0"/>
      <w:divBdr>
        <w:top w:val="none" w:sz="0" w:space="0" w:color="auto"/>
        <w:left w:val="none" w:sz="0" w:space="0" w:color="auto"/>
        <w:bottom w:val="none" w:sz="0" w:space="0" w:color="auto"/>
        <w:right w:val="none" w:sz="0" w:space="0" w:color="auto"/>
      </w:divBdr>
    </w:div>
    <w:div w:id="2014063174">
      <w:bodyDiv w:val="1"/>
      <w:marLeft w:val="0"/>
      <w:marRight w:val="0"/>
      <w:marTop w:val="0"/>
      <w:marBottom w:val="0"/>
      <w:divBdr>
        <w:top w:val="none" w:sz="0" w:space="0" w:color="auto"/>
        <w:left w:val="none" w:sz="0" w:space="0" w:color="auto"/>
        <w:bottom w:val="none" w:sz="0" w:space="0" w:color="auto"/>
        <w:right w:val="none" w:sz="0" w:space="0" w:color="auto"/>
      </w:divBdr>
      <w:divsChild>
        <w:div w:id="2055150944">
          <w:marLeft w:val="0"/>
          <w:marRight w:val="0"/>
          <w:marTop w:val="0"/>
          <w:marBottom w:val="0"/>
          <w:divBdr>
            <w:top w:val="none" w:sz="0" w:space="0" w:color="auto"/>
            <w:left w:val="none" w:sz="0" w:space="0" w:color="auto"/>
            <w:bottom w:val="none" w:sz="0" w:space="0" w:color="auto"/>
            <w:right w:val="none" w:sz="0" w:space="0" w:color="auto"/>
          </w:divBdr>
          <w:divsChild>
            <w:div w:id="1303386100">
              <w:marLeft w:val="0"/>
              <w:marRight w:val="0"/>
              <w:marTop w:val="0"/>
              <w:marBottom w:val="0"/>
              <w:divBdr>
                <w:top w:val="none" w:sz="0" w:space="0" w:color="auto"/>
                <w:left w:val="none" w:sz="0" w:space="0" w:color="auto"/>
                <w:bottom w:val="none" w:sz="0" w:space="0" w:color="auto"/>
                <w:right w:val="none" w:sz="0" w:space="0" w:color="auto"/>
              </w:divBdr>
              <w:divsChild>
                <w:div w:id="382677421">
                  <w:marLeft w:val="0"/>
                  <w:marRight w:val="0"/>
                  <w:marTop w:val="0"/>
                  <w:marBottom w:val="0"/>
                  <w:divBdr>
                    <w:top w:val="none" w:sz="0" w:space="0" w:color="auto"/>
                    <w:left w:val="none" w:sz="0" w:space="0" w:color="auto"/>
                    <w:bottom w:val="none" w:sz="0" w:space="0" w:color="auto"/>
                    <w:right w:val="none" w:sz="0" w:space="0" w:color="auto"/>
                  </w:divBdr>
                  <w:divsChild>
                    <w:div w:id="1218400849">
                      <w:marLeft w:val="1"/>
                      <w:marRight w:val="1"/>
                      <w:marTop w:val="0"/>
                      <w:marBottom w:val="0"/>
                      <w:divBdr>
                        <w:top w:val="none" w:sz="0" w:space="0" w:color="auto"/>
                        <w:left w:val="none" w:sz="0" w:space="0" w:color="auto"/>
                        <w:bottom w:val="none" w:sz="0" w:space="0" w:color="auto"/>
                        <w:right w:val="none" w:sz="0" w:space="0" w:color="auto"/>
                      </w:divBdr>
                      <w:divsChild>
                        <w:div w:id="2138837792">
                          <w:marLeft w:val="0"/>
                          <w:marRight w:val="0"/>
                          <w:marTop w:val="0"/>
                          <w:marBottom w:val="0"/>
                          <w:divBdr>
                            <w:top w:val="none" w:sz="0" w:space="0" w:color="auto"/>
                            <w:left w:val="none" w:sz="0" w:space="0" w:color="auto"/>
                            <w:bottom w:val="none" w:sz="0" w:space="0" w:color="auto"/>
                            <w:right w:val="none" w:sz="0" w:space="0" w:color="auto"/>
                          </w:divBdr>
                          <w:divsChild>
                            <w:div w:id="150174959">
                              <w:marLeft w:val="0"/>
                              <w:marRight w:val="0"/>
                              <w:marTop w:val="0"/>
                              <w:marBottom w:val="360"/>
                              <w:divBdr>
                                <w:top w:val="none" w:sz="0" w:space="0" w:color="auto"/>
                                <w:left w:val="none" w:sz="0" w:space="0" w:color="auto"/>
                                <w:bottom w:val="none" w:sz="0" w:space="0" w:color="auto"/>
                                <w:right w:val="none" w:sz="0" w:space="0" w:color="auto"/>
                              </w:divBdr>
                              <w:divsChild>
                                <w:div w:id="1422407177">
                                  <w:marLeft w:val="0"/>
                                  <w:marRight w:val="0"/>
                                  <w:marTop w:val="0"/>
                                  <w:marBottom w:val="0"/>
                                  <w:divBdr>
                                    <w:top w:val="none" w:sz="0" w:space="0" w:color="auto"/>
                                    <w:left w:val="none" w:sz="0" w:space="0" w:color="auto"/>
                                    <w:bottom w:val="none" w:sz="0" w:space="0" w:color="auto"/>
                                    <w:right w:val="none" w:sz="0" w:space="0" w:color="auto"/>
                                  </w:divBdr>
                                  <w:divsChild>
                                    <w:div w:id="1641613261">
                                      <w:marLeft w:val="0"/>
                                      <w:marRight w:val="0"/>
                                      <w:marTop w:val="0"/>
                                      <w:marBottom w:val="0"/>
                                      <w:divBdr>
                                        <w:top w:val="none" w:sz="0" w:space="0" w:color="auto"/>
                                        <w:left w:val="none" w:sz="0" w:space="0" w:color="auto"/>
                                        <w:bottom w:val="none" w:sz="0" w:space="0" w:color="auto"/>
                                        <w:right w:val="none" w:sz="0" w:space="0" w:color="auto"/>
                                      </w:divBdr>
                                      <w:divsChild>
                                        <w:div w:id="2128116600">
                                          <w:marLeft w:val="0"/>
                                          <w:marRight w:val="0"/>
                                          <w:marTop w:val="0"/>
                                          <w:marBottom w:val="0"/>
                                          <w:divBdr>
                                            <w:top w:val="none" w:sz="0" w:space="0" w:color="auto"/>
                                            <w:left w:val="none" w:sz="0" w:space="0" w:color="auto"/>
                                            <w:bottom w:val="none" w:sz="0" w:space="0" w:color="auto"/>
                                            <w:right w:val="none" w:sz="0" w:space="0" w:color="auto"/>
                                          </w:divBdr>
                                          <w:divsChild>
                                            <w:div w:id="416748202">
                                              <w:marLeft w:val="0"/>
                                              <w:marRight w:val="0"/>
                                              <w:marTop w:val="0"/>
                                              <w:marBottom w:val="0"/>
                                              <w:divBdr>
                                                <w:top w:val="none" w:sz="0" w:space="0" w:color="auto"/>
                                                <w:left w:val="none" w:sz="0" w:space="0" w:color="auto"/>
                                                <w:bottom w:val="none" w:sz="0" w:space="0" w:color="auto"/>
                                                <w:right w:val="none" w:sz="0" w:space="0" w:color="auto"/>
                                              </w:divBdr>
                                              <w:divsChild>
                                                <w:div w:id="2043742199">
                                                  <w:marLeft w:val="0"/>
                                                  <w:marRight w:val="0"/>
                                                  <w:marTop w:val="0"/>
                                                  <w:marBottom w:val="0"/>
                                                  <w:divBdr>
                                                    <w:top w:val="none" w:sz="0" w:space="0" w:color="auto"/>
                                                    <w:left w:val="none" w:sz="0" w:space="0" w:color="auto"/>
                                                    <w:bottom w:val="none" w:sz="0" w:space="0" w:color="auto"/>
                                                    <w:right w:val="none" w:sz="0" w:space="0" w:color="auto"/>
                                                  </w:divBdr>
                                                  <w:divsChild>
                                                    <w:div w:id="613098428">
                                                      <w:marLeft w:val="0"/>
                                                      <w:marRight w:val="0"/>
                                                      <w:marTop w:val="0"/>
                                                      <w:marBottom w:val="0"/>
                                                      <w:divBdr>
                                                        <w:top w:val="none" w:sz="0" w:space="0" w:color="auto"/>
                                                        <w:left w:val="none" w:sz="0" w:space="0" w:color="auto"/>
                                                        <w:bottom w:val="none" w:sz="0" w:space="0" w:color="auto"/>
                                                        <w:right w:val="none" w:sz="0" w:space="0" w:color="auto"/>
                                                      </w:divBdr>
                                                      <w:divsChild>
                                                        <w:div w:id="6800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7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5591-D661-496D-B5DD-5A9C4FA3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1591</Words>
  <Characters>10344</Characters>
  <Application>Microsoft Office Word</Application>
  <DocSecurity>0</DocSecurity>
  <Lines>215</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2019-09-17T08:50:00Z</cp:lastPrinted>
  <dcterms:created xsi:type="dcterms:W3CDTF">2020-04-17T13:13:00Z</dcterms:created>
  <dcterms:modified xsi:type="dcterms:W3CDTF">2020-04-21T10:05:00Z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