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73A513F-EE22-43BE-9D03-1A0F5876AFD5" style="width:450.8pt;height:351.8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rFonts w:eastAsia="Calibri"/>
          <w:noProof/>
        </w:rPr>
      </w:pPr>
      <w:r>
        <w:t>1.</w:t>
      </w:r>
      <w:r>
        <w:tab/>
      </w:r>
      <w:r>
        <w:rPr>
          <w:noProof/>
        </w:rPr>
        <w:t>CONTESTO DELLA PROPOSTA</w:t>
      </w:r>
    </w:p>
    <w:p>
      <w:pPr>
        <w:pStyle w:val="ManualHeading2"/>
        <w:rPr>
          <w:rFonts w:eastAsia="Arial Unicode MS"/>
          <w:noProof/>
        </w:rPr>
      </w:pPr>
      <w:r>
        <w:rPr>
          <w:noProof/>
          <w:u w:color="000000"/>
          <w:bdr w:val="nil"/>
        </w:rPr>
        <w:t>•</w:t>
      </w:r>
      <w:r>
        <w:rPr>
          <w:noProof/>
          <w:u w:color="000000"/>
          <w:bdr w:val="nil"/>
        </w:rPr>
        <w:tab/>
      </w:r>
      <w:r>
        <w:rPr>
          <w:noProof/>
        </w:rPr>
        <w:t>Motivi e obiettivi della proposta</w:t>
      </w:r>
    </w:p>
    <w:p>
      <w:pPr>
        <w:pBdr>
          <w:top w:val="nil"/>
          <w:left w:val="nil"/>
          <w:bottom w:val="nil"/>
          <w:right w:val="nil"/>
          <w:between w:val="nil"/>
          <w:bar w:val="nil"/>
        </w:pBdr>
        <w:spacing w:before="0" w:after="240"/>
        <w:rPr>
          <w:noProof/>
        </w:rPr>
      </w:pPr>
      <w:r>
        <w:rPr>
          <w:noProof/>
        </w:rPr>
        <w:t>È necessario fissare contingenti tariffari autonomi per alcuni prodotti la cui produzione nell'Unione è insufficiente a soddisfare il fabbisogno dell'industria utilizzatrice. Occorre aprire contingenti tariffari dell'Unione ad aliquota ridotta o nulla per volumi adeguati, senza perturbare i mercati di tali prodotti.</w:t>
      </w:r>
    </w:p>
    <w:p>
      <w:pPr>
        <w:pBdr>
          <w:top w:val="nil"/>
          <w:left w:val="nil"/>
          <w:bottom w:val="nil"/>
          <w:right w:val="nil"/>
          <w:between w:val="nil"/>
          <w:bar w:val="nil"/>
        </w:pBdr>
        <w:spacing w:before="0" w:after="240"/>
        <w:rPr>
          <w:noProof/>
        </w:rPr>
      </w:pPr>
      <w:r>
        <w:rPr>
          <w:noProof/>
        </w:rPr>
        <w:t>Il 17 dicembre 2013 il Consiglio dell'Unione europea ha adottato il regolamento (UE) n. 1388/2013 recante apertura e modalità di gestione di contingenti tariffari autonomi dell'Unione per taluni prodotti agricoli e industriali, al fine di soddisfare alle condizioni più favorevoli il fabbisogno dell'Unione dei prodotti in questione.</w:t>
      </w:r>
    </w:p>
    <w:p>
      <w:pPr>
        <w:pBdr>
          <w:top w:val="nil"/>
          <w:left w:val="nil"/>
          <w:bottom w:val="nil"/>
          <w:right w:val="nil"/>
          <w:between w:val="nil"/>
          <w:bar w:val="nil"/>
        </w:pBdr>
        <w:spacing w:before="0" w:after="240"/>
        <w:rPr>
          <w:noProof/>
        </w:rPr>
      </w:pPr>
      <w:r>
        <w:rPr>
          <w:noProof/>
        </w:rPr>
        <w:t>Il regolamento è aggiornato con cadenza semestrale al fine di adeguarlo alle esigenze dell'industria dell'Unione. La Commissione, coadiuvata dal gruppo "Economia tariffaria", ha esaminato tutte le richieste di contingenti tariffari autonomi pervenutele dagli Stati membri.</w:t>
      </w:r>
    </w:p>
    <w:p>
      <w:pPr>
        <w:pBdr>
          <w:top w:val="nil"/>
          <w:left w:val="nil"/>
          <w:bottom w:val="nil"/>
          <w:right w:val="nil"/>
          <w:between w:val="nil"/>
          <w:bar w:val="nil"/>
        </w:pBdr>
        <w:spacing w:before="0" w:after="240"/>
        <w:rPr>
          <w:noProof/>
        </w:rPr>
      </w:pPr>
      <w:r>
        <w:rPr>
          <w:noProof/>
        </w:rPr>
        <w:t>A seguito di tale disamina la Commissione ritiene che l'apertura di contingenti tariffari autonomi si giustifichi per taluni nuovi prodotti attualmente non figuranti nell'allegato del regolamento (UE) n. 1388/2013 del Consiglio. In relazione ad alcuni altri prodotti il testo della designazione deve essere cambiato, è opportuno assegnare nuovi codici TARIC o risulta necessario aumentare il volume contingentale iniziale, anche retroattivamente. È opportuno sopprimere i prodotti per i quali un contingente tariffario non è più nell'interesse economico dell'Unione.</w:t>
      </w:r>
    </w:p>
    <w:p>
      <w:pPr>
        <w:pBdr>
          <w:top w:val="nil"/>
          <w:left w:val="nil"/>
          <w:bottom w:val="nil"/>
          <w:right w:val="nil"/>
          <w:between w:val="nil"/>
          <w:bar w:val="nil"/>
        </w:pBdr>
        <w:spacing w:before="0" w:after="240"/>
        <w:rPr>
          <w:rFonts w:eastAsia="Arial Unicode MS"/>
          <w:noProof/>
        </w:rPr>
      </w:pPr>
      <w:r>
        <w:rPr>
          <w:noProof/>
        </w:rPr>
        <w:t>Per motivi di chiarezza è consigliabile pubblicare una versione consolidata dell'allegato del regolamento (UE) n. 1388/2013 del Consiglio che sostituisca integralmente l'allegato precedente.</w:t>
      </w:r>
    </w:p>
    <w:p>
      <w:pPr>
        <w:pStyle w:val="ManualHeading2"/>
        <w:rPr>
          <w:rFonts w:eastAsia="Arial Unicode MS"/>
          <w:noProof/>
          <w:u w:color="000000"/>
          <w:bdr w:val="nil"/>
        </w:rPr>
      </w:pPr>
      <w:r>
        <w:rPr>
          <w:noProof/>
          <w:u w:color="000000"/>
          <w:bdr w:val="nil"/>
        </w:rPr>
        <w:t>•</w:t>
      </w:r>
      <w:r>
        <w:rPr>
          <w:noProof/>
          <w:u w:color="000000"/>
          <w:bdr w:val="nil"/>
        </w:rPr>
        <w:tab/>
        <w:t>Coerenza con le disposizioni vigenti nel settore normativo interessato</w:t>
      </w:r>
    </w:p>
    <w:p>
      <w:pPr>
        <w:rPr>
          <w:noProof/>
        </w:rPr>
      </w:pPr>
      <w:r>
        <w:rPr>
          <w:noProof/>
        </w:rPr>
        <w:t>La presente proposta non interessa i paesi che hanno un accordo commerciale preferenziale con l'Unione, i paesi candidati e i potenziali candidati ad accordi preferenziali con l'Unione (ad es. sistema di preferenze generalizzate, regime del gruppo dei paesi dell'Africa dei Caraibi e del Pacifico (ACP) e accordi di libero scambio).</w:t>
      </w:r>
    </w:p>
    <w:p>
      <w:pPr>
        <w:pStyle w:val="ManualHeading2"/>
        <w:rPr>
          <w:rFonts w:eastAsia="Arial Unicode MS"/>
          <w:noProof/>
          <w:u w:color="000000"/>
          <w:bdr w:val="nil"/>
        </w:rPr>
      </w:pPr>
      <w:r>
        <w:rPr>
          <w:noProof/>
          <w:u w:color="000000"/>
          <w:bdr w:val="nil"/>
        </w:rPr>
        <w:t>•</w:t>
      </w:r>
      <w:r>
        <w:rPr>
          <w:noProof/>
          <w:u w:color="000000"/>
          <w:bdr w:val="nil"/>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La proposta è in linea con le politiche dell'Unione in materia di agricoltura, commercio, imprese, sviluppo, ambiente e relazioni esterne.</w:t>
      </w:r>
    </w:p>
    <w:p>
      <w:pPr>
        <w:pStyle w:val="ManualHeading1"/>
        <w:rPr>
          <w:rFonts w:eastAsia="Calibri"/>
          <w:noProof/>
        </w:rPr>
      </w:pPr>
      <w:r>
        <w:t>2.</w:t>
      </w:r>
      <w:r>
        <w:tab/>
      </w:r>
      <w:r>
        <w:rPr>
          <w:noProof/>
        </w:rPr>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pBdr>
          <w:top w:val="nil"/>
          <w:left w:val="nil"/>
          <w:bottom w:val="nil"/>
          <w:right w:val="nil"/>
          <w:between w:val="nil"/>
          <w:bar w:val="nil"/>
        </w:pBdr>
        <w:spacing w:before="0" w:after="240"/>
        <w:rPr>
          <w:rFonts w:eastAsia="Arial Unicode MS"/>
          <w:noProof/>
        </w:rPr>
      </w:pPr>
      <w:r>
        <w:rPr>
          <w:noProof/>
        </w:rPr>
        <w:t>La base giuridica della presente proposta è l'articolo 31 del trattato sul funzionamento dell'Unione europea (TFUE).</w:t>
      </w:r>
    </w:p>
    <w:p>
      <w:pPr>
        <w:pStyle w:val="ManualHeading2"/>
        <w:rPr>
          <w:rFonts w:eastAsia="Arial Unicode MS"/>
          <w:noProof/>
          <w:u w:color="000000"/>
          <w:bdr w:val="nil"/>
        </w:rPr>
      </w:pPr>
      <w:r>
        <w:rPr>
          <w:noProof/>
          <w:u w:color="000000"/>
          <w:bdr w:val="nil"/>
        </w:rPr>
        <w:t>•</w:t>
      </w:r>
      <w:r>
        <w:rPr>
          <w:noProof/>
          <w:u w:color="000000"/>
          <w:bdr w:val="nil"/>
        </w:rPr>
        <w:tab/>
        <w:t>Sussidiarietà (per la competenza non esclusiva)</w:t>
      </w:r>
    </w:p>
    <w:p>
      <w:pPr>
        <w:rPr>
          <w:noProof/>
        </w:rPr>
      </w:pPr>
      <w:r>
        <w:rPr>
          <w:noProof/>
        </w:rPr>
        <w:t>La proposta rientra nell'ambito di competenza esclusiva dell'Unione. Pertanto, il principio di sussidiarietà non si applica.</w:t>
      </w:r>
    </w:p>
    <w:p>
      <w:pPr>
        <w:pStyle w:val="ManualHeading2"/>
        <w:rPr>
          <w:rFonts w:eastAsia="Arial Unicode MS"/>
          <w:noProof/>
          <w:u w:color="000000"/>
          <w:bdr w:val="nil"/>
        </w:rPr>
      </w:pPr>
      <w:r>
        <w:rPr>
          <w:noProof/>
          <w:u w:color="000000"/>
          <w:bdr w:val="nil"/>
        </w:rPr>
        <w:lastRenderedPageBreak/>
        <w:t>•</w:t>
      </w:r>
      <w:r>
        <w:rPr>
          <w:noProof/>
          <w:u w:color="000000"/>
          <w:bdr w:val="nil"/>
        </w:rPr>
        <w:tab/>
        <w:t>Proporzionalità</w:t>
      </w:r>
    </w:p>
    <w:p>
      <w:pPr>
        <w:pBdr>
          <w:top w:val="nil"/>
          <w:left w:val="nil"/>
          <w:bottom w:val="nil"/>
          <w:right w:val="nil"/>
          <w:between w:val="nil"/>
          <w:bar w:val="nil"/>
        </w:pBdr>
        <w:spacing w:before="0" w:after="240"/>
        <w:rPr>
          <w:rFonts w:eastAsia="Arial Unicode MS"/>
          <w:noProof/>
        </w:rPr>
      </w:pPr>
      <w:r>
        <w:rPr>
          <w:noProof/>
        </w:rPr>
        <w:t>La proposta è conforme al principio di proporzionalità. Le misure previste sono in linea con i principi intesi a semplificare le procedure per gli operatori del commercio estero, enunciati nella comunicazione della Commissione in materia di sospensioni e contingenti tariffari autonomi</w:t>
      </w:r>
      <w:r>
        <w:rPr>
          <w:rStyle w:val="FootnoteReference"/>
          <w:noProof/>
        </w:rPr>
        <w:footnoteReference w:id="2"/>
      </w:r>
      <w:r>
        <w:rPr>
          <w:noProof/>
        </w:rPr>
        <w:t>. Il presente regolamento si limita a quanto necessario per il raggiungimento degli obiettivi perseguiti, in conformità dell'articolo 5, paragrafo 4, del trattato sull'Unione europea (TUE).</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rPr>
          <w:noProof/>
        </w:rPr>
      </w:pPr>
      <w:r>
        <w:rPr>
          <w:noProof/>
        </w:rPr>
        <w:t xml:space="preserve">In virtù dell'articolo 31 del TFUE "i dazi della tariffa doganale comune sono stabiliti dal Consiglio su proposta della Commissione.". Di conseguenza, un regolamento del Consiglio costituisce lo strumento appropriato. </w:t>
      </w:r>
    </w:p>
    <w:p>
      <w:pPr>
        <w:pStyle w:val="ManualHeading1"/>
        <w:rPr>
          <w:rFonts w:eastAsia="Calibri"/>
          <w:noProof/>
        </w:rPr>
      </w:pPr>
      <w:r>
        <w:t>3.</w:t>
      </w:r>
      <w:r>
        <w:tab/>
      </w:r>
      <w:r>
        <w:rPr>
          <w:noProof/>
        </w:rPr>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pBdr>
          <w:top w:val="nil"/>
          <w:left w:val="nil"/>
          <w:bottom w:val="nil"/>
          <w:right w:val="nil"/>
          <w:between w:val="nil"/>
          <w:bar w:val="nil"/>
        </w:pBdr>
        <w:spacing w:before="0" w:after="240"/>
        <w:rPr>
          <w:noProof/>
        </w:rPr>
      </w:pPr>
      <w:r>
        <w:rPr>
          <w:noProof/>
        </w:rPr>
        <w:t>Nel 2013 il regime dei contingenti tariffari autonomi è stato oggetto di uno studio di valutazione sulle sospensioni tariffarie autonome</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Le due misure sono infatti analoghe, tranne per il fatto che i contingenti tariffari limitano il volume di importazioni. La valutazione ha concluso che il principio fondamentale del regime rimane valido. I risparmi sui costi per le imprese dell'Unione che importano merci nell'ambito del regime possono essere significativi. Tali risparmi possono a loro volta comportare più ampi benefici (ad esempio accresciute capacità concorrenziali, metodi di produzione più efficienti, creazione o mantenimento di posti di lavoro nell'Unione, ecc.), a seconda del prodotto, dell'impresa e del settore in questione. Dati più dettagliati sui risparmi realizzati grazie al presente regolamento figurano nella scheda finanziaria legislativa allegata.</w:t>
      </w:r>
    </w:p>
    <w:p>
      <w:pPr>
        <w:pStyle w:val="ManualHeading2"/>
        <w:rPr>
          <w:rFonts w:eastAsia="Arial Unicode MS"/>
          <w:noProof/>
          <w:u w:color="000000"/>
          <w:bdr w:val="nil"/>
        </w:rPr>
      </w:pPr>
      <w:r>
        <w:rPr>
          <w:noProof/>
          <w:u w:color="000000"/>
          <w:bdr w:val="nil"/>
        </w:rPr>
        <w:t>•</w:t>
      </w:r>
      <w:r>
        <w:rPr>
          <w:noProof/>
          <w:u w:color="000000"/>
          <w:bdr w:val="nil"/>
        </w:rPr>
        <w:tab/>
        <w:t>Consultazioni dei portatori di interessi</w:t>
      </w:r>
    </w:p>
    <w:p>
      <w:pPr>
        <w:rPr>
          <w:noProof/>
        </w:rPr>
      </w:pPr>
      <w:r>
        <w:rPr>
          <w:noProof/>
        </w:rPr>
        <w:t>Il gruppo "Economia tariffaria", composto da delegazioni provenienti da tutti gli Stati membri e dalla Turchia, ha coadiuvato la Commissione nella valutazione della presente proposta. Il gruppo si è riunito tre volte prima di approvare le modifiche contenute nella presente proposta.</w:t>
      </w:r>
    </w:p>
    <w:p>
      <w:pPr>
        <w:rPr>
          <w:noProof/>
        </w:rPr>
      </w:pPr>
      <w:r>
        <w:rPr>
          <w:noProof/>
        </w:rPr>
        <w:t>Ogni richiesta (nuova richiesta o richiesta di modifica) è stata attentamente valutata. Ogni caso è stato esaminato nello specifico per accertare che non danneggiasse i produttori dell'Unione e che rafforzasse e consolidasse la competitività della produzione dell'Unione. I membri del gruppo hanno condotto la valutazione mediante dibattiti, mentre gli Stati membri hanno consultato i settori, le associazioni e le camere di commercio interessati nonché gli altri portatori di interesse.</w:t>
      </w:r>
    </w:p>
    <w:p>
      <w:pPr>
        <w:rPr>
          <w:noProof/>
        </w:rPr>
      </w:pPr>
      <w:r>
        <w:rPr>
          <w:noProof/>
        </w:rPr>
        <w:t>Tutti i contingenti tariffari elencati erano oggetto di accordi o compromessi raggiunti nel corso dei dibattiti in seno al gruppo. Non sono stati menzionati rischi potenzialmente gravi con conseguenze irreversibili.</w:t>
      </w:r>
    </w:p>
    <w:p>
      <w:pPr>
        <w:pStyle w:val="ManualHeading2"/>
        <w:rPr>
          <w:rFonts w:eastAsia="Arial Unicode MS"/>
          <w:noProof/>
          <w:u w:color="000000"/>
          <w:bdr w:val="nil"/>
        </w:rPr>
      </w:pPr>
      <w:r>
        <w:rPr>
          <w:noProof/>
          <w:u w:color="000000"/>
          <w:bdr w:val="nil"/>
        </w:rPr>
        <w:lastRenderedPageBreak/>
        <w:t>•</w:t>
      </w:r>
      <w:r>
        <w:rPr>
          <w:noProof/>
          <w:u w:color="000000"/>
          <w:bdr w:val="nil"/>
        </w:rPr>
        <w:tab/>
        <w:t>Valutazione d'impatto</w:t>
      </w:r>
    </w:p>
    <w:p>
      <w:pPr>
        <w:rPr>
          <w:noProof/>
        </w:rPr>
      </w:pPr>
      <w:r>
        <w:rPr>
          <w:noProof/>
        </w:rPr>
        <w:t>La modifica proposta è di natura meramente tecnica e riguarda solo il campo di applicazione dei contingenti tariffari elencati nell'allegato del regolamento (UE) n. 1388/2013. Pertanto, per la presente proposta non è stata effettuata alcuna valutazione d'impatto.</w:t>
      </w:r>
    </w:p>
    <w:p>
      <w:pPr>
        <w:pStyle w:val="ManualHeading2"/>
        <w:rPr>
          <w:rFonts w:eastAsia="Arial Unicode MS"/>
          <w:noProof/>
          <w:u w:color="000000"/>
          <w:bdr w:val="nil"/>
        </w:rPr>
      </w:pPr>
      <w:r>
        <w:rPr>
          <w:noProof/>
          <w:u w:color="000000"/>
          <w:bdr w:val="nil"/>
        </w:rPr>
        <w:t>•</w:t>
      </w:r>
      <w:r>
        <w:rPr>
          <w:noProof/>
          <w:u w:color="000000"/>
          <w:bdr w:val="nil"/>
        </w:rPr>
        <w:tab/>
        <w:t>Diritti fondamentali</w:t>
      </w:r>
    </w:p>
    <w:p>
      <w:pPr>
        <w:pBdr>
          <w:top w:val="nil"/>
          <w:left w:val="nil"/>
          <w:bottom w:val="nil"/>
          <w:right w:val="nil"/>
          <w:between w:val="nil"/>
          <w:bar w:val="nil"/>
        </w:pBdr>
        <w:spacing w:before="0" w:after="240"/>
        <w:rPr>
          <w:rFonts w:eastAsia="Arial Unicode MS"/>
          <w:noProof/>
        </w:rPr>
      </w:pPr>
      <w:r>
        <w:rPr>
          <w:noProof/>
        </w:rPr>
        <w:t>La proposta non incide su alcun diritto fondamentale.</w:t>
      </w:r>
    </w:p>
    <w:p>
      <w:pPr>
        <w:pStyle w:val="ManualHeading1"/>
        <w:rPr>
          <w:rFonts w:eastAsia="Calibri"/>
          <w:noProof/>
        </w:rPr>
      </w:pPr>
      <w:r>
        <w:t>4.</w:t>
      </w:r>
      <w:r>
        <w:tab/>
      </w:r>
      <w:r>
        <w:rPr>
          <w:noProof/>
        </w:rPr>
        <w:t>INCIDENZA SUL BILANCIO</w:t>
      </w:r>
    </w:p>
    <w:p>
      <w:pPr>
        <w:rPr>
          <w:noProof/>
        </w:rPr>
      </w:pPr>
      <w:r>
        <w:rPr>
          <w:noProof/>
        </w:rPr>
        <w:t>La proposta è priva di incidenza finanziaria sulle spese, ma ha incidenza finanziaria sulle entrate: i dazi doganali non percepiti ammontano a circa 1,4 milioni di EUR l'anno. L'effetto sulle risorse proprie tradizionali del bilancio è pari a 1,1 milioni di EUR l'anno (pari all'80 % del totale). La scheda finanziaria legislativa illustra in modo più dettagliato le implicazioni in materia di bilancio della proposta.</w:t>
      </w:r>
    </w:p>
    <w:p>
      <w:pPr>
        <w:rPr>
          <w:noProof/>
          <w:szCs w:val="24"/>
        </w:rPr>
      </w:pPr>
      <w:r>
        <w:rPr>
          <w:noProof/>
        </w:rPr>
        <w:t>La perdita di entrate nelle risorse proprie tradizionali sarà compensata dai contributi relativi alla risorsa propria versati dagli Stati membri sulla base del loro reddito nazionale lordo (RNL).</w:t>
      </w:r>
    </w:p>
    <w:p>
      <w:pPr>
        <w:pStyle w:val="ManualHeading1"/>
        <w:rPr>
          <w:rFonts w:eastAsia="Calibri"/>
          <w:noProof/>
        </w:rPr>
      </w:pPr>
      <w:r>
        <w:t>5.</w:t>
      </w:r>
      <w:r>
        <w:tab/>
      </w:r>
      <w:r>
        <w:rPr>
          <w:noProof/>
        </w:rPr>
        <w:t>ALTRI ELEMENTI</w:t>
      </w:r>
    </w:p>
    <w:p>
      <w:pPr>
        <w:pStyle w:val="ManualHeading2"/>
        <w:rPr>
          <w:rFonts w:eastAsia="Arial Unicode MS"/>
          <w:noProof/>
          <w:u w:color="000000"/>
          <w:bdr w:val="nil"/>
        </w:rPr>
      </w:pPr>
      <w:r>
        <w:rPr>
          <w:noProof/>
          <w:u w:color="000000"/>
          <w:bdr w:val="nil"/>
        </w:rPr>
        <w:t>•</w:t>
      </w:r>
      <w:r>
        <w:rPr>
          <w:noProof/>
          <w:u w:color="000000"/>
          <w:bdr w:val="nil"/>
        </w:rPr>
        <w:tab/>
        <w:t>Piani attuativi e modalità di monitoraggio, valutazione e informazione</w:t>
      </w:r>
    </w:p>
    <w:p>
      <w:pPr>
        <w:pBdr>
          <w:top w:val="nil"/>
          <w:left w:val="nil"/>
          <w:bottom w:val="nil"/>
          <w:right w:val="nil"/>
          <w:between w:val="nil"/>
          <w:bar w:val="nil"/>
        </w:pBdr>
        <w:spacing w:before="0" w:after="240"/>
        <w:rPr>
          <w:noProof/>
        </w:rPr>
      </w:pPr>
      <w:r>
        <w:rPr>
          <w:noProof/>
        </w:rPr>
        <w:t>Le misure proposte sono gestite nell'ambito della Tariffa integrata dell'Unione europea (TARIC) e applicate dalle amministrazioni doganali degli Stati membri.</w:t>
      </w:r>
    </w:p>
    <w:p>
      <w:pPr>
        <w:rPr>
          <w:noProof/>
        </w:rPr>
        <w:sectPr>
          <w:footerReference w:type="default" r:id="rId11"/>
          <w:footerReference w:type="first" r:id="rId12"/>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2020/0063 (NLE)</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che modifica il regolamento (UE) n. 1388/2013 recante apertura e modalità di gestione di contingenti tariffari autonomi dell'Unione per taluni prodotti agricoli e industriali</w:t>
      </w:r>
    </w:p>
    <w:p>
      <w:pPr>
        <w:pStyle w:val="Institutionquiagit"/>
        <w:rPr>
          <w:noProof/>
        </w:rPr>
      </w:pPr>
      <w:r>
        <w:rPr>
          <w:noProof/>
        </w:rPr>
        <w:t>IL CONSIGLIO DELL'UNIONE EUROPEA,</w:t>
      </w:r>
    </w:p>
    <w:p>
      <w:pPr>
        <w:rPr>
          <w:noProof/>
        </w:rPr>
      </w:pPr>
      <w:r>
        <w:rPr>
          <w:noProof/>
        </w:rPr>
        <w:t>visto il trattato sul funzionamento dell'Unione europea, in particolare l'articolo 31,</w:t>
      </w:r>
    </w:p>
    <w:p>
      <w:pPr>
        <w:rPr>
          <w:noProof/>
        </w:rPr>
      </w:pPr>
      <w:r>
        <w:rPr>
          <w:noProof/>
        </w:rPr>
        <w:t>vista la proposta della Commissione europea,</w:t>
      </w:r>
    </w:p>
    <w:p>
      <w:pPr>
        <w:rPr>
          <w:i/>
          <w:noProof/>
        </w:rPr>
      </w:pPr>
      <w:r>
        <w:rPr>
          <w:noProof/>
        </w:rPr>
        <w:t>considerando quanto segue:</w:t>
      </w:r>
    </w:p>
    <w:p>
      <w:pPr>
        <w:pStyle w:val="ManualConsidrant"/>
        <w:rPr>
          <w:noProof/>
        </w:rPr>
      </w:pPr>
      <w:r>
        <w:t>(1)</w:t>
      </w:r>
      <w:r>
        <w:tab/>
      </w:r>
      <w:r>
        <w:rPr>
          <w:noProof/>
        </w:rPr>
        <w:t>Per garantire un approvvigionamento sufficiente e regolare di taluni prodotti agricoli e industriali la cui produzione nell'Unione è insufficiente e per evitare in tal modo perturbazioni del mercato per tali prodotti, il regolamento (UE) n. 1388/2013 del Consiglio ha aperto contingenti tariffari autonomi</w:t>
      </w:r>
      <w:r>
        <w:rPr>
          <w:rStyle w:val="FootnoteReference"/>
          <w:noProof/>
        </w:rPr>
        <w:footnoteReference w:id="4"/>
      </w:r>
      <w:r>
        <w:rPr>
          <w:noProof/>
        </w:rPr>
        <w:t>. I prodotti compresi in detti contingenti tariffari possono essere importati nell'Unione ad aliquota ridotta o nulla.</w:t>
      </w:r>
    </w:p>
    <w:p>
      <w:pPr>
        <w:pStyle w:val="ManualConsidrant"/>
        <w:rPr>
          <w:noProof/>
        </w:rPr>
      </w:pPr>
      <w:r>
        <w:t>(2)</w:t>
      </w:r>
      <w:r>
        <w:tab/>
      </w:r>
      <w:r>
        <w:rPr>
          <w:noProof/>
        </w:rPr>
        <w:t xml:space="preserve">Poiché è nell'interesse dell'Unione garantire un adeguato approvvigionamento di taluni prodotti industriali e considerato il fatto che prodotti identici, equivalenti o di sostituzione non sono fabbricati in quantità sufficienti all'interno dell'Unione, è necessario aprire nuovi contingenti tariffari recanti i numeri d'ordine 09.2580, 09.2581 e 09.2583 a dazio zero per quantitativi adeguati di tali prodotti. </w:t>
      </w:r>
    </w:p>
    <w:p>
      <w:pPr>
        <w:pStyle w:val="ManualConsidrant"/>
        <w:rPr>
          <w:noProof/>
          <w:sz w:val="22"/>
        </w:rPr>
      </w:pPr>
      <w:r>
        <w:t>(3)</w:t>
      </w:r>
      <w:r>
        <w:tab/>
      </w:r>
      <w:r>
        <w:rPr>
          <w:noProof/>
        </w:rPr>
        <w:t>Poiché è nell'interesse dell'Unione garantire un adeguato approvvigionamento di taluni prodotti industriali, è opportuno aumentare i volumi dei contingenti tariffari recanti i numeri d'ordine 09.2634 e 09.2668.</w:t>
      </w:r>
    </w:p>
    <w:p>
      <w:pPr>
        <w:pStyle w:val="ManualConsidrant"/>
        <w:rPr>
          <w:noProof/>
        </w:rPr>
      </w:pPr>
      <w:r>
        <w:t>(4)</w:t>
      </w:r>
      <w:r>
        <w:tab/>
      </w:r>
      <w:r>
        <w:rPr>
          <w:noProof/>
        </w:rPr>
        <w:t>Poiché l'ambito di applicazione del contingente tariffario recante il numero d'ordine 09.2652 è divenuto inadeguato per soddisfare le esigenze degli operatori economici nell'Unione, è opportuno modificare la designazione del prodotto compreso in tale contingente.</w:t>
      </w:r>
    </w:p>
    <w:p>
      <w:pPr>
        <w:pStyle w:val="ManualConsidrant"/>
        <w:rPr>
          <w:noProof/>
        </w:rPr>
      </w:pPr>
      <w:r>
        <w:t>(5)</w:t>
      </w:r>
      <w:r>
        <w:tab/>
      </w:r>
      <w:r>
        <w:rPr>
          <w:noProof/>
        </w:rPr>
        <w:t>Per il contingente tariffario recante il numero d'ordine 09.2588 è opportuno prorogare il periodo contingentale al 31 dicembre 2020 in quanto tale contingente era stato aperto per un periodo di soli sei mesi ed è ancora nell'interesse dell'Unione mantenerlo.</w:t>
      </w:r>
    </w:p>
    <w:p>
      <w:pPr>
        <w:pStyle w:val="ManualConsidrant"/>
        <w:rPr>
          <w:noProof/>
        </w:rPr>
      </w:pPr>
      <w:r>
        <w:t>(6)</w:t>
      </w:r>
      <w:r>
        <w:tab/>
      </w:r>
      <w:r>
        <w:rPr>
          <w:noProof/>
        </w:rPr>
        <w:t xml:space="preserve">Le sostanze solfato di dimetile (CAS RN 77-78-1) avente una purezza pari o superiore al 99 %, 2-metilanilina (CAS RN 95-53-4) avente una purezza, in peso, pari o superiore al 99 % e 4,4' -metandiildianilina (CAS RN 101-77-9) avente una purezza, </w:t>
      </w:r>
      <w:r>
        <w:rPr>
          <w:noProof/>
        </w:rPr>
        <w:lastRenderedPageBreak/>
        <w:t>in peso, pari o superiore al 97 % sono incluse nell'elenco delle sostanze candidate di cui all'articolo 59 del regolamento (CE) n. 1907/2006 del Parlamento europeo e del Consiglio</w:t>
      </w:r>
      <w:r>
        <w:rPr>
          <w:rStyle w:val="FootnoteReference"/>
          <w:noProof/>
        </w:rPr>
        <w:footnoteReference w:id="5"/>
      </w:r>
      <w:r>
        <w:rPr>
          <w:noProof/>
        </w:rPr>
        <w:t xml:space="preserve"> e la sostanza con numero CAS RN 101-77-9 è inclusa nell'allegato XIV del suddetto regolamento. Per tale motivo i contingenti tariffari esistenti per tali prodotti saranno progressivamente chiusi e gli eventuali contingenti tariffari nuovi si applicheranno per un periodo limitato. Pertanto è opportuno che i contingenti tariffari recanti i numeri d'ordine 09.2648 e 09.2730 si applichino fino al 31 dicembre 2020 con un'aliquota convenzionale del dazio pari al 2 %. Inoltre saranno chiusi i contingenti tariffari recanti il numero d'ordine 09.2590 e sarà aperto fino al 31 dicembre 2020 un nuovo contingente tariffario recante il numero d'ordine 09.2582 con un'aliquota convenzionale del dazio pari al 2 %.  </w:t>
      </w:r>
    </w:p>
    <w:p>
      <w:pPr>
        <w:pStyle w:val="ManualConsidrant"/>
        <w:rPr>
          <w:noProof/>
        </w:rPr>
      </w:pPr>
      <w:r>
        <w:t>(7)</w:t>
      </w:r>
      <w:r>
        <w:tab/>
      </w:r>
      <w:r>
        <w:rPr>
          <w:noProof/>
        </w:rPr>
        <w:t>Tenuto conto delle modifiche da apportare e per motivi di chiarezza, è opportuno sostituire l'allegato del regolamento (UE) n. 1388/2013.</w:t>
      </w:r>
    </w:p>
    <w:p>
      <w:pPr>
        <w:pStyle w:val="ManualConsidrant"/>
        <w:rPr>
          <w:noProof/>
        </w:rPr>
      </w:pPr>
      <w:r>
        <w:t>(8)</w:t>
      </w:r>
      <w:r>
        <w:tab/>
      </w:r>
      <w:r>
        <w:rPr>
          <w:noProof/>
        </w:rPr>
        <w:t>Al fine di evitare ogni interruzione nell'applicazione del regime dei contingenti tariffari e di rispettare gli orientamenti stabiliti nella comunicazione della Commissione in materia di sospensioni e contingenti tariffari autonomi</w:t>
      </w:r>
      <w:r>
        <w:rPr>
          <w:rStyle w:val="FootnoteReference"/>
          <w:noProof/>
        </w:rPr>
        <w:footnoteReference w:id="6"/>
      </w:r>
      <w:r>
        <w:rPr>
          <w:noProof/>
        </w:rPr>
        <w:t>, le modifiche di cui al presente regolamento riguardanti i contingenti tariffari relativi ai prodotti interessati dovrebbero applicarsi a decorrere dal 1° luglio 2020. È pertanto opportuno che il presente regolamento entri in vigore con urgenza,</w:t>
      </w:r>
    </w:p>
    <w:p>
      <w:pPr>
        <w:pStyle w:val="Formuledadoption"/>
        <w:rPr>
          <w:noProof/>
        </w:rPr>
      </w:pPr>
      <w:r>
        <w:rPr>
          <w:noProof/>
        </w:rPr>
        <w:t>HA ADOTTATO IL PRESENTE REGOLAMENTO:</w:t>
      </w:r>
    </w:p>
    <w:p>
      <w:pPr>
        <w:pStyle w:val="Titrearticle"/>
        <w:rPr>
          <w:i w:val="0"/>
          <w:noProof/>
        </w:rPr>
      </w:pPr>
      <w:r>
        <w:rPr>
          <w:i w:val="0"/>
          <w:noProof/>
        </w:rPr>
        <w:t>Articolo 1</w:t>
      </w:r>
    </w:p>
    <w:p>
      <w:pPr>
        <w:rPr>
          <w:rFonts w:cs="EUAlbertina"/>
          <w:noProof/>
        </w:rPr>
      </w:pPr>
      <w:r>
        <w:rPr>
          <w:noProof/>
        </w:rPr>
        <w:t>Il regolamento (UE) n. 1388/2013 è così modificato:</w:t>
      </w:r>
    </w:p>
    <w:p>
      <w:pPr>
        <w:rPr>
          <w:rFonts w:cs="EUAlbertina"/>
          <w:noProof/>
        </w:rPr>
      </w:pPr>
      <w:r>
        <w:rPr>
          <w:noProof/>
        </w:rPr>
        <w:tab/>
      </w:r>
    </w:p>
    <w:p>
      <w:pPr>
        <w:rPr>
          <w:noProof/>
          <w:sz w:val="22"/>
        </w:rPr>
      </w:pPr>
      <w:r>
        <w:rPr>
          <w:noProof/>
        </w:rPr>
        <w:t>l'allegato del regolamento (UE) n. 1388/2013 è sostituito dal testo di cui all'allegato del presente regolamento.</w:t>
      </w:r>
    </w:p>
    <w:p>
      <w:pPr>
        <w:pStyle w:val="Titrearticle"/>
        <w:rPr>
          <w:i w:val="0"/>
          <w:noProof/>
        </w:rPr>
      </w:pPr>
      <w:r>
        <w:rPr>
          <w:i w:val="0"/>
          <w:noProof/>
        </w:rPr>
        <w:t>Articolo 2</w:t>
      </w:r>
    </w:p>
    <w:p>
      <w:pPr>
        <w:rPr>
          <w:iCs/>
          <w:noProof/>
        </w:rPr>
      </w:pPr>
      <w:r>
        <w:rPr>
          <w:noProof/>
        </w:rPr>
        <w:t xml:space="preserve">Il presente regolamento entra in vigore il giorno successivo alla pubblicazione nella </w:t>
      </w:r>
      <w:r>
        <w:rPr>
          <w:i/>
          <w:iCs/>
          <w:noProof/>
        </w:rPr>
        <w:t>Gazzetta ufficiale dell'Unione europea</w:t>
      </w:r>
      <w:r>
        <w:rPr>
          <w:noProof/>
        </w:rPr>
        <w:t>.</w:t>
      </w:r>
    </w:p>
    <w:p>
      <w:pPr>
        <w:rPr>
          <w:noProof/>
        </w:rPr>
      </w:pPr>
    </w:p>
    <w:p>
      <w:pPr>
        <w:rPr>
          <w:noProof/>
        </w:rPr>
      </w:pPr>
      <w:r>
        <w:rPr>
          <w:noProof/>
        </w:rPr>
        <w:t xml:space="preserve">L'articolo 1 si applica a decorrere dal 1° luglio 2020. </w:t>
      </w:r>
    </w:p>
    <w:p>
      <w:pPr>
        <w:pStyle w:val="Applicationdirecte"/>
        <w:rPr>
          <w:noProof/>
        </w:rPr>
      </w:pPr>
    </w:p>
    <w:p>
      <w:pPr>
        <w:pStyle w:val="Applicationdirecte"/>
        <w:rPr>
          <w:noProof/>
        </w:rPr>
      </w:pPr>
    </w:p>
    <w:p>
      <w:pPr>
        <w:pStyle w:val="Applicationdirecte"/>
        <w:rPr>
          <w:noProof/>
        </w:rPr>
      </w:pPr>
      <w:r>
        <w:rPr>
          <w:noProof/>
        </w:rPr>
        <w:lastRenderedPageBreak/>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w:t>
      </w:r>
    </w:p>
    <w:p>
      <w:pPr>
        <w:keepNext/>
        <w:spacing w:before="360"/>
        <w:outlineLvl w:val="0"/>
        <w:rPr>
          <w:b/>
          <w:smallCaps/>
          <w:noProof/>
        </w:rPr>
      </w:pPr>
      <w:r>
        <w:rPr>
          <w:b/>
          <w:smallCaps/>
          <w:noProof/>
        </w:rPr>
        <w:t>1.</w:t>
      </w:r>
      <w:r>
        <w:rPr>
          <w:b/>
          <w:smallCaps/>
          <w:noProof/>
        </w:rPr>
        <w:tab/>
        <w:t>TITOLO DELLA PROPOSTA:</w:t>
      </w:r>
    </w:p>
    <w:p>
      <w:pPr>
        <w:rPr>
          <w:noProof/>
        </w:rPr>
      </w:pPr>
      <w:r>
        <w:rPr>
          <w:noProof/>
        </w:rPr>
        <w:t>Regolamento del Consiglio che modifica il regolamento (UE) n. 1388/2013 recante apertura e modalità di gestione di contingenti tariffari autonomi dell'Unione per taluni prodotti agricoli e industriali</w:t>
      </w:r>
    </w:p>
    <w:p>
      <w:pPr>
        <w:keepNext/>
        <w:spacing w:before="360"/>
        <w:outlineLvl w:val="0"/>
        <w:rPr>
          <w:b/>
          <w:smallCaps/>
          <w:noProof/>
        </w:rPr>
      </w:pPr>
      <w:r>
        <w:rPr>
          <w:b/>
          <w:smallCaps/>
          <w:noProof/>
        </w:rPr>
        <w:t>2.</w:t>
      </w:r>
      <w:r>
        <w:rPr>
          <w:b/>
          <w:smallCaps/>
          <w:noProof/>
        </w:rPr>
        <w:tab/>
        <w:t>LINEE DI BILANCIO</w:t>
      </w:r>
    </w:p>
    <w:p>
      <w:pPr>
        <w:spacing w:before="100" w:beforeAutospacing="1" w:after="100" w:afterAutospacing="1"/>
        <w:jc w:val="left"/>
        <w:rPr>
          <w:rFonts w:eastAsia="Times New Roman"/>
          <w:noProof/>
          <w:szCs w:val="24"/>
        </w:rPr>
      </w:pPr>
      <w:r>
        <w:rPr>
          <w:noProof/>
        </w:rPr>
        <w:t>Capitolo e articolo:</w:t>
      </w:r>
      <w:r>
        <w:rPr>
          <w:noProof/>
        </w:rPr>
        <w:br/>
        <w:t>capitolo 12 e articolo 120 - Dazi doganali e altri diritti previsti dall'articolo 2, paragrafo 1, lettera a), della decisione 2014/335/UE, Euratom</w:t>
      </w:r>
    </w:p>
    <w:p>
      <w:pPr>
        <w:spacing w:before="100" w:beforeAutospacing="1" w:after="100" w:afterAutospacing="1"/>
        <w:jc w:val="left"/>
        <w:rPr>
          <w:rFonts w:eastAsia="Times New Roman"/>
          <w:noProof/>
          <w:szCs w:val="24"/>
        </w:rPr>
      </w:pPr>
      <w:r>
        <w:rPr>
          <w:noProof/>
        </w:rPr>
        <w:t>importo iscritto a bilancio per l'esercizio 2020 (22 156 900 000 EUR)</w:t>
      </w:r>
    </w:p>
    <w:p>
      <w:pPr>
        <w:keepNext/>
        <w:spacing w:before="360"/>
        <w:outlineLvl w:val="0"/>
        <w:rPr>
          <w:b/>
          <w:smallCaps/>
          <w:noProof/>
        </w:rPr>
      </w:pPr>
      <w:r>
        <w:rPr>
          <w:b/>
          <w:smallCaps/>
          <w:noProof/>
        </w:rPr>
        <w:t>3.</w:t>
      </w:r>
      <w:r>
        <w:rPr>
          <w:b/>
          <w:smallCaps/>
          <w:noProof/>
        </w:rPr>
        <w:tab/>
        <w:t>INCIDENZA FINANZIARIA</w:t>
      </w:r>
    </w:p>
    <w:p>
      <w:pPr>
        <w:rPr>
          <w:noProof/>
        </w:rPr>
      </w:pPr>
      <w:r>
        <w:rPr>
          <w:noProof/>
        </w:rPr>
        <w:sym w:font="Wingdings" w:char="F0A8"/>
      </w:r>
      <w:r>
        <w:rPr>
          <w:noProof/>
        </w:rPr>
        <w:tab/>
        <w:t>La proposta non ha incidenza finanziaria</w:t>
      </w:r>
    </w:p>
    <w:p>
      <w:pPr>
        <w:rPr>
          <w:noProof/>
        </w:rPr>
      </w:pPr>
      <w:r>
        <w:rPr>
          <w:noProof/>
        </w:rPr>
        <w:t>X</w:t>
      </w:r>
      <w:r>
        <w:rPr>
          <w:noProof/>
        </w:rPr>
        <w:tab/>
        <w:t>Proposta senza incidenza finanziaria sulle spese ma con incidenza finanziaria sulle entrate, il cui effetto è il seguente:</w:t>
      </w:r>
    </w:p>
    <w:p>
      <w:pPr>
        <w:jc w:val="right"/>
        <w:rPr>
          <w:noProof/>
          <w:sz w:val="18"/>
        </w:rPr>
      </w:pPr>
      <w:r>
        <w:rPr>
          <w:noProof/>
        </w:rPr>
        <w:t>Mio EUR (al primo decimale)</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Linea di bilancio</w:t>
            </w:r>
          </w:p>
        </w:tc>
        <w:tc>
          <w:tcPr>
            <w:tcW w:w="2879" w:type="dxa"/>
          </w:tcPr>
          <w:p>
            <w:pPr>
              <w:jc w:val="center"/>
              <w:rPr>
                <w:noProof/>
              </w:rPr>
            </w:pPr>
            <w:r>
              <w:rPr>
                <w:noProof/>
              </w:rPr>
              <w:t>Entrate</w:t>
            </w:r>
            <w:r>
              <w:rPr>
                <w:rStyle w:val="FootnoteReference"/>
                <w:noProof/>
              </w:rPr>
              <w:footnoteReference w:id="7"/>
            </w:r>
          </w:p>
        </w:tc>
        <w:tc>
          <w:tcPr>
            <w:tcW w:w="2040" w:type="dxa"/>
          </w:tcPr>
          <w:p>
            <w:pPr>
              <w:jc w:val="center"/>
              <w:rPr>
                <w:noProof/>
              </w:rPr>
            </w:pPr>
            <w:r>
              <w:rPr>
                <w:noProof/>
              </w:rPr>
              <w:t>Periodo di 6 mesi, a decorrere dal gg/mm/aaaa</w:t>
            </w:r>
          </w:p>
        </w:tc>
        <w:tc>
          <w:tcPr>
            <w:tcW w:w="2160" w:type="dxa"/>
          </w:tcPr>
          <w:p>
            <w:pPr>
              <w:jc w:val="center"/>
              <w:rPr>
                <w:noProof/>
              </w:rPr>
            </w:pPr>
            <w:r>
              <w:rPr>
                <w:noProof/>
              </w:rPr>
              <w:t>[Esercizio: secondo semestre del 2020]</w:t>
            </w:r>
          </w:p>
        </w:tc>
      </w:tr>
      <w:tr>
        <w:tc>
          <w:tcPr>
            <w:tcW w:w="1321" w:type="dxa"/>
          </w:tcPr>
          <w:p>
            <w:pPr>
              <w:rPr>
                <w:noProof/>
              </w:rPr>
            </w:pPr>
            <w:r>
              <w:rPr>
                <w:noProof/>
              </w:rPr>
              <w:t>Articolo 120</w:t>
            </w:r>
          </w:p>
        </w:tc>
        <w:tc>
          <w:tcPr>
            <w:tcW w:w="2879" w:type="dxa"/>
          </w:tcPr>
          <w:p>
            <w:pPr>
              <w:jc w:val="center"/>
              <w:rPr>
                <w:i/>
                <w:noProof/>
              </w:rPr>
            </w:pPr>
            <w:r>
              <w:rPr>
                <w:i/>
                <w:noProof/>
              </w:rPr>
              <w:t>Incidenza sulle risorse proprie</w:t>
            </w:r>
          </w:p>
        </w:tc>
        <w:tc>
          <w:tcPr>
            <w:tcW w:w="2040" w:type="dxa"/>
          </w:tcPr>
          <w:p>
            <w:pPr>
              <w:jc w:val="center"/>
              <w:rPr>
                <w:noProof/>
              </w:rPr>
            </w:pPr>
            <w:r>
              <w:rPr>
                <w:noProof/>
              </w:rPr>
              <w:t>1.7.2020</w:t>
            </w:r>
          </w:p>
        </w:tc>
        <w:tc>
          <w:tcPr>
            <w:tcW w:w="2160" w:type="dxa"/>
          </w:tcPr>
          <w:p>
            <w:pPr>
              <w:pStyle w:val="ListParagraph"/>
              <w:rPr>
                <w:noProof/>
              </w:rPr>
            </w:pPr>
            <w:r>
              <w:rPr>
                <w:noProof/>
              </w:rPr>
              <w:t>-0,5</w:t>
            </w:r>
          </w:p>
        </w:tc>
      </w:tr>
    </w:tbl>
    <w:p>
      <w:pPr>
        <w:spacing w:before="100" w:beforeAutospacing="1" w:after="100" w:afterAutospacing="1"/>
        <w:rPr>
          <w:noProof/>
          <w:szCs w:val="24"/>
        </w:rPr>
      </w:pPr>
      <w:r>
        <w:rPr>
          <w:noProof/>
        </w:rPr>
        <w:t>L'allegato contiene tre nuovi prodotti. I dazi non riscossi corrispondenti a tali contingenti tariffari, calcolati in base alle previsioni dello Stato membro richiedente per il 2020, ammontano a 1 554 954 EUR all'anno.</w:t>
      </w:r>
    </w:p>
    <w:p>
      <w:pPr>
        <w:pStyle w:val="Text1"/>
        <w:ind w:left="0"/>
        <w:rPr>
          <w:noProof/>
        </w:rPr>
      </w:pPr>
      <w:r>
        <w:rPr>
          <w:noProof/>
        </w:rPr>
        <w:t xml:space="preserve">L'aliquota del dazio pari a zero per 3 contingenti esistenti è stata aumentata al 2 %. Ciò rappresenta un aumento di 182 864 EUR all'anno nella riscossione dei dazi, calcolato sulla base delle statistiche del 2019.  </w:t>
      </w:r>
    </w:p>
    <w:p>
      <w:pPr>
        <w:spacing w:before="100" w:beforeAutospacing="1" w:after="100" w:afterAutospacing="1"/>
        <w:rPr>
          <w:noProof/>
        </w:rPr>
      </w:pPr>
      <w:r>
        <w:rPr>
          <w:noProof/>
        </w:rPr>
        <w:t>Sulla base di quanto precede, l'incidenza sulla perdita di entrate per il bilancio dell'UE derivante dal presente regolamento è stimata a 1 554 954 EUR – 182 864 EUR = 1 372 090 EUR (importo lordo, inclusi i costi di riscossione) x 0,8 = 1 097 672 EUR all'anno (importo netto).</w:t>
      </w:r>
    </w:p>
    <w:p>
      <w:pPr>
        <w:spacing w:before="100" w:beforeAutospacing="1" w:after="100" w:afterAutospacing="1"/>
        <w:rPr>
          <w:noProof/>
          <w:szCs w:val="24"/>
        </w:rPr>
      </w:pPr>
    </w:p>
    <w:p>
      <w:pPr>
        <w:rPr>
          <w:noProof/>
        </w:rPr>
      </w:pPr>
      <w:r>
        <w:rPr>
          <w:noProof/>
        </w:rPr>
        <w:t>4.</w:t>
      </w:r>
      <w:r>
        <w:rPr>
          <w:noProof/>
        </w:rPr>
        <w:tab/>
      </w:r>
      <w:r>
        <w:rPr>
          <w:b/>
          <w:noProof/>
        </w:rPr>
        <w:t>MISURE ANTIFRODE</w:t>
      </w:r>
    </w:p>
    <w:p>
      <w:pPr>
        <w:rPr>
          <w:noProof/>
        </w:rPr>
      </w:pPr>
      <w:r>
        <w:rPr>
          <w:noProof/>
        </w:rPr>
        <w:t>Saranno effettuati controlli sull'uso finale di alcuni dei prodotti contemplati dal presente regolamento del Consiglio, a norma dell'articolo 254 del regolamento (UE) n. 952/2013 del Parlamento europeo e del Consiglio, del 9 ottobre 2013, che istituisce il codice doganale dell'Unione.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Malgun Gothic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GU C 363 del 13.12.2011, pag. 6.</w:t>
      </w:r>
    </w:p>
  </w:footnote>
  <w:footnote w:id="3">
    <w:p>
      <w:pPr>
        <w:pStyle w:val="FootnoteText"/>
      </w:pPr>
      <w:r>
        <w:rPr>
          <w:rStyle w:val="FootnoteReference"/>
        </w:rPr>
        <w:footnoteRef/>
      </w:r>
      <w:r>
        <w:tab/>
      </w:r>
      <w:hyperlink r:id="rId1" w:history="1">
        <w:r>
          <w:rPr>
            <w:rStyle w:val="Hyperlink"/>
          </w:rPr>
          <w:t>http://ec.europa.eu/taxation_customs/common/publications/studies/index_en.htm</w:t>
        </w:r>
      </w:hyperlink>
    </w:p>
  </w:footnote>
  <w:footnote w:id="4">
    <w:p>
      <w:pPr>
        <w:pStyle w:val="FootnoteText"/>
      </w:pPr>
      <w:r>
        <w:rPr>
          <w:rStyle w:val="FootnoteReference"/>
        </w:rPr>
        <w:footnoteRef/>
      </w:r>
      <w:r>
        <w:tab/>
        <w:t xml:space="preserve">Regolamento (UE) n. 1388/2013 del Consiglio, del 17 dicembre 2013, recante apertura e modalità di gestione di contingenti tariffari autonomi dell'Unione per taluni prodotti agricoli e industriali e che abroga il regolamento (UE) n. 7/2010 (GU L 354 del 28.12.2013, pag. 319). </w:t>
      </w:r>
    </w:p>
    <w:p>
      <w:pPr>
        <w:pStyle w:val="FootnoteText"/>
      </w:pPr>
    </w:p>
    <w:p>
      <w:pPr>
        <w:pStyle w:val="FootnoteText"/>
      </w:pPr>
    </w:p>
  </w:footnote>
  <w:footnote w:id="5">
    <w:p>
      <w:pPr>
        <w:pStyle w:val="FootnoteText"/>
      </w:pPr>
      <w:r>
        <w:rPr>
          <w:rStyle w:val="FootnoteReference"/>
        </w:rPr>
        <w:footnoteRef/>
      </w:r>
      <w:r>
        <w:tab/>
        <w:t>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(GU L 396 del 30.12.2006, pag. 1).</w:t>
      </w:r>
    </w:p>
  </w:footnote>
  <w:footnote w:id="6">
    <w:p>
      <w:pPr>
        <w:pStyle w:val="FootnoteText"/>
      </w:pPr>
      <w:r>
        <w:rPr>
          <w:rStyle w:val="FootnoteReference"/>
        </w:rPr>
        <w:footnoteRef/>
      </w:r>
      <w:r>
        <w:tab/>
      </w:r>
      <w:hyperlink r:id="rId2" w:history="1">
        <w:r>
          <w:rPr>
            <w:rStyle w:val="Hyperlink"/>
            <w:sz w:val="19"/>
            <w:u w:val="none"/>
            <w:shd w:val="clear" w:color="auto" w:fill="FFFFFF"/>
          </w:rPr>
          <w:t>GU C 363 del 13.12.2011, pag. 6</w:t>
        </w:r>
      </w:hyperlink>
      <w:r>
        <w:rPr>
          <w:sz w:val="19"/>
          <w:szCs w:val="19"/>
          <w:shd w:val="clear" w:color="auto" w:fill="FFFFFF"/>
        </w:rPr>
        <w:t>.</w:t>
      </w:r>
    </w:p>
  </w:footnote>
  <w:footnote w:id="7">
    <w:p>
      <w:pPr>
        <w:pStyle w:val="FootnoteText"/>
        <w:ind w:left="0" w:firstLine="0"/>
      </w:pPr>
      <w:r>
        <w:rPr>
          <w:rStyle w:val="FootnoteReference"/>
        </w:rPr>
        <w:footnoteRef/>
      </w:r>
      <w:r>
        <w:tab/>
        <w:t xml:space="preserve">Per le risorse proprie tradizionali (dazi doganali, contributi zucchero), indicare gli importi netti, </w:t>
      </w:r>
      <w:r>
        <w:tab/>
        <w:t>cioè gli importi lordi al netto del 20 % per spese di riscossione.</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819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24 10:04: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1"/>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773A513F-EE22-43BE-9D03-1A0F5876AFD5"/>
    <w:docVar w:name="LW_COVERPAGE_TYPE" w:val="1"/>
    <w:docVar w:name="LW_CROSSREFERENCE" w:val="&lt;UNUSED&gt;"/>
    <w:docVar w:name="LW_DocType" w:val="COM"/>
    <w:docVar w:name="LW_EMISSION" w:val="24.4.2020"/>
    <w:docVar w:name="LW_EMISSION_ISODATE" w:val="2020-04-24"/>
    <w:docVar w:name="LW_EMISSION_LOCATION" w:val="BRX"/>
    <w:docVar w:name="LW_EMISSION_PREFIX" w:val="Bruxelles,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63"/>
    <w:docVar w:name="LW_REF.II.NEW.CP_YEAR" w:val="2020"/>
    <w:docVar w:name="LW_REF.INST.NEW" w:val="COM"/>
    <w:docVar w:name="LW_REF.INST.NEW_ADOPTED" w:val="final"/>
    <w:docVar w:name="LW_REF.INST.NEW_TEXT" w:val="(2020) 1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ta di"/>
    <w:docVar w:name="LW_SUPERTITRE" w:val="&lt;UNUSED&gt;"/>
    <w:docVar w:name="LW_TITRE.OBJ.CP" w:val="che modifica il regolamento (UE) n. 1388/2013 recante apertura e modalità di gestione di contingenti tariffari autonomi dell'Unione per taluni prodotti agricoli e industriali"/>
    <w:docVar w:name="LW_TITRE.OBJ.CP_PREVIOUS" w:val="&lt;UNUSED&gt;"/>
    <w:docVar w:name="LW_TYPE.DOC.CP" w:val="REGOLAMENTO DEL CONSIGLIO"/>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84869422">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50218">
      <w:bodyDiv w:val="1"/>
      <w:marLeft w:val="0"/>
      <w:marRight w:val="0"/>
      <w:marTop w:val="0"/>
      <w:marBottom w:val="0"/>
      <w:divBdr>
        <w:top w:val="none" w:sz="0" w:space="0" w:color="auto"/>
        <w:left w:val="none" w:sz="0" w:space="0" w:color="auto"/>
        <w:bottom w:val="none" w:sz="0" w:space="0" w:color="auto"/>
        <w:right w:val="none" w:sz="0" w:space="0" w:color="auto"/>
      </w:divBdr>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411540715">
      <w:bodyDiv w:val="1"/>
      <w:marLeft w:val="0"/>
      <w:marRight w:val="0"/>
      <w:marTop w:val="0"/>
      <w:marBottom w:val="0"/>
      <w:divBdr>
        <w:top w:val="none" w:sz="0" w:space="0" w:color="auto"/>
        <w:left w:val="none" w:sz="0" w:space="0" w:color="auto"/>
        <w:bottom w:val="none" w:sz="0" w:space="0" w:color="auto"/>
        <w:right w:val="none" w:sz="0" w:space="0" w:color="auto"/>
      </w:divBdr>
    </w:div>
    <w:div w:id="1521702702">
      <w:bodyDiv w:val="1"/>
      <w:marLeft w:val="0"/>
      <w:marRight w:val="0"/>
      <w:marTop w:val="0"/>
      <w:marBottom w:val="0"/>
      <w:divBdr>
        <w:top w:val="none" w:sz="0" w:space="0" w:color="auto"/>
        <w:left w:val="none" w:sz="0" w:space="0" w:color="auto"/>
        <w:bottom w:val="none" w:sz="0" w:space="0" w:color="auto"/>
        <w:right w:val="none" w:sz="0" w:space="0" w:color="auto"/>
      </w:divBdr>
    </w:div>
    <w:div w:id="1596748450">
      <w:bodyDiv w:val="1"/>
      <w:marLeft w:val="0"/>
      <w:marRight w:val="0"/>
      <w:marTop w:val="0"/>
      <w:marBottom w:val="0"/>
      <w:divBdr>
        <w:top w:val="none" w:sz="0" w:space="0" w:color="auto"/>
        <w:left w:val="none" w:sz="0" w:space="0" w:color="auto"/>
        <w:bottom w:val="none" w:sz="0" w:space="0" w:color="auto"/>
        <w:right w:val="none" w:sz="0" w:space="0" w:color="auto"/>
      </w:divBdr>
    </w:div>
    <w:div w:id="1602955697">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UTO/?uri=OJ:C:2011:363: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59CE-E207-45FB-9BD1-523CAAF1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1864</Words>
  <Characters>11242</Characters>
  <Application>Microsoft Office Word</Application>
  <DocSecurity>0</DocSecurity>
  <Lines>216</Lines>
  <Paragraphs>103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13003</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2020-02-20T13:40:00Z</cp:lastPrinted>
  <dcterms:created xsi:type="dcterms:W3CDTF">2020-04-20T10:33:00Z</dcterms:created>
  <dcterms:modified xsi:type="dcterms:W3CDTF">2020-04-24T08:04:00Z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7.0.1, Build 20190916</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