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7F66D2A7-60CF-4ECF-A0F1-0213608851BD" style="width:450.8pt;height:351.8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Calibri"/>
          <w:noProof/>
        </w:rPr>
      </w:pPr>
      <w:r>
        <w:t>1.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Raġunijiet u objettivi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Ċertu prodotti jeħtieġu kwoti tariffarji awtonomi meta l-produzzjoni fl-Unjoni ma tkunx biżżejjed biex tlaħħaq mal-ħtiġijiet tal-industriji li jużawhom. Jenħtieġ li l-kwoti tariffarji tal-Unjoni jinfetħu b’rati ta’ dazju żero jew imnaqqsa għall-volumi x-xierqa, mingħajr ma jfixklu s-swieq ta’ dawn il-prodotti.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Fis-17 ta’ Diċembru 2013, il-Kunsill tal-Unjoni Ewropea adotta r-Regolament (UE) Nru 1388/2013 li jiftaħ u jipprovdi għall-ġestjoni ta’ kwoti tariffarji awtonomi tal-Unjoni għal ċerti prodotti agrikoli u industrijali, biex id-domanda tal-Unjoni għall-prodotti inkwistjoni tkun tista’ tiġi ssodisfata bl-iżjed kundizzjonijiet favorevoli.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jiġi aġġornat kull sitt xhur biex jakkomoda l-ħtiġijiet tal-industrija tal-Unjoni. Il-Kummissjoni, megħjuna mill-Grupp dwar il-Kwistjonijiet ta’ Ekonomija Tariffarja, irrieżaminat it-talbiet kollha tal-Istati Membri għal dazji tal-kwoti tariffarji awtonomi.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Wara dan ir-rieżami, il-Kummissjoni tqis li l-ftuħ tal-kwoti tariffarji awtonomi huwa ġġustifikat għal xi prodotti ġodda li bħalissa mhumiex elenkati fl-Anness tar-Regolament tal-Kunsill (UE) Nru 1388/2013. Għal xi prodotti oħrajn, jeħtieġ li jinbidel il-kliem tad-deskrizzjoni, li jiġu assenjati kodiċijiet tat-TARIC ġodda, jew jeħtieġ li jiżdied il-volum tal-kwota inizjali, inkluż b’mod retroattiv. Meta l-kwota tariffarja ta’ ċerti prodotti ma tibqax fl-interess ekonomiku tal-Unjoni, jenħtieġ li dawn il-prodotti jiġu rtirati.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Għal raġunijiet ta’ ċarezza, ikun aħjar jekk tiġi ppubblikata verżjoni kkonsolidata tal-Anness tar-Regolament tal-Kunsill (UE) Nru 1388/2013 li se tissostitwixxi għalkollox l-Anness preċedenti.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Konsistenza mad-dispożizzjonijiet eżistenti fil-qasam ta’ politika</w:t>
      </w:r>
    </w:p>
    <w:p>
      <w:pPr>
        <w:rPr>
          <w:noProof/>
        </w:rPr>
      </w:pPr>
      <w:r>
        <w:rPr>
          <w:noProof/>
        </w:rPr>
        <w:t>Din il-proposta ma taffettwax lill-pajjiżi li għandhom ftehim ta’ kummerċ preferenzjali mal-Unjoni, u lanqas lill-pajjiżi kandidati jew lill-kandidati potenzjali għal ftehimiet preferenzjali mal-Unjoni (eż. is-Sistema Ġeneralizzata ta’ Preferenzi; ir-reġim ta’ kummerċ tal-grupp tal-Afrika, il-Karibew u l-Paċifiku; il-Ftehimiet ta’ Kummerċ Ħieles).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tikkonforma mal-politiki tal-Unjoni dwar l-agrikoltura, il-kummerċ, l-intrapriżi, l-iżvilupp, l-ambjent u r-relazzjonijiet esterni.</w:t>
      </w:r>
    </w:p>
    <w:p>
      <w:pPr>
        <w:pStyle w:val="ManualHeading1"/>
        <w:rPr>
          <w:rFonts w:eastAsia="Calibri"/>
          <w:noProof/>
        </w:rPr>
      </w:pPr>
      <w:r>
        <w:t>2.</w:t>
      </w:r>
      <w:r>
        <w:tab/>
      </w:r>
      <w:r>
        <w:rPr>
          <w:noProof/>
        </w:rPr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ta’ din il-proposta hija l-Artikolu 31 tat-Trattat dwar il-Funzjonament tal-Unjoni Ewropea (TFUE).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Sussidjarjetà (għall-kompetenza mhux esklużiva)</w:t>
      </w:r>
    </w:p>
    <w:p>
      <w:pPr>
        <w:rPr>
          <w:noProof/>
        </w:rPr>
      </w:pPr>
      <w:r>
        <w:rPr>
          <w:noProof/>
        </w:rPr>
        <w:t>Il-proposta taqa’ taħt il-kompetenza esklużiva tal-Unjoni. Għalhekk il-prinċipju tas-sussidjarjetà ma japplikax.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tikkonforma mal-prinċipju tal-proporzjonalità. Il-miżuri previsti jikkonformaw mal-prinċipji għas-simplifikazzjoni tal-proċeduri għall-operaturi involuti fil-kummerċ barrani, kif iddikjarat fil-Komunikazzjoni tal-Kummissjoni rigward is-sospensjonijiet u l-kwoti tariffarji awtonomi</w:t>
      </w:r>
      <w:r>
        <w:rPr>
          <w:rStyle w:val="FootnoteReference"/>
          <w:noProof/>
        </w:rPr>
        <w:footnoteReference w:id="2"/>
      </w:r>
      <w:r>
        <w:rPr>
          <w:noProof/>
        </w:rPr>
        <w:t>. Dan ir-Regolament ma jmurx lil hinn minn dak li hu meħtieġ sabiex jintlaħqu l-objettivi mixtieqa skont l-Artikolu 5(4) tat-Trattat dwar l-Unjoni Ewropea (TUE).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rPr>
          <w:noProof/>
        </w:rPr>
      </w:pPr>
      <w:r>
        <w:rPr>
          <w:noProof/>
        </w:rPr>
        <w:t xml:space="preserve">Skont l-Artikolu 31 tat-TFUE, “Id-dazji tat-Tariffa Doganali Komuni għandhom jiġu stabbiliti mill-Kunsill li jaġixxi fuq proposta mill-Kummissjoni”. Għalhekk, l-istrument xieraq huwa regolament tal-Kunsill. </w:t>
      </w:r>
    </w:p>
    <w:p>
      <w:pPr>
        <w:pStyle w:val="ManualHeading1"/>
        <w:rPr>
          <w:rFonts w:eastAsia="Calibri"/>
          <w:noProof/>
        </w:rPr>
      </w:pPr>
      <w:r>
        <w:t>3.</w:t>
      </w:r>
      <w:r>
        <w:tab/>
      </w:r>
      <w:r>
        <w:rPr>
          <w:noProof/>
        </w:rPr>
        <w:t xml:space="preserve">RIŻULTATI TAL-EVALWAZZJONIJIET </w:t>
      </w:r>
      <w:r>
        <w:rPr>
          <w:i/>
          <w:iCs/>
          <w:noProof/>
        </w:rPr>
        <w:t>EX-POST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iCs/>
          <w:noProof/>
          <w:u w:color="000000"/>
          <w:bdr w:val="nil"/>
        </w:rPr>
        <w:t>ex-post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L-iskema tal-kwoti tariffarji awtonomi kienet parti minn studju ta’ evalwazzjoni li sar fl-2013 dwar is-sospensjonijiet tariffarji awtonomi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Dan għaliex iż-żewġ miżuri huma simili, ħlief għall-fatt li l-kwoti tariffarji jillimitaw il-volumi tal-importazzjonijiet. L-evalwazzjoni kkonkludiet li r-raġuni fundamentali għall-iskema għadha valida. L-iffrankar tal-kostijiet għan-negozji tal-Unjoni li jimpurtaw oġġetti skont l-iskema jista’ jkun sinifikanti. Barra minn hekk, skont il-prodott, il-kumpanija u s-settur ikkonċernati, dan l-iffrankar jista’ jwassal għal benefiċċji usa’, bħall-ixprunar tal-kompetittività, it-titjib fl-effiċjenza tal-metodi ta’ produzzjoni u l-ħolqien jew iż-żamma tal-impjiegi fl-Unjoni. Id-dettalji tal-iffrankar ta’ dan ir-Regolament jistgħu jinstabu fid-dikjarazzjoni finanzjarja leġiżlattiva mehmuża.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mal-partijiet ikkonċernati</w:t>
      </w:r>
    </w:p>
    <w:p>
      <w:pPr>
        <w:rPr>
          <w:noProof/>
        </w:rPr>
      </w:pPr>
      <w:r>
        <w:rPr>
          <w:noProof/>
        </w:rPr>
        <w:t>Il-Grupp dwar il-Kwistjonijiet ta’ Ekonomija Tariffarja, li jikkonsisti minn delegazzjonijiet mill-Istati Membri kollha u mit-Turkija, għen lill-Kummissjoni biex tivvaluta din il-proposta. Il-grupp iltaqa’ tliet darbiet qabel ma ntlaħaq ftehim dwar il-bidliet f’din il-proposta.</w:t>
      </w:r>
    </w:p>
    <w:p>
      <w:pPr>
        <w:rPr>
          <w:noProof/>
        </w:rPr>
      </w:pPr>
      <w:r>
        <w:rPr>
          <w:noProof/>
        </w:rPr>
        <w:t>Kull talba (ġdida, jew għal emenda) ġiet ivvalutata bir-reqqa. B’mod partikolari eżamina kull każ biex jiżgura li ma kinitx qed tiġi kkawżata xi ħsara lill-produtturi tal-Unjoni u li l-kompetittività tal-produzzjoni tal-Unjoni kienet qed tissaħħaħ u tiġi kkonsolidata. Il-membri tal-Grupp dwar il-Kwistjonijiet ta’ Ekonomija Tariffarja wettqu l-valutazzjoni permezz ta’ diskussjonijiet, u l-Istati Membri kkonsultaw lill-industriji, lill-assoċjazzjonijiet, lill-kmamar tal-kummerċ ikkonċeranti u lil partijiet ikkonċernati oħra involuti.</w:t>
      </w:r>
    </w:p>
    <w:p>
      <w:pPr>
        <w:rPr>
          <w:noProof/>
        </w:rPr>
      </w:pPr>
      <w:r>
        <w:rPr>
          <w:noProof/>
        </w:rPr>
        <w:t>Il-kwoti tariffarji kollha elenkati kienu s-suġġett ta’ ftehimiet jew ta’ kompromessi milħuqa fid-diskussjonijiet li saru fil-Grupp dwar il-Kwistjonijiet ta’ Ekonomija Tariffarja. Ma ssemma l-ebda riskju potenzjalment serju b’konsegwenzi irreversibbli.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Valutazzjoni tal-impatt</w:t>
      </w:r>
    </w:p>
    <w:p>
      <w:pPr>
        <w:rPr>
          <w:noProof/>
        </w:rPr>
      </w:pPr>
      <w:r>
        <w:rPr>
          <w:noProof/>
        </w:rPr>
        <w:t>L-emenda proposta hija ta’ natura purament teknika u tikkonċerna biss il-kopertura tal-kwoti tariffarji elenkati fl-Anness tar-Regolament (UE) Nru 1388/2013. Għalhekk, ma saret l-ebda valutazzjoni tal-impatt għal din il-proposta.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għandha l-ebda konsegwenza fuq id-drittijiet fundamentali.</w:t>
      </w:r>
    </w:p>
    <w:p>
      <w:pPr>
        <w:pStyle w:val="ManualHeading1"/>
        <w:rPr>
          <w:rFonts w:eastAsia="Calibri"/>
          <w:noProof/>
        </w:rPr>
      </w:pPr>
      <w:r>
        <w:t>4.</w:t>
      </w:r>
      <w:r>
        <w:tab/>
      </w:r>
      <w:r>
        <w:rPr>
          <w:noProof/>
        </w:rPr>
        <w:t>IMPLIKAZZJONIJIET BAĠITARJI</w:t>
      </w:r>
    </w:p>
    <w:p>
      <w:pPr>
        <w:rPr>
          <w:noProof/>
        </w:rPr>
      </w:pPr>
      <w:r>
        <w:rPr>
          <w:noProof/>
        </w:rPr>
        <w:t>Din il-proposta ma għandha l-ebda impatt finanzjarju fuq in-nefqa iżda għandha impatt finanzjarju fuq id-dħul. Id-dazji doganali mhux miġbura jammontaw għal madwar EUR 1,4 miljun fis-sena. L-effett fuq ir-riżorsi proprji tradizzjonali tal-baġit huwa ta’ EUR 1,1 miljun fis-sena (jiġifieri 80 % tat-total). Id-dikjarazzjoni finanzjarja leġiżlattiva tistabbilixxi l-implikazzjonijiet baġitarji tal-proposta f’aktar dettall.</w:t>
      </w:r>
    </w:p>
    <w:p>
      <w:pPr>
        <w:rPr>
          <w:noProof/>
          <w:szCs w:val="24"/>
        </w:rPr>
      </w:pPr>
      <w:r>
        <w:rPr>
          <w:noProof/>
        </w:rPr>
        <w:t>It-telf tad-dħul f’riżorsi proprji tradizzjonali għandu jiġi kkumpensat bl-Introjtu Nazzjonali Gross (ING) tal-Istati Membri abbażi tal-kontribuzzjonijiet għar-riżorsi.</w:t>
      </w:r>
    </w:p>
    <w:p>
      <w:pPr>
        <w:pStyle w:val="ManualHeading1"/>
        <w:rPr>
          <w:rFonts w:eastAsia="Calibri"/>
          <w:noProof/>
        </w:rPr>
      </w:pPr>
      <w:r>
        <w:t>5.</w:t>
      </w:r>
      <w:r>
        <w:tab/>
      </w:r>
      <w:r>
        <w:rPr>
          <w:noProof/>
        </w:rPr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Il-miżuri proposti huma ġestiti fil-qafas tat-Tariffa Integrata tal-Unjoni Ewropea (TARIC) u applikati mill-amministrazzjonijiet doganali tal-Istati Membri.</w:t>
      </w:r>
    </w:p>
    <w:p>
      <w:pPr>
        <w:rPr>
          <w:noProof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2020/0063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Nru 1388/2013 li jiftaħ u jipprovdi għall-ġestjoni ta’ kwoti tariffarji awtonomi tal-Unjoni għal ċerti prodotti agrikoli u industrijali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31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i/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Sabiex tiġi żgurata l-provvista suffiċjenti u mingħajr interruzzjoni ta’ ċerti prodotti agrikoli u industrijali li huma prodotti fi kwantitajiet insuffiċjenti fl-Unjoni u b’hekk jiġi evitat kull tfixkil fis-suq għal dawk il-prodotti, infetħu kwoti tariffarji awtonomi bir-Regolament tal-Kunsill (UE) Nru 1388/2013</w:t>
      </w:r>
      <w:r>
        <w:rPr>
          <w:rStyle w:val="FootnoteReference"/>
          <w:noProof/>
        </w:rPr>
        <w:footnoteReference w:id="4"/>
      </w:r>
      <w:r>
        <w:rPr>
          <w:noProof/>
        </w:rPr>
        <w:t>. Il-prodotti li ma jaqbżux dawk il-kwoti tariffarji jistgħu jiġu importati fl-Unjoni b’rati ta’ dazju mnaqqsa jew żero.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Peress li huwa fl-interess tal-Unjoni li tiżgura provvista adegwata ta’ ċerti prodotti industrijali u wara li tqies il-fatt li prodotti identiċi, ekwivalenti jew sostituti mhumiex jilħqu d-domanda fl-Unjoni, jeħtieġ li jinfetħu kwoti tariffarji ġodda bin-numri tal-ordni 09.2580, 09.2581 u 09.2583 b’rati tad-dazju żero għal kwantitajiet xierqa ta’ dawk il-prodotti. </w:t>
      </w:r>
    </w:p>
    <w:p>
      <w:pPr>
        <w:pStyle w:val="ManualConsidrant"/>
        <w:rPr>
          <w:noProof/>
          <w:sz w:val="22"/>
        </w:rPr>
      </w:pPr>
      <w:r>
        <w:t>(3)</w:t>
      </w:r>
      <w:r>
        <w:tab/>
      </w:r>
      <w:r>
        <w:rPr>
          <w:noProof/>
        </w:rPr>
        <w:t>Peress li huwa fl-interess tal-Unjoni li tiżgura provvista adegwata ta’ ċerti prodotti industrijali, il-volumi tal-kwoti tariffarji bin-numri tal-ordni 09.2634 u 09.2668 jenħtieġ li jiżdiedu.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Peress li l-ambitu tal-kwota tariffarja bin-numru tal-ordni 09.2652 ma għadux adegwat biex jissodisfa l-ħtiġijiet tal-operaturi ekonomiċi fl-Unjoni, jenħtieġ li d-deskrizzjoni tal-prodott kopert minn din il-kwota tiġi emendata.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Għall-kwota tariffarja bin-numru tal-ordni 09.2588, il-perjodu tal-kwota jenħtieġ li jiġi estiż tal-31 ta’ Diċembru 2020 minħabba li l-kwota tariffarja nfetħet għal perjodu ta’ sitt xhur u għadu fl-interess tal-Unjoni li tinżamm.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Is-sustanzi Sulfat tad-Dimetil (CAS RN 77-78-1) b’purità ta’ 99 % jew aktar, it-2-Metilanilina (CAS RN 95-53-4)</w:t>
      </w:r>
      <w:r>
        <w:rPr>
          <w:rFonts w:ascii="Arial" w:hAnsi="Arial"/>
          <w:noProof/>
          <w:sz w:val="18"/>
          <w:szCs w:val="18"/>
          <w:shd w:val="clear" w:color="auto" w:fill="FFFFFF"/>
        </w:rPr>
        <w:t xml:space="preserve"> </w:t>
      </w:r>
      <w:r>
        <w:rPr>
          <w:noProof/>
        </w:rPr>
        <w:t xml:space="preserve">b’purità skont il-piż ta’ 99 % jew aktar u l-4,4’-Metandiildianilina (CAS RN 101-77-9) b’purità skont il-piż ta’ 97 % jew aktar, huma inklużi fil-lista ta’ kandidati msemmija fl-Artikolu 59 tar-Regolament (KE) Nru </w:t>
      </w:r>
      <w:r>
        <w:rPr>
          <w:noProof/>
        </w:rPr>
        <w:lastRenderedPageBreak/>
        <w:t>1907/2006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s-sustanza bir-referenza CAS RN 101-77-9 hija inkluża fl-Anness XIV ta’ dak ir-Regolament. Għal dik ir-raġuni, il-kwoti tariffarji eżistenti għal tali prodotti se jingħalqu progressivament u l-kwoti tariffarji li għadhom kif infetħu se japplikaw għal perjodu limitat. Għalhekk, jenħtieġ li l-kwoti tariffarji bin-numri tal-ordni 09.2648 u 09.2730 japplikaw sal-31 ta’ Diċembru 2020 b’rata ta’ dazju konvenzjonali ta’ 2 %. Barra minn hekk, il-kwoti tariffarji bin-numru tal-ordni 09.2590 se jingħalqu u jenħtieġ li tinfetaħ kwota tariffarja ġdida b’numru tal-ordni 09.2582 sal-31 ta’ Diċembru 2020 b’rata ta’ dazju konvenzjonali ta’ 2 %. 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Filwaqt li jitqiesu l-emendi li għandhom isiru u għal raġunijiet ta’ ċarezza, jenħtieġ li l-Anness tar-Regolament (UE) Nru 1388/2013 jiġi sostitwit.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Sabiex tiġi evitata kwalunkwe interruzzjoni fl-applikazzjoni tal-iskema tal-kwoti tariffarji u biex ikun hemm konformità mal-linji gwida stabbiliti fil-Komunikazzjoni tal-Kummissjoni rigward is-sospensjonijiet u l-kwoti tariffarji awtonomi</w:t>
      </w:r>
      <w:r>
        <w:rPr>
          <w:rStyle w:val="FootnoteReference"/>
          <w:noProof/>
        </w:rPr>
        <w:footnoteReference w:id="6"/>
      </w:r>
      <w:r>
        <w:rPr>
          <w:noProof/>
        </w:rPr>
        <w:t>, il-bidliet previsti f’dan ir-Regolament fir-rigward tal-kwoti tariffarji għall-prodotti kkonċernati jenħtieġ li japplikaw mill-1 ta’ Lulju 2020. Għalhekk, dan ir-Regolament jenħtieġ li jidħol fis-seħħ b’urġenza,</w:t>
      </w:r>
    </w:p>
    <w:p>
      <w:pPr>
        <w:pStyle w:val="Formuledadoption"/>
        <w:rPr>
          <w:noProof/>
        </w:rPr>
      </w:pPr>
      <w:r>
        <w:rPr>
          <w:noProof/>
        </w:rPr>
        <w:t>ADOTTA DAN IR-REGOLAMENT:</w:t>
      </w:r>
    </w:p>
    <w:p>
      <w:pPr>
        <w:pStyle w:val="Titrearticle"/>
        <w:rPr>
          <w:i w:val="0"/>
          <w:noProof/>
        </w:rPr>
      </w:pPr>
      <w:r>
        <w:rPr>
          <w:i w:val="0"/>
          <w:noProof/>
        </w:rPr>
        <w:t>Artikolu 1</w:t>
      </w:r>
    </w:p>
    <w:p>
      <w:pPr>
        <w:rPr>
          <w:rFonts w:cs="EUAlbertina"/>
          <w:noProof/>
        </w:rPr>
      </w:pPr>
      <w:r>
        <w:rPr>
          <w:noProof/>
        </w:rPr>
        <w:t>Ir-Regolament (UE) Nru 1388/2013 huwa emendat kif ġej:</w:t>
      </w:r>
    </w:p>
    <w:p>
      <w:pPr>
        <w:rPr>
          <w:rFonts w:cs="EUAlbertina"/>
          <w:noProof/>
        </w:rPr>
      </w:pPr>
      <w:r>
        <w:rPr>
          <w:noProof/>
        </w:rPr>
        <w:tab/>
      </w:r>
    </w:p>
    <w:p>
      <w:pPr>
        <w:rPr>
          <w:noProof/>
          <w:sz w:val="22"/>
        </w:rPr>
      </w:pPr>
      <w:r>
        <w:rPr>
          <w:noProof/>
        </w:rPr>
        <w:t>L-Anness tar-Regolament (UE) Nru 1388/2013 huwa sostitwit bit-test imniżżel fl-Anness għal dan ir-Regolament.</w:t>
      </w:r>
    </w:p>
    <w:p>
      <w:pPr>
        <w:pStyle w:val="Titrearticle"/>
        <w:rPr>
          <w:i w:val="0"/>
          <w:noProof/>
        </w:rPr>
      </w:pPr>
      <w:r>
        <w:rPr>
          <w:i w:val="0"/>
          <w:noProof/>
        </w:rPr>
        <w:t>Artikolu 2</w:t>
      </w:r>
    </w:p>
    <w:p>
      <w:pPr>
        <w:rPr>
          <w:iCs/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L-Artikolu 1 għandu jibda japplika mill-1 ta’ Lulju 2020. 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lastRenderedPageBreak/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p>
      <w:pPr>
        <w:rPr>
          <w:noProof/>
        </w:rPr>
        <w:sectPr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DIKJARAZZJONI FINANZJARJA LEĠIŻLATTIVA</w:t>
      </w:r>
    </w:p>
    <w:p>
      <w:pPr>
        <w:keepNext/>
        <w:spacing w:before="360"/>
        <w:outlineLvl w:val="0"/>
        <w:rPr>
          <w:b/>
          <w:smallCaps/>
          <w:noProof/>
        </w:rPr>
      </w:pPr>
      <w:r>
        <w:rPr>
          <w:b/>
          <w:smallCaps/>
          <w:noProof/>
        </w:rPr>
        <w:t>1.</w:t>
      </w:r>
      <w:r>
        <w:rPr>
          <w:b/>
          <w:smallCaps/>
          <w:noProof/>
        </w:rPr>
        <w:tab/>
        <w:t>ISEM IL-PROPOSTA:</w:t>
      </w:r>
    </w:p>
    <w:p>
      <w:pPr>
        <w:rPr>
          <w:noProof/>
        </w:rPr>
      </w:pPr>
      <w:r>
        <w:rPr>
          <w:noProof/>
        </w:rPr>
        <w:t>Ir-Regolament tal-Kunsill li jemenda r-Regolament (UE) Nru 1388/2013 li jiftaħ u jipprovdi għall-ġestjoni ta’ kwoti tariffarji awtonomi tal-Unjoni għal ċerti prodotti agrikoli u industrijali</w:t>
      </w:r>
    </w:p>
    <w:p>
      <w:pPr>
        <w:keepNext/>
        <w:spacing w:before="360"/>
        <w:outlineLvl w:val="0"/>
        <w:rPr>
          <w:b/>
          <w:smallCaps/>
          <w:noProof/>
        </w:rPr>
      </w:pPr>
      <w:r>
        <w:rPr>
          <w:b/>
          <w:smallCaps/>
          <w:noProof/>
        </w:rPr>
        <w:t>2.</w:t>
      </w:r>
      <w:r>
        <w:rPr>
          <w:b/>
          <w:smallCaps/>
          <w:noProof/>
        </w:rPr>
        <w:tab/>
        <w:t>LINJI BAĠITARJI</w:t>
      </w:r>
    </w:p>
    <w:p>
      <w:pPr>
        <w:spacing w:before="100" w:beforeAutospacing="1" w:after="100" w:afterAutospacing="1"/>
        <w:jc w:val="left"/>
        <w:rPr>
          <w:rFonts w:eastAsia="Times New Roman"/>
          <w:noProof/>
          <w:szCs w:val="24"/>
        </w:rPr>
      </w:pPr>
      <w:r>
        <w:rPr>
          <w:noProof/>
        </w:rPr>
        <w:t>Kapitolu u Artikolu:</w:t>
      </w:r>
      <w:r>
        <w:rPr>
          <w:noProof/>
        </w:rPr>
        <w:br/>
        <w:t>Il-Kapitolu 12 u l-Artikolu 120 – Dazji doganali u dazji oħra msemmija fil-punt (a) tal-Artikolu 2(1) tad-Deċiżjoni 2014/335/UE, Euratom;</w:t>
      </w:r>
    </w:p>
    <w:p>
      <w:pPr>
        <w:spacing w:before="100" w:beforeAutospacing="1" w:after="100" w:afterAutospacing="1"/>
        <w:jc w:val="left"/>
        <w:rPr>
          <w:rFonts w:eastAsia="Times New Roman"/>
          <w:noProof/>
          <w:szCs w:val="24"/>
        </w:rPr>
      </w:pPr>
      <w:r>
        <w:rPr>
          <w:noProof/>
        </w:rPr>
        <w:t>Ammont ibbaġitjat għas-sena 2020 (EUR 22 156 900 000)</w:t>
      </w:r>
    </w:p>
    <w:p>
      <w:pPr>
        <w:keepNext/>
        <w:spacing w:before="360"/>
        <w:outlineLvl w:val="0"/>
        <w:rPr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b/>
          <w:smallCaps/>
          <w:noProof/>
        </w:rPr>
        <w:tab/>
        <w:t>IMPATT FINANZJARJU</w:t>
      </w:r>
    </w:p>
    <w:p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 ma għandha l-ebda implikazzjoni finanzjarja</w:t>
      </w:r>
    </w:p>
    <w:p>
      <w:pPr>
        <w:rPr>
          <w:noProof/>
        </w:rPr>
      </w:pPr>
      <w:r>
        <w:rPr>
          <w:noProof/>
        </w:rPr>
        <w:t>X</w:t>
      </w:r>
      <w:r>
        <w:rPr>
          <w:noProof/>
        </w:rPr>
        <w:tab/>
        <w:t>Il-proposta ma għandha l-ebda impatt finanzjarju fuq in-nefqa iżda għandha impatt finanzjarju fuq id-dħul. L-effett huwa kif ġej:</w:t>
      </w:r>
    </w:p>
    <w:p>
      <w:pPr>
        <w:jc w:val="right"/>
        <w:rPr>
          <w:noProof/>
          <w:sz w:val="18"/>
        </w:rPr>
      </w:pPr>
      <w:r>
        <w:rPr>
          <w:noProof/>
        </w:rPr>
        <w:t>(miljuni ta’ EUR aġġustati ’l fuq għal pożizzjoni deċimali waħda)</w:t>
      </w:r>
    </w:p>
    <w:tbl>
      <w:tblPr>
        <w:tblW w:w="84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879"/>
        <w:gridCol w:w="2040"/>
        <w:gridCol w:w="2160"/>
      </w:tblGrid>
      <w:tr>
        <w:tc>
          <w:tcPr>
            <w:tcW w:w="1321" w:type="dxa"/>
          </w:tcPr>
          <w:p>
            <w:pPr>
              <w:rPr>
                <w:noProof/>
              </w:rPr>
            </w:pPr>
            <w:r>
              <w:rPr>
                <w:noProof/>
              </w:rPr>
              <w:t>Linja Baġitarja</w:t>
            </w:r>
          </w:p>
        </w:tc>
        <w:tc>
          <w:tcPr>
            <w:tcW w:w="287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Dħul</w:t>
            </w:r>
            <w:r>
              <w:rPr>
                <w:rStyle w:val="FootnoteReference"/>
                <w:noProof/>
              </w:rPr>
              <w:footnoteReference w:id="7"/>
            </w:r>
          </w:p>
        </w:tc>
        <w:tc>
          <w:tcPr>
            <w:tcW w:w="204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Perjodu ta’ 6 xhur, li jibda minn jj/xx/ssss</w:t>
            </w:r>
          </w:p>
        </w:tc>
        <w:tc>
          <w:tcPr>
            <w:tcW w:w="216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[Sena: it-tieni nofs tal-2020]</w:t>
            </w:r>
          </w:p>
        </w:tc>
      </w:tr>
      <w:tr>
        <w:tc>
          <w:tcPr>
            <w:tcW w:w="1321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Artikolu 120</w:t>
            </w:r>
          </w:p>
        </w:tc>
        <w:tc>
          <w:tcPr>
            <w:tcW w:w="2879" w:type="dxa"/>
          </w:tcPr>
          <w:p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Impatt fuq ir-riżorsi proprji</w:t>
            </w:r>
          </w:p>
        </w:tc>
        <w:tc>
          <w:tcPr>
            <w:tcW w:w="204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01/07/2020</w:t>
            </w:r>
          </w:p>
        </w:tc>
        <w:tc>
          <w:tcPr>
            <w:tcW w:w="2160" w:type="dxa"/>
          </w:tcPr>
          <w:p>
            <w:pPr>
              <w:pStyle w:val="ListParagraph"/>
              <w:rPr>
                <w:noProof/>
              </w:rPr>
            </w:pPr>
            <w:r>
              <w:rPr>
                <w:noProof/>
              </w:rPr>
              <w:t>-0,5</w:t>
            </w:r>
          </w:p>
        </w:tc>
      </w:tr>
    </w:tbl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L-Anness fih tliet prodotti ġodda. Id-dazji mhux miġbura li jikkorrispondu għal dawn il-kwoti tariffarji, ikkalkulati abbażi tat-tbassir tal-Istat Membru li għamel it-talba għall-2020, jammontaw għal EUR 1 554 954 kull sena.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Ir-rata ta’ dazju żero għal tliet kwoti eżistenti żdiedet għal 2 %. Dan jirrappreżenta żieda ta’ EUR 182 864 kull sena fil-ġbir tad-dazji, kif stmat abbażi tal-istatistika tal-2019.  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>Abbażi ta’ dak li għadu kemm issemma’, l-impatt fuq it-telf ta’ dħul għall-baġit tal-UE li jirriżulta minn dan ir-Regolament huwa stmat li se jkun ta’ EUR 1 554 954 – 182 864 = EUR 1 372 090 (ammont gross, inklużi l-kostijiet tal-ġbir) x 0,8 = EUR 1 097 672 kull sena (ammont nett).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>
        <w:rPr>
          <w:b/>
          <w:noProof/>
        </w:rPr>
        <w:t>MIŻURI KONTRA L-FRODI</w:t>
      </w:r>
    </w:p>
    <w:p>
      <w:pPr>
        <w:rPr>
          <w:noProof/>
        </w:rPr>
      </w:pPr>
      <w:r>
        <w:rPr>
          <w:noProof/>
        </w:rPr>
        <w:t>Se jsiru kontrolli fuq l-użu aħħari ta’ wħud mill-prodotti koperti minn dan ir-Regolament tal-Kunsill skont l-Artikolu 254 tar-Regolament (UE) Nru 952/2013 tal-Parlament Ewropew u tal-Kunsill tad-9 ta’ Ottubru 2013 li jistabbilixxi l-Kodiċi Doganali tal-Unjoni.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algun Gothic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 C 363, 13.12.2011, p. 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http://ec.europa.eu/taxation_customs/common/publications/studies/index_en.htm</w:t>
        </w:r>
      </w:hyperlink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tal-Kunsill (UE) Nru 1388/2013 tas-17 ta’ Diċembru 2013 li jiftaħ u jipprovdi għall-ġestjoni ta’ kwoti tariffarji awtonomi tal-Unjoni għal ċerti prodotti agrikoli u industrijali u li jħassar ir-Regolament (KE) Nru 7/2010 (ĠU L 354, 28.12.2013, p. 319). </w:t>
      </w:r>
    </w:p>
    <w:p>
      <w:pPr>
        <w:pStyle w:val="FootnoteText"/>
      </w:pPr>
    </w:p>
    <w:p>
      <w:pPr>
        <w:pStyle w:val="FootnoteText"/>
      </w:pP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(KE) Nru 1907/2006 tal-Parlament Ewropew u tal-Kunsill tat-18 ta’ Diċembru 2006 dwar ir-reġistrazzjoni, il-valutazzjoni, l-awtorizzazzjoni u r-restrizzjoni ta’ sustanzi kimiċi (REACH), li jistabbilixxi Aġenzija Ewropea għas-Sustanzi Kimiċi, li jemenda d-Direttiva 1999/45/KE u li jħassar ir-Regolament (KEE) Nru 793/93 tal-Kunsill u r-Regolament (KE) Nru 1488/94 tal-Kummissjoni kif ukoll id-Direttiva 76/769/KEE tal-Kunsill u d-Direttivi 91/155/KEE, 93/67/KEE, 93/105/KE u 2000/21/KE tal-Kummissjoni (ĠU L 396, 30.12.2006, p. 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  <w:color w:val="auto"/>
            <w:sz w:val="19"/>
            <w:u w:val="none"/>
            <w:shd w:val="clear" w:color="auto" w:fill="FFFFFF"/>
          </w:rPr>
          <w:t>ĠU C 363, 13.12.2011, p. 6</w:t>
        </w:r>
      </w:hyperlink>
      <w:r>
        <w:rPr>
          <w:sz w:val="19"/>
          <w:szCs w:val="19"/>
          <w:shd w:val="clear" w:color="auto" w:fill="FFFFFF"/>
        </w:rPr>
        <w:t>.</w:t>
      </w:r>
    </w:p>
  </w:footnote>
  <w:footnote w:id="7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Fir-rigward tar-riżorsi proprji tradizzjonali (id-dazji doganali, l-imposti fuq iz-zokkor), l-ammonti indikati jridu jkunu ammonti </w:t>
      </w:r>
      <w:r>
        <w:tab/>
        <w:t>netti (jiġifieri ammonti grossi wara t-tnaqqis ta’ 20 % tal-kostijiet tal-ġbir).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8883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EAC0B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75F0DC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B5448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37C4AB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3F6C8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2C6A95"/>
    <w:multiLevelType w:val="singleLevel"/>
    <w:tmpl w:val="02BAFA82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Bullet 4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2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1F06166"/>
    <w:multiLevelType w:val="multilevel"/>
    <w:tmpl w:val="C08066D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3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12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  <w:num w:numId="23">
    <w:abstractNumId w:val="17"/>
  </w:num>
  <w:num w:numId="24">
    <w:abstractNumId w:val="18"/>
  </w:num>
  <w:num w:numId="25">
    <w:abstractNumId w:val="9"/>
  </w:num>
  <w:num w:numId="26">
    <w:abstractNumId w:val="16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011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4-24 10:04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ST_RESTREINT_UE" w:val="RESTREINT UE/EU RESTRICTED"/>
    <w:docVar w:name="LW_CORRIGENDUM" w:val="&lt;UNUSED&gt;"/>
    <w:docVar w:name="LW_COVERPAGE_EXISTS" w:val="True"/>
    <w:docVar w:name="LW_COVERPAGE_GUID" w:val="7F66D2A7-60CF-4ECF-A0F1-0213608851BD"/>
    <w:docVar w:name="LW_COVERPAGE_TYPE" w:val="1"/>
    <w:docVar w:name="LW_CROSSREFERENCE" w:val="&lt;UNUSED&gt;"/>
    <w:docVar w:name="LW_DocType" w:val="COM"/>
    <w:docVar w:name="LW_EMISSION" w:val="24.4.2020"/>
    <w:docVar w:name="LW_EMISSION_ISODATE" w:val="2020-04-24"/>
    <w:docVar w:name="LW_EMISSION_LOCATION" w:val="BRX"/>
    <w:docVar w:name="LW_EMISSION_PREFIX" w:val="Brussell, "/>
    <w:docVar w:name="LW_EMISSION_SUFFIX" w:val=" "/>
    <w:docVar w:name="LW_ID_DOCMODEL" w:val="b01"/>
    <w:docVar w:name="LW_ID_DOCSIGNATURE" w:val="SJ-016"/>
    <w:docVar w:name="LW_ID_DOCSTRUCTURE" w:val="COM/PL/ORG"/>
    <w:docVar w:name="LW_ID_DOCTYPE" w:val="SJ-016"/>
    <w:docVar w:name="LW_ID_STATUT" w:val="PROPOSAL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63"/>
    <w:docVar w:name="LW_REF.II.NEW.CP_YEAR" w:val="2020"/>
    <w:docVar w:name="LW_REF.INST.NEW" w:val="COM"/>
    <w:docVar w:name="LW_REF.INST.NEW_ADOPTED" w:val="final"/>
    <w:docVar w:name="LW_REF.INST.NEW_TEXT" w:val="(2020) 15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jemenda r-Regolament (UE) Nru 1388/2013 li jifta\u295? u jipprovdi g\u295?all-\u289?estjoni ta\u8217? kwoti tariffarji awtonomi tal-Unjoni g\u295?al \u267?erti prodotti agrikoli u industrijali"/>
    <w:docVar w:name="LW_TITRE.OBJ.CP_PREVIOUS" w:val="&lt;UNUSED&gt;"/>
    <w:docVar w:name="LW_TYPE.DOC.CP" w:val="REGOLAMENT TAL-KUNSILL"/>
    <w:docVar w:name="Stamp" w:val="\\dossiers.dgt.cec.eu.int\dossiers\TAXUD\TAXUD-2017-00167\TAXUD-2017-00167-00-00-EN-REV-00.201703081637032294106.DO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istBullet1">
    <w:name w:val="List Bullet 1"/>
    <w:basedOn w:val="Normal"/>
    <w:pPr>
      <w:numPr>
        <w:numId w:val="1"/>
      </w:numPr>
    </w:pPr>
  </w:style>
  <w:style w:type="paragraph" w:customStyle="1" w:styleId="ListDash1">
    <w:name w:val="List Dash 1"/>
    <w:basedOn w:val="Normal"/>
    <w:pPr>
      <w:numPr>
        <w:numId w:val="2"/>
      </w:numPr>
    </w:pPr>
  </w:style>
  <w:style w:type="paragraph" w:customStyle="1" w:styleId="ListDash2">
    <w:name w:val="List Dash 2"/>
    <w:basedOn w:val="Normal"/>
    <w:pPr>
      <w:numPr>
        <w:numId w:val="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</w:style>
  <w:style w:type="table" w:styleId="TableGrid">
    <w:name w:val="Table Grid"/>
    <w:basedOn w:val="TableNormal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customStyle="1" w:styleId="Paragraph">
    <w:name w:val="Paragraph"/>
    <w:basedOn w:val="Normal"/>
    <w:pPr>
      <w:spacing w:before="0" w:after="0"/>
    </w:pPr>
    <w:rPr>
      <w:sz w:val="16"/>
      <w:lang w:eastAsia="ko-KR"/>
    </w:rPr>
  </w:style>
  <w:style w:type="table" w:customStyle="1" w:styleId="Listdash">
    <w:name w:val="List dash"/>
    <w:basedOn w:val="Listtable"/>
    <w:rPr>
      <w:sz w:val="20"/>
      <w:szCs w:val="20"/>
    </w:rPr>
    <w:tblPr>
      <w:tblCellMar>
        <w:top w:w="0" w:type="dxa"/>
        <w:left w:w="0" w:type="dxa"/>
        <w:bottom w:w="0" w:type="dxa"/>
      </w:tblCellMar>
    </w:tblPr>
  </w:style>
  <w:style w:type="character" w:customStyle="1" w:styleId="FootnoteReference1">
    <w:name w:val="Footnote Reference1"/>
    <w:hidden/>
    <w:rPr>
      <w:sz w:val="16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character" w:styleId="Strong">
    <w:name w:val="Strong"/>
    <w:uiPriority w:val="22"/>
    <w:qFormat/>
    <w:rPr>
      <w:rFonts w:cs="Times New Roman"/>
      <w:b/>
      <w:bCs/>
      <w:shd w:val="clear" w:color="auto" w:fill="auto"/>
    </w:rPr>
  </w:style>
  <w:style w:type="table" w:customStyle="1" w:styleId="Listtable">
    <w:name w:val="List table"/>
    <w:rPr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Bullet">
    <w:name w:val="List Bullet"/>
    <w:basedOn w:val="Normal"/>
    <w:pPr>
      <w:numPr>
        <w:numId w:val="8"/>
      </w:numPr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9"/>
      </w:numPr>
    </w:pPr>
  </w:style>
  <w:style w:type="paragraph" w:styleId="ListBullet4">
    <w:name w:val="List Bullet 4"/>
    <w:basedOn w:val="Normal"/>
    <w:uiPriority w:val="99"/>
    <w:pPr>
      <w:numPr>
        <w:numId w:val="10"/>
      </w:numPr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  <w:semiHidden/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Notestable">
    <w:name w:val="Notes table"/>
    <w:rPr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Subtitle1">
    <w:name w:val="Subtitle1"/>
    <w:aliases w:val="CONTENT.TITLE.TI"/>
    <w:basedOn w:val="Normal"/>
    <w:pPr>
      <w:keepNext/>
      <w:jc w:val="center"/>
    </w:pPr>
    <w:rPr>
      <w:lang w:eastAsia="ko-KR"/>
    </w:rPr>
  </w:style>
  <w:style w:type="character" w:customStyle="1" w:styleId="footnoteparenthesis">
    <w:name w:val="footnote_parenthesis"/>
    <w:rPr>
      <w:shd w:val="clear" w:color="auto" w:fill="auto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link w:val="EndnoteText"/>
    <w:rPr>
      <w:shd w:val="clear" w:color="auto" w:fill="auto"/>
      <w:lang w:eastAsia="en-US"/>
    </w:rPr>
  </w:style>
  <w:style w:type="character" w:styleId="EndnoteReference">
    <w:name w:val="endnote reference"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pPr>
      <w:spacing w:before="0" w:after="0"/>
      <w:jc w:val="left"/>
    </w:pPr>
  </w:style>
  <w:style w:type="paragraph" w:customStyle="1" w:styleId="Titrefichefinancier">
    <w:name w:val="Titre fiche financier"/>
    <w:basedOn w:val="Normal"/>
    <w:pPr>
      <w:jc w:val="center"/>
    </w:pPr>
    <w:rPr>
      <w:b/>
      <w:noProof/>
      <w:u w:val="single"/>
    </w:rPr>
  </w:style>
  <w:style w:type="table" w:customStyle="1" w:styleId="Listtable1">
    <w:name w:val="List table1"/>
    <w:rPr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Listtable2">
    <w:name w:val="List table2"/>
    <w:rPr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tgc">
    <w:name w:val="_tgc"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le-article-norm2">
    <w:name w:val="title-article-norm2"/>
    <w:basedOn w:val="Normal"/>
    <w:pPr>
      <w:spacing w:before="240" w:line="312" w:lineRule="atLeast"/>
      <w:jc w:val="center"/>
    </w:pPr>
    <w:rPr>
      <w:rFonts w:eastAsia="Times New Roman"/>
      <w:i/>
      <w:iCs/>
      <w:szCs w:val="24"/>
    </w:rPr>
  </w:style>
  <w:style w:type="paragraph" w:customStyle="1" w:styleId="norm3">
    <w:name w:val="norm3"/>
    <w:basedOn w:val="Normal"/>
    <w:pPr>
      <w:spacing w:after="0" w:line="312" w:lineRule="atLeas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300" w:after="0" w:line="504" w:lineRule="exact"/>
      <w:ind w:hanging="560"/>
    </w:pPr>
    <w:rPr>
      <w:rFonts w:asciiTheme="minorHAnsi" w:hAnsiTheme="minorHAnsi" w:cstheme="minorBid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istBullet1">
    <w:name w:val="List Bullet 1"/>
    <w:basedOn w:val="Normal"/>
    <w:pPr>
      <w:numPr>
        <w:numId w:val="1"/>
      </w:numPr>
    </w:pPr>
  </w:style>
  <w:style w:type="paragraph" w:customStyle="1" w:styleId="ListDash1">
    <w:name w:val="List Dash 1"/>
    <w:basedOn w:val="Normal"/>
    <w:pPr>
      <w:numPr>
        <w:numId w:val="2"/>
      </w:numPr>
    </w:pPr>
  </w:style>
  <w:style w:type="paragraph" w:customStyle="1" w:styleId="ListDash2">
    <w:name w:val="List Dash 2"/>
    <w:basedOn w:val="Normal"/>
    <w:pPr>
      <w:numPr>
        <w:numId w:val="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</w:style>
  <w:style w:type="table" w:styleId="TableGrid">
    <w:name w:val="Table Grid"/>
    <w:basedOn w:val="TableNormal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customStyle="1" w:styleId="Paragraph">
    <w:name w:val="Paragraph"/>
    <w:basedOn w:val="Normal"/>
    <w:pPr>
      <w:spacing w:before="0" w:after="0"/>
    </w:pPr>
    <w:rPr>
      <w:sz w:val="16"/>
      <w:lang w:eastAsia="ko-KR"/>
    </w:rPr>
  </w:style>
  <w:style w:type="table" w:customStyle="1" w:styleId="Listdash">
    <w:name w:val="List dash"/>
    <w:basedOn w:val="Listtable"/>
    <w:rPr>
      <w:sz w:val="20"/>
      <w:szCs w:val="20"/>
    </w:rPr>
    <w:tblPr>
      <w:tblCellMar>
        <w:top w:w="0" w:type="dxa"/>
        <w:left w:w="0" w:type="dxa"/>
        <w:bottom w:w="0" w:type="dxa"/>
      </w:tblCellMar>
    </w:tblPr>
  </w:style>
  <w:style w:type="character" w:customStyle="1" w:styleId="FootnoteReference1">
    <w:name w:val="Footnote Reference1"/>
    <w:hidden/>
    <w:rPr>
      <w:sz w:val="16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character" w:styleId="Strong">
    <w:name w:val="Strong"/>
    <w:uiPriority w:val="22"/>
    <w:qFormat/>
    <w:rPr>
      <w:rFonts w:cs="Times New Roman"/>
      <w:b/>
      <w:bCs/>
      <w:shd w:val="clear" w:color="auto" w:fill="auto"/>
    </w:rPr>
  </w:style>
  <w:style w:type="table" w:customStyle="1" w:styleId="Listtable">
    <w:name w:val="List table"/>
    <w:rPr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Bullet">
    <w:name w:val="List Bullet"/>
    <w:basedOn w:val="Normal"/>
    <w:pPr>
      <w:numPr>
        <w:numId w:val="8"/>
      </w:numPr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9"/>
      </w:numPr>
    </w:pPr>
  </w:style>
  <w:style w:type="paragraph" w:styleId="ListBullet4">
    <w:name w:val="List Bullet 4"/>
    <w:basedOn w:val="Normal"/>
    <w:uiPriority w:val="99"/>
    <w:pPr>
      <w:numPr>
        <w:numId w:val="10"/>
      </w:numPr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  <w:semiHidden/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Notestable">
    <w:name w:val="Notes table"/>
    <w:rPr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Subtitle1">
    <w:name w:val="Subtitle1"/>
    <w:aliases w:val="CONTENT.TITLE.TI"/>
    <w:basedOn w:val="Normal"/>
    <w:pPr>
      <w:keepNext/>
      <w:jc w:val="center"/>
    </w:pPr>
    <w:rPr>
      <w:lang w:eastAsia="ko-KR"/>
    </w:rPr>
  </w:style>
  <w:style w:type="character" w:customStyle="1" w:styleId="footnoteparenthesis">
    <w:name w:val="footnote_parenthesis"/>
    <w:rPr>
      <w:shd w:val="clear" w:color="auto" w:fill="auto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link w:val="EndnoteText"/>
    <w:rPr>
      <w:shd w:val="clear" w:color="auto" w:fill="auto"/>
      <w:lang w:eastAsia="en-US"/>
    </w:rPr>
  </w:style>
  <w:style w:type="character" w:styleId="EndnoteReference">
    <w:name w:val="endnote reference"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pPr>
      <w:spacing w:before="0" w:after="0"/>
      <w:jc w:val="left"/>
    </w:pPr>
  </w:style>
  <w:style w:type="paragraph" w:customStyle="1" w:styleId="Titrefichefinancier">
    <w:name w:val="Titre fiche financier"/>
    <w:basedOn w:val="Normal"/>
    <w:pPr>
      <w:jc w:val="center"/>
    </w:pPr>
    <w:rPr>
      <w:b/>
      <w:noProof/>
      <w:u w:val="single"/>
    </w:rPr>
  </w:style>
  <w:style w:type="table" w:customStyle="1" w:styleId="Listtable1">
    <w:name w:val="List table1"/>
    <w:rPr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Listtable2">
    <w:name w:val="List table2"/>
    <w:rPr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tgc">
    <w:name w:val="_tgc"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le-article-norm2">
    <w:name w:val="title-article-norm2"/>
    <w:basedOn w:val="Normal"/>
    <w:pPr>
      <w:spacing w:before="240" w:line="312" w:lineRule="atLeast"/>
      <w:jc w:val="center"/>
    </w:pPr>
    <w:rPr>
      <w:rFonts w:eastAsia="Times New Roman"/>
      <w:i/>
      <w:iCs/>
      <w:szCs w:val="24"/>
    </w:rPr>
  </w:style>
  <w:style w:type="paragraph" w:customStyle="1" w:styleId="norm3">
    <w:name w:val="norm3"/>
    <w:basedOn w:val="Normal"/>
    <w:pPr>
      <w:spacing w:after="0" w:line="312" w:lineRule="atLeas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300" w:after="0" w:line="504" w:lineRule="exact"/>
      <w:ind w:hanging="560"/>
    </w:pPr>
    <w:rPr>
      <w:rFonts w:asciiTheme="minorHAnsi" w:hAnsiTheme="minorHAnsi" w:cstheme="minorBid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58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19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0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4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4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5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28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MT/AUTO/?uri=OJ:C:2011:363:TOC" TargetMode="External"/><Relationship Id="rId1" Type="http://schemas.openxmlformats.org/officeDocument/2006/relationships/hyperlink" Target="http://ec.europa.eu/taxation_customs/common/publications/studies/index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3347-D92F-47A9-B33F-DAFD3CD6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9</Pages>
  <Words>1567</Words>
  <Characters>11206</Characters>
  <Application>Microsoft Office Word</Application>
  <DocSecurity>0</DocSecurity>
  <Lines>207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12672</CharactersWithSpaces>
  <SharedDoc>false</SharedDoc>
  <HLinks>
    <vt:vector size="6" baseType="variant"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http://ec.europa.eu/taxation_customs/common/publications/studies/index_en.htm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19</cp:revision>
  <cp:lastPrinted>2020-02-20T13:40:00Z</cp:lastPrinted>
  <dcterms:created xsi:type="dcterms:W3CDTF">2020-04-02T13:11:00Z</dcterms:created>
  <dcterms:modified xsi:type="dcterms:W3CDTF">2020-04-24T08:04:00Z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5.8.22.0</vt:lpwstr>
  </property>
  <property fmtid="{D5CDD505-2E9C-101B-9397-08002B2CF9AE}" pid="4" name="Created using">
    <vt:lpwstr>LW 5.8, Build 20110311</vt:lpwstr>
  </property>
  <property fmtid="{D5CDD505-2E9C-101B-9397-08002B2CF9AE}" pid="5" name="Last edited using">
    <vt:lpwstr>LW 7.0, Build 20190717</vt:lpwstr>
  </property>
  <property fmtid="{D5CDD505-2E9C-101B-9397-08002B2CF9AE}" pid="6" name="_NewReviewCycle">
    <vt:lpwstr/>
  </property>
  <property fmtid="{D5CDD505-2E9C-101B-9397-08002B2CF9AE}" pid="7" name="LWTemplateID">
    <vt:lpwstr>SJ-016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evel of sensitivity">
    <vt:lpwstr>Standard treatment</vt:lpwstr>
  </property>
  <property fmtid="{D5CDD505-2E9C-101B-9397-08002B2CF9AE}" pid="11" name="DQCStatus">
    <vt:lpwstr>Green (DQC version 03)</vt:lpwstr>
  </property>
</Properties>
</file>