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95663C8-D146-4152-97D6-917307A8670D" style="width:450.8pt;height:351.8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rFonts w:eastAsia="Calibri"/>
          <w:noProof/>
        </w:rPr>
      </w:pPr>
      <w:r>
        <w:t>1.</w:t>
      </w:r>
      <w:r>
        <w:tab/>
      </w:r>
      <w:r>
        <w:rPr>
          <w:noProof/>
        </w:rPr>
        <w:t>KONTEKST PRIJEDLOGA</w:t>
      </w:r>
    </w:p>
    <w:p>
      <w:pPr>
        <w:pStyle w:val="ManualHeading2"/>
        <w:rPr>
          <w:rFonts w:eastAsia="Arial Unicode MS"/>
          <w:noProof/>
        </w:rPr>
      </w:pPr>
      <w:r>
        <w:rPr>
          <w:noProof/>
          <w:u w:color="000000"/>
          <w:bdr w:val="nil"/>
        </w:rPr>
        <w:t>•</w:t>
      </w:r>
      <w:r>
        <w:rPr>
          <w:noProof/>
          <w:u w:color="000000"/>
          <w:bdr w:val="nil"/>
        </w:rPr>
        <w:tab/>
      </w:r>
      <w:r>
        <w:rPr>
          <w:noProof/>
        </w:rPr>
        <w:t>Razlozi i ciljevi prijedloga</w:t>
      </w:r>
    </w:p>
    <w:p>
      <w:pPr>
        <w:pBdr>
          <w:top w:val="nil"/>
          <w:left w:val="nil"/>
          <w:bottom w:val="nil"/>
          <w:right w:val="nil"/>
          <w:between w:val="nil"/>
          <w:bar w:val="nil"/>
        </w:pBdr>
        <w:spacing w:before="0" w:after="240"/>
        <w:rPr>
          <w:noProof/>
        </w:rPr>
      </w:pPr>
      <w:r>
        <w:rPr>
          <w:noProof/>
        </w:rPr>
        <w:t>Autonomne carinske kvote potrebne su za određene proizvode koji se u Uniji ne proizvode u količinama dostatnima za ispunjavanje potreba prerađivačke industrije EU-a. Carinske kvote Unije trebale bi se za odgovarajuće količine otvoriti po nultoj stopi ili sniženim carinskim stopama, a da se pritom ne naruše tržišta takvih proizvoda.</w:t>
      </w:r>
    </w:p>
    <w:p>
      <w:pPr>
        <w:pBdr>
          <w:top w:val="nil"/>
          <w:left w:val="nil"/>
          <w:bottom w:val="nil"/>
          <w:right w:val="nil"/>
          <w:between w:val="nil"/>
          <w:bar w:val="nil"/>
        </w:pBdr>
        <w:spacing w:before="0" w:after="240"/>
        <w:rPr>
          <w:noProof/>
        </w:rPr>
      </w:pPr>
      <w:r>
        <w:rPr>
          <w:noProof/>
        </w:rPr>
        <w:t>Vijeće Europske unije donijelo je 17. prosinca 2013. Uredbu (EU) br. 1388/2013 o otvaranju autonomnih carinskih kvota Unije za određene poljoprivredne i industrijske proizvode i upravljanju njima kako bi se potrebe za predmetnim proizvodima u Uniji mogle ispuniti pod najpovoljnijim uvjetima.</w:t>
      </w:r>
    </w:p>
    <w:p>
      <w:pPr>
        <w:pBdr>
          <w:top w:val="nil"/>
          <w:left w:val="nil"/>
          <w:bottom w:val="nil"/>
          <w:right w:val="nil"/>
          <w:between w:val="nil"/>
          <w:bar w:val="nil"/>
        </w:pBdr>
        <w:spacing w:before="0" w:after="240"/>
        <w:rPr>
          <w:noProof/>
        </w:rPr>
      </w:pPr>
      <w:r>
        <w:rPr>
          <w:noProof/>
        </w:rPr>
        <w:t>Uredba se ažurira svakih šest mjeseci radi prilagođavanja potrebama industrije Unije. Komisija je uz pomoć Skupine za gospodarska tarifna pitanja preispitala sve zahtjeve država članica za autonomne carinske kvote.</w:t>
      </w:r>
    </w:p>
    <w:p>
      <w:pPr>
        <w:pBdr>
          <w:top w:val="nil"/>
          <w:left w:val="nil"/>
          <w:bottom w:val="nil"/>
          <w:right w:val="nil"/>
          <w:between w:val="nil"/>
          <w:bar w:val="nil"/>
        </w:pBdr>
        <w:spacing w:before="0" w:after="240"/>
        <w:rPr>
          <w:noProof/>
        </w:rPr>
      </w:pPr>
      <w:r>
        <w:rPr>
          <w:noProof/>
        </w:rPr>
        <w:t>Na temelju tog preispitivanja Komisija smatra opravdanim otvaranje autonomnih carinskih kvota za određene nove proizvode koji trenutačno nisu navedeni u Prilogu Uredbi Vijeća (EU) br. 1388/2013. U pogledu nekih drugih proizvoda nužno je izmijeniti tekst njihova opisa, trebalo bi im dodijeliti nove oznake TARIC ili je postalo nužno da se poveća početni opseg kvote, uključujući i retroaktivno. Proizvodi za koje carinska kvota više nije u gospodarskom interesu Unije trebali bi biti povučeni.</w:t>
      </w:r>
    </w:p>
    <w:p>
      <w:pPr>
        <w:pBdr>
          <w:top w:val="nil"/>
          <w:left w:val="nil"/>
          <w:bottom w:val="nil"/>
          <w:right w:val="nil"/>
          <w:between w:val="nil"/>
          <w:bar w:val="nil"/>
        </w:pBdr>
        <w:spacing w:before="0" w:after="240"/>
        <w:rPr>
          <w:rFonts w:eastAsia="Arial Unicode MS"/>
          <w:noProof/>
        </w:rPr>
      </w:pPr>
      <w:r>
        <w:rPr>
          <w:noProof/>
        </w:rPr>
        <w:t>U cilju jasnoće preporučuje se objavljivanje pročišćene verzije Priloga Uredbi Vijeća (EU) br. 1388/2013, koja će u potpunosti zamijeniti prethodni Prilog.</w:t>
      </w:r>
    </w:p>
    <w:p>
      <w:pPr>
        <w:pStyle w:val="ManualHeading2"/>
        <w:rPr>
          <w:rFonts w:eastAsia="Arial Unicode MS"/>
          <w:noProof/>
          <w:u w:color="000000"/>
          <w:bdr w:val="nil"/>
        </w:rPr>
      </w:pPr>
      <w:r>
        <w:rPr>
          <w:noProof/>
          <w:u w:color="000000"/>
          <w:bdr w:val="nil"/>
        </w:rPr>
        <w:t>•</w:t>
      </w:r>
      <w:r>
        <w:rPr>
          <w:noProof/>
          <w:u w:color="000000"/>
          <w:bdr w:val="nil"/>
        </w:rPr>
        <w:tab/>
        <w:t>Dosljednost s postojećim odredbama politike u određenom području</w:t>
      </w:r>
    </w:p>
    <w:p>
      <w:pPr>
        <w:rPr>
          <w:noProof/>
        </w:rPr>
      </w:pPr>
      <w:r>
        <w:rPr>
          <w:noProof/>
        </w:rPr>
        <w:t>Ovaj prijedlog nije na štetu zemalja koje imaju povlaštene trgovinske sporazume s Unijom, država kandidatkinja i potencijalnih država kandidatkinja za sklapanje povlaštenih sporazuma s Unijom (npr. opći sustav povlastica; trgovinski režim za afričke, karipske i pacifičke države; sporazumi o slobodnoj trgovini).</w:t>
      </w:r>
    </w:p>
    <w:p>
      <w:pPr>
        <w:pStyle w:val="ManualHeading2"/>
        <w:rPr>
          <w:rFonts w:eastAsia="Arial Unicode MS"/>
          <w:noProof/>
          <w:u w:color="000000"/>
          <w:bdr w:val="nil"/>
        </w:rPr>
      </w:pPr>
      <w:r>
        <w:rPr>
          <w:noProof/>
          <w:u w:color="000000"/>
          <w:bdr w:val="nil"/>
        </w:rPr>
        <w:t>•</w:t>
      </w:r>
      <w:r>
        <w:rPr>
          <w:noProof/>
          <w:u w:color="000000"/>
          <w:bdr w:val="nil"/>
        </w:rPr>
        <w:tab/>
        <w:t>Dosljednost u odnosu na druge politike Unije</w:t>
      </w:r>
    </w:p>
    <w:p>
      <w:pPr>
        <w:pBdr>
          <w:top w:val="nil"/>
          <w:left w:val="nil"/>
          <w:bottom w:val="nil"/>
          <w:right w:val="nil"/>
          <w:between w:val="nil"/>
          <w:bar w:val="nil"/>
        </w:pBdr>
        <w:spacing w:before="0" w:after="240"/>
        <w:rPr>
          <w:rFonts w:eastAsia="Arial Unicode MS"/>
          <w:noProof/>
        </w:rPr>
      </w:pPr>
      <w:r>
        <w:rPr>
          <w:noProof/>
        </w:rPr>
        <w:t>Prijedlog je u skladu s politikama Unije u području poljoprivrede, trgovine, poduzetništva, razvoja, okoliša i vanjskih odnosa.</w:t>
      </w:r>
    </w:p>
    <w:p>
      <w:pPr>
        <w:pStyle w:val="ManualHeading1"/>
        <w:rPr>
          <w:rFonts w:eastAsia="Calibri"/>
          <w:noProof/>
        </w:rPr>
      </w:pPr>
      <w:r>
        <w:t>2.</w:t>
      </w:r>
      <w:r>
        <w:tab/>
      </w:r>
      <w:r>
        <w:rPr>
          <w:noProof/>
        </w:rPr>
        <w:t>PRAVNA OSNOVA, SUPSIDIJARNOST I PROPORCIONALNOST</w:t>
      </w:r>
    </w:p>
    <w:p>
      <w:pPr>
        <w:pStyle w:val="ManualHeading2"/>
        <w:rPr>
          <w:rFonts w:eastAsia="Arial Unicode MS"/>
          <w:noProof/>
          <w:u w:color="000000"/>
          <w:bdr w:val="nil"/>
        </w:rPr>
      </w:pPr>
      <w:r>
        <w:rPr>
          <w:noProof/>
          <w:u w:color="000000"/>
          <w:bdr w:val="nil"/>
        </w:rPr>
        <w:t>•</w:t>
      </w:r>
      <w:r>
        <w:rPr>
          <w:noProof/>
          <w:u w:color="000000"/>
          <w:bdr w:val="nil"/>
        </w:rPr>
        <w:tab/>
        <w:t>Pravna osnova</w:t>
      </w:r>
    </w:p>
    <w:p>
      <w:pPr>
        <w:pBdr>
          <w:top w:val="nil"/>
          <w:left w:val="nil"/>
          <w:bottom w:val="nil"/>
          <w:right w:val="nil"/>
          <w:between w:val="nil"/>
          <w:bar w:val="nil"/>
        </w:pBdr>
        <w:spacing w:before="0" w:after="240"/>
        <w:rPr>
          <w:rFonts w:eastAsia="Arial Unicode MS"/>
          <w:noProof/>
        </w:rPr>
      </w:pPr>
      <w:r>
        <w:rPr>
          <w:noProof/>
        </w:rPr>
        <w:t>Pravna je osnova ovog Prijedloga članak 31. Ugovora o funkcioniranju Europske unije (UFEU).</w:t>
      </w:r>
    </w:p>
    <w:p>
      <w:pPr>
        <w:pStyle w:val="ManualHeading2"/>
        <w:rPr>
          <w:rFonts w:eastAsia="Arial Unicode MS"/>
          <w:noProof/>
          <w:u w:color="000000"/>
          <w:bdr w:val="nil"/>
        </w:rPr>
      </w:pPr>
      <w:r>
        <w:rPr>
          <w:noProof/>
          <w:u w:color="000000"/>
          <w:bdr w:val="nil"/>
        </w:rPr>
        <w:t>•</w:t>
      </w:r>
      <w:r>
        <w:rPr>
          <w:noProof/>
          <w:u w:color="000000"/>
          <w:bdr w:val="nil"/>
        </w:rPr>
        <w:tab/>
        <w:t>Supsidijarnost (za neisključivu nadležnost)</w:t>
      </w:r>
    </w:p>
    <w:p>
      <w:pPr>
        <w:rPr>
          <w:noProof/>
        </w:rPr>
      </w:pPr>
      <w:r>
        <w:rPr>
          <w:noProof/>
        </w:rPr>
        <w:t>Prijedlog je u isključivoj nadležnosti Unije. Načelo supsidijarnosti stoga se ne primjenjuje.</w:t>
      </w:r>
    </w:p>
    <w:p>
      <w:pPr>
        <w:pStyle w:val="ManualHeading2"/>
        <w:rPr>
          <w:rFonts w:eastAsia="Arial Unicode MS"/>
          <w:noProof/>
          <w:u w:color="000000"/>
          <w:bdr w:val="nil"/>
        </w:rPr>
      </w:pPr>
      <w:r>
        <w:rPr>
          <w:noProof/>
          <w:u w:color="000000"/>
          <w:bdr w:val="nil"/>
        </w:rPr>
        <w:lastRenderedPageBreak/>
        <w:t>•</w:t>
      </w:r>
      <w:r>
        <w:rPr>
          <w:noProof/>
          <w:u w:color="000000"/>
          <w:bdr w:val="nil"/>
        </w:rPr>
        <w:tab/>
        <w:t>Proporcionalnost</w:t>
      </w:r>
    </w:p>
    <w:p>
      <w:pPr>
        <w:pBdr>
          <w:top w:val="nil"/>
          <w:left w:val="nil"/>
          <w:bottom w:val="nil"/>
          <w:right w:val="nil"/>
          <w:between w:val="nil"/>
          <w:bar w:val="nil"/>
        </w:pBdr>
        <w:spacing w:before="0" w:after="240"/>
        <w:rPr>
          <w:rFonts w:eastAsia="Arial Unicode MS"/>
          <w:noProof/>
        </w:rPr>
      </w:pPr>
      <w:r>
        <w:rPr>
          <w:noProof/>
        </w:rPr>
        <w:t>Prijedlog je u skladu s načelom proporcionalnosti. Predviđene mjere u skladu su s načelima pojednostavnjenih postupaka za subjekte koji se bave vanjskom trgovinom, kako je navedeno u komunikaciji Komisije o autonomnim tarifnim suspenzijama i kvotama</w:t>
      </w:r>
      <w:r>
        <w:rPr>
          <w:rStyle w:val="FootnoteReference"/>
          <w:noProof/>
        </w:rPr>
        <w:footnoteReference w:id="2"/>
      </w:r>
      <w:r>
        <w:rPr>
          <w:noProof/>
        </w:rPr>
        <w:t>. Ova Uredba ne prelazi ono što je potrebno za ostvarivanje ciljeva u skladu s člankom 5. stavkom 4. Ugovora o Europskoj uniji (UEU).</w:t>
      </w:r>
    </w:p>
    <w:p>
      <w:pPr>
        <w:pStyle w:val="ManualHeading2"/>
        <w:rPr>
          <w:rFonts w:eastAsia="Arial Unicode MS"/>
          <w:noProof/>
          <w:u w:color="000000"/>
          <w:bdr w:val="nil"/>
        </w:rPr>
      </w:pPr>
      <w:r>
        <w:rPr>
          <w:noProof/>
          <w:u w:color="000000"/>
          <w:bdr w:val="nil"/>
        </w:rPr>
        <w:t>•</w:t>
      </w:r>
      <w:r>
        <w:rPr>
          <w:noProof/>
          <w:u w:color="000000"/>
          <w:bdr w:val="nil"/>
        </w:rPr>
        <w:tab/>
        <w:t>Odabir instrumenta</w:t>
      </w:r>
    </w:p>
    <w:p>
      <w:pPr>
        <w:rPr>
          <w:noProof/>
        </w:rPr>
      </w:pPr>
      <w:r>
        <w:rPr>
          <w:noProof/>
        </w:rPr>
        <w:t xml:space="preserve">U skladu s člankom 31. UFEU-a „Vijeće, na prijedlog Komisije, utvrđuje stope zajedničke carinske tarife”. Uredba Vijeća stoga je primjeren instrument. </w:t>
      </w:r>
    </w:p>
    <w:p>
      <w:pPr>
        <w:pStyle w:val="ManualHeading1"/>
        <w:rPr>
          <w:rFonts w:eastAsia="Calibri"/>
          <w:noProof/>
        </w:rPr>
      </w:pPr>
      <w:r>
        <w:t>3.</w:t>
      </w:r>
      <w:r>
        <w:tab/>
      </w:r>
      <w:r>
        <w:rPr>
          <w:noProof/>
        </w:rPr>
        <w:t xml:space="preserve">REZULTATI </w:t>
      </w:r>
      <w:r>
        <w:rPr>
          <w:i/>
          <w:noProof/>
        </w:rPr>
        <w:t>EX POST</w:t>
      </w:r>
      <w:r>
        <w:rPr>
          <w:noProof/>
        </w:rPr>
        <w:t xml:space="preserve"> EVALUACIJA, SAVJETOVANJA S DIONICIMA I PROCJENE UČINAKA</w:t>
      </w:r>
    </w:p>
    <w:p>
      <w:pPr>
        <w:pStyle w:val="ManualHeading2"/>
        <w:rPr>
          <w:rFonts w:eastAsia="Arial Unicode MS"/>
          <w:noProof/>
          <w:u w:color="000000"/>
          <w:bdr w:val="nil"/>
        </w:rPr>
      </w:pPr>
      <w:r>
        <w:rPr>
          <w:noProof/>
          <w:u w:color="000000"/>
          <w:bdr w:val="nil"/>
        </w:rPr>
        <w:t>•</w:t>
      </w:r>
      <w:r>
        <w:rPr>
          <w:noProof/>
          <w:u w:color="000000"/>
          <w:bdr w:val="nil"/>
        </w:rPr>
        <w:tab/>
      </w:r>
      <w:r>
        <w:rPr>
          <w:i/>
          <w:noProof/>
          <w:u w:color="000000"/>
          <w:bdr w:val="nil"/>
        </w:rPr>
        <w:t>Ex post</w:t>
      </w:r>
      <w:r>
        <w:rPr>
          <w:noProof/>
          <w:u w:color="000000"/>
          <w:bdr w:val="nil"/>
        </w:rPr>
        <w:t xml:space="preserve"> evaluacija/provjera primjerenosti postojećeg zakonodavstva</w:t>
      </w:r>
    </w:p>
    <w:p>
      <w:pPr>
        <w:pBdr>
          <w:top w:val="nil"/>
          <w:left w:val="nil"/>
          <w:bottom w:val="nil"/>
          <w:right w:val="nil"/>
          <w:between w:val="nil"/>
          <w:bar w:val="nil"/>
        </w:pBdr>
        <w:spacing w:before="0" w:after="240"/>
        <w:rPr>
          <w:noProof/>
        </w:rPr>
      </w:pPr>
      <w:r>
        <w:rPr>
          <w:noProof/>
        </w:rPr>
        <w:t>Režim autonomnih carinskih kvota bio je obuhvaćen evaluacijskom studijom o autonomnim tarifnim suspenzijama, provedenom 2013</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Razlog je sličnost tih dviju mjera, osim u tome što se carinskim kvotama ograničava uvezena količina. Evaluacijom je potvrđena valjanost temeljnog obrazloženja tog režima. Uštede za poduzeća iz Unije koja uvoze robu u okviru režima mogu biti znatne. Na temelju tih ušteda, ovisno o predmetnom proizvodu, poduzeću i sektoru, mogu se ostvariti i druge koristi, poput veće konkurentnosti, učinkovitijih proizvodnih metoda, stvaranja ili očuvanja radnih mjesta u Uniji. Pojedinosti o uštedama na temelju ove uredbe navedene su u priloženom zakonodavnom financijskom izvještaju.</w:t>
      </w:r>
    </w:p>
    <w:p>
      <w:pPr>
        <w:pStyle w:val="ManualHeading2"/>
        <w:rPr>
          <w:rFonts w:eastAsia="Arial Unicode MS"/>
          <w:noProof/>
          <w:u w:color="000000"/>
          <w:bdr w:val="nil"/>
        </w:rPr>
      </w:pPr>
      <w:r>
        <w:rPr>
          <w:noProof/>
          <w:u w:color="000000"/>
          <w:bdr w:val="nil"/>
        </w:rPr>
        <w:t>•</w:t>
      </w:r>
      <w:r>
        <w:rPr>
          <w:noProof/>
          <w:u w:color="000000"/>
          <w:bdr w:val="nil"/>
        </w:rPr>
        <w:tab/>
        <w:t>Savjetovanja s dionicima</w:t>
      </w:r>
    </w:p>
    <w:p>
      <w:pPr>
        <w:rPr>
          <w:noProof/>
        </w:rPr>
      </w:pPr>
      <w:r>
        <w:rPr>
          <w:noProof/>
        </w:rPr>
        <w:t>Skupina za gospodarska tarifna pitanja, sastavljena od predstavnika svih država članica i predstavnika Turske, pomogla je Komisiji u procjeni ovog Prijedloga. Skupina se sastala tri puta prije nego je postignut dogovor o izmjenama iz ovog Prijedloga.</w:t>
      </w:r>
    </w:p>
    <w:p>
      <w:pPr>
        <w:rPr>
          <w:noProof/>
        </w:rPr>
      </w:pPr>
      <w:r>
        <w:rPr>
          <w:noProof/>
        </w:rPr>
        <w:t>Svaki je zahtjev pažljivo razmotren (novi zahtjev ili zahtjev za izmjenu). Svaki je primjer posebno ispitan kako bi se osiguralo da ne šteti proizvođačima u Uniji te da osnažuje i učvršćuje konkurentnost proizvodnje u Uniji. Članovi Skupine za gospodarska tarifna pitanja proveli su procjenu na temelju održanih rasprava, a države članice provele su savjetovanja s predstavnicima dotičnih industrija, udruženjima, gospodarskim komorama i ostalim zainteresiranim dionicima.</w:t>
      </w:r>
    </w:p>
    <w:p>
      <w:pPr>
        <w:rPr>
          <w:noProof/>
        </w:rPr>
      </w:pPr>
      <w:r>
        <w:rPr>
          <w:noProof/>
        </w:rPr>
        <w:t>Sve navedene carinske kvote u skladu su s dogovorima ili kompromisima postignutima nakon rasprave u Skupini za gospodarska tarifna pitanja. Nisu navedeni nikakvi potencijalni ozbiljni rizici s nepopravljivim posljedicama.</w:t>
      </w:r>
    </w:p>
    <w:p>
      <w:pPr>
        <w:pStyle w:val="ManualHeading2"/>
        <w:rPr>
          <w:rFonts w:eastAsia="Arial Unicode MS"/>
          <w:noProof/>
          <w:u w:color="000000"/>
          <w:bdr w:val="nil"/>
        </w:rPr>
      </w:pPr>
      <w:r>
        <w:rPr>
          <w:noProof/>
          <w:u w:color="000000"/>
          <w:bdr w:val="nil"/>
        </w:rPr>
        <w:t>•</w:t>
      </w:r>
      <w:r>
        <w:rPr>
          <w:noProof/>
          <w:u w:color="000000"/>
          <w:bdr w:val="nil"/>
        </w:rPr>
        <w:tab/>
        <w:t>Procjena učinka</w:t>
      </w:r>
    </w:p>
    <w:p>
      <w:pPr>
        <w:rPr>
          <w:noProof/>
        </w:rPr>
      </w:pPr>
      <w:r>
        <w:rPr>
          <w:noProof/>
        </w:rPr>
        <w:t>Predložene izmjene tehničke su prirode i obuhvaćaju samo područje primjene carinskih kvota navedenih u Prilogu Uredbi (EU) br. 1388/2013. Stoga procjena učinka za ovaj prijedlog nije provedena.</w:t>
      </w:r>
    </w:p>
    <w:p>
      <w:pPr>
        <w:pStyle w:val="ManualHeading2"/>
        <w:rPr>
          <w:rFonts w:eastAsia="Arial Unicode MS"/>
          <w:noProof/>
          <w:u w:color="000000"/>
          <w:bdr w:val="nil"/>
        </w:rPr>
      </w:pPr>
      <w:r>
        <w:rPr>
          <w:noProof/>
          <w:u w:color="000000"/>
          <w:bdr w:val="nil"/>
        </w:rPr>
        <w:lastRenderedPageBreak/>
        <w:t>•</w:t>
      </w:r>
      <w:r>
        <w:rPr>
          <w:noProof/>
          <w:u w:color="000000"/>
          <w:bdr w:val="nil"/>
        </w:rPr>
        <w:tab/>
        <w:t>Temeljna prava</w:t>
      </w:r>
    </w:p>
    <w:p>
      <w:pPr>
        <w:pBdr>
          <w:top w:val="nil"/>
          <w:left w:val="nil"/>
          <w:bottom w:val="nil"/>
          <w:right w:val="nil"/>
          <w:between w:val="nil"/>
          <w:bar w:val="nil"/>
        </w:pBdr>
        <w:spacing w:before="0" w:after="240"/>
        <w:rPr>
          <w:rFonts w:eastAsia="Arial Unicode MS"/>
          <w:noProof/>
        </w:rPr>
      </w:pPr>
      <w:r>
        <w:rPr>
          <w:noProof/>
        </w:rPr>
        <w:t>Prijedlog ne utječe na temeljna prava.</w:t>
      </w:r>
    </w:p>
    <w:p>
      <w:pPr>
        <w:pStyle w:val="ManualHeading1"/>
        <w:rPr>
          <w:rFonts w:eastAsia="Calibri"/>
          <w:noProof/>
        </w:rPr>
      </w:pPr>
      <w:r>
        <w:t>4.</w:t>
      </w:r>
      <w:r>
        <w:tab/>
      </w:r>
      <w:r>
        <w:rPr>
          <w:noProof/>
        </w:rPr>
        <w:t>UTJECAJ NA PRORAČUN</w:t>
      </w:r>
    </w:p>
    <w:p>
      <w:pPr>
        <w:rPr>
          <w:noProof/>
        </w:rPr>
      </w:pPr>
      <w:r>
        <w:rPr>
          <w:noProof/>
        </w:rPr>
        <w:t>Ovaj prijedlog nema financijski utjecaj na rashode, ali ima financijski utjecaj na prihode. Ukupni iznos carine koja neće biti naplaćena bit će otprilike 1,4 milijuna EUR godišnje. Učinak na tradicionalna vlastita proračunska sredstva iznosi 1,1 milijun EUR (to jest 80 % ukupnog iznosa). Zakonodavni financijski izvještaj sadržava više pojedinosti o utjecaju prijedloga na proračun.</w:t>
      </w:r>
    </w:p>
    <w:p>
      <w:pPr>
        <w:rPr>
          <w:noProof/>
          <w:szCs w:val="24"/>
        </w:rPr>
      </w:pPr>
      <w:r>
        <w:rPr>
          <w:noProof/>
        </w:rPr>
        <w:t>Gubitak prihoda u tradicionalnim vlastitim sredstvima nadoknađuje se doprinosima država članica na temelju bruto nacionalnog dohotka (BND).</w:t>
      </w:r>
    </w:p>
    <w:p>
      <w:pPr>
        <w:pStyle w:val="ManualHeading1"/>
        <w:rPr>
          <w:rFonts w:eastAsia="Calibri"/>
          <w:noProof/>
        </w:rPr>
      </w:pPr>
      <w:r>
        <w:t>5.</w:t>
      </w:r>
      <w:r>
        <w:tab/>
      </w:r>
      <w:r>
        <w:rPr>
          <w:noProof/>
        </w:rPr>
        <w:t>OSTALI DIJELOVI</w:t>
      </w:r>
    </w:p>
    <w:p>
      <w:pPr>
        <w:pStyle w:val="ManualHeading2"/>
        <w:rPr>
          <w:rFonts w:eastAsia="Arial Unicode MS"/>
          <w:noProof/>
          <w:u w:color="000000"/>
          <w:bdr w:val="nil"/>
        </w:rPr>
      </w:pPr>
      <w:r>
        <w:rPr>
          <w:noProof/>
          <w:u w:color="000000"/>
          <w:bdr w:val="nil"/>
        </w:rPr>
        <w:t>•</w:t>
      </w:r>
      <w:r>
        <w:rPr>
          <w:noProof/>
          <w:u w:color="000000"/>
          <w:bdr w:val="nil"/>
        </w:rPr>
        <w:tab/>
        <w:t>Planovi provedbe i mehanizmi praćenja, evaluacije i izvješćivanja</w:t>
      </w:r>
    </w:p>
    <w:p>
      <w:pPr>
        <w:pBdr>
          <w:top w:val="nil"/>
          <w:left w:val="nil"/>
          <w:bottom w:val="nil"/>
          <w:right w:val="nil"/>
          <w:between w:val="nil"/>
          <w:bar w:val="nil"/>
        </w:pBdr>
        <w:spacing w:before="0" w:after="240"/>
        <w:rPr>
          <w:noProof/>
        </w:rPr>
      </w:pPr>
      <w:r>
        <w:rPr>
          <w:noProof/>
        </w:rPr>
        <w:t>Predloženim mjerama upravlja se u okviru integrirane tarife Europske unije (TARIC), a primjenjuju ih carinske uprave država članica.</w:t>
      </w:r>
    </w:p>
    <w:p>
      <w:pPr>
        <w:rPr>
          <w:noProof/>
        </w:rPr>
        <w:sectPr>
          <w:footerReference w:type="default" r:id="rId11"/>
          <w:footerReference w:type="first" r:id="rId12"/>
          <w:footnotePr>
            <w:numRestart w:val="eachSect"/>
          </w:footnotePr>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2020/0063 (NLE)</w:t>
      </w:r>
    </w:p>
    <w:p>
      <w:pPr>
        <w:pStyle w:val="Statut"/>
        <w:rPr>
          <w:noProof/>
        </w:rPr>
      </w:pPr>
      <w:r>
        <w:rPr>
          <w:noProof/>
        </w:rPr>
        <w:t>Prijedlog</w:t>
      </w:r>
    </w:p>
    <w:p>
      <w:pPr>
        <w:pStyle w:val="Typedudocument"/>
        <w:rPr>
          <w:noProof/>
        </w:rPr>
      </w:pPr>
      <w:r>
        <w:rPr>
          <w:noProof/>
        </w:rPr>
        <w:t>UREDBE VIJEĆA</w:t>
      </w:r>
    </w:p>
    <w:p>
      <w:pPr>
        <w:pStyle w:val="Titreobjet"/>
        <w:rPr>
          <w:noProof/>
        </w:rPr>
      </w:pPr>
      <w:r>
        <w:rPr>
          <w:noProof/>
        </w:rPr>
        <w:t>o izmjeni Uredbe (EU) br. 1388/2013 o otvaranju autonomnih carinskih kvota Unije za određene poljoprivredne i industrijske proizvode i upravljanju njima</w:t>
      </w:r>
    </w:p>
    <w:p>
      <w:pPr>
        <w:pStyle w:val="Institutionquiagit"/>
        <w:rPr>
          <w:noProof/>
        </w:rPr>
      </w:pPr>
      <w:r>
        <w:rPr>
          <w:noProof/>
        </w:rPr>
        <w:t>VIJEĆE EUROPSKE UNIJE,</w:t>
      </w:r>
    </w:p>
    <w:p>
      <w:pPr>
        <w:rPr>
          <w:noProof/>
        </w:rPr>
      </w:pPr>
      <w:r>
        <w:rPr>
          <w:noProof/>
        </w:rPr>
        <w:t>uzimajući u obzir Ugovor o funkcioniranju Europske unije, a posebno njegov članak 31.,</w:t>
      </w:r>
    </w:p>
    <w:p>
      <w:pPr>
        <w:rPr>
          <w:noProof/>
        </w:rPr>
      </w:pPr>
      <w:r>
        <w:rPr>
          <w:noProof/>
        </w:rPr>
        <w:t>uzimajući u obzir prijedlog Europske komisije,</w:t>
      </w:r>
    </w:p>
    <w:p>
      <w:pPr>
        <w:rPr>
          <w:i/>
          <w:noProof/>
        </w:rPr>
      </w:pPr>
      <w:r>
        <w:rPr>
          <w:noProof/>
        </w:rPr>
        <w:t>budući da:</w:t>
      </w:r>
    </w:p>
    <w:p>
      <w:pPr>
        <w:pStyle w:val="ManualConsidrant"/>
        <w:rPr>
          <w:noProof/>
        </w:rPr>
      </w:pPr>
      <w:r>
        <w:t>(1)</w:t>
      </w:r>
      <w:r>
        <w:tab/>
      </w:r>
      <w:r>
        <w:rPr>
          <w:noProof/>
        </w:rPr>
        <w:t>Kako bi se osigurala dostatna i neprekinuta opskrba određenom poljoprivrednom i industrijskom robom koja se u Uniji ne proizvodi u dostatnim količinama te kako bi se izbjegli poremećaji na tržištu tih proizvoda, Uredbom Vijeća (EU) br. 1388/2013 otvorene su autonomne carinske kvote</w:t>
      </w:r>
      <w:r>
        <w:rPr>
          <w:rStyle w:val="FootnoteReference"/>
          <w:noProof/>
        </w:rPr>
        <w:footnoteReference w:id="4"/>
      </w:r>
      <w:r>
        <w:rPr>
          <w:noProof/>
        </w:rPr>
        <w:t>. U okviru tih carinskih kvota proizvodi se mogu uvoziti u Uniju po sniženim ili nultim stopama carine.</w:t>
      </w:r>
    </w:p>
    <w:p>
      <w:pPr>
        <w:pStyle w:val="ManualConsidrant"/>
        <w:rPr>
          <w:noProof/>
        </w:rPr>
      </w:pPr>
      <w:r>
        <w:t>(2)</w:t>
      </w:r>
      <w:r>
        <w:tab/>
      </w:r>
      <w:r>
        <w:rPr>
          <w:noProof/>
        </w:rPr>
        <w:t xml:space="preserve">Budući da je u interesu Unije osigurati dostatnu opskrbu određenim industrijskim proizvodima i uzimajući u obzir da se istovjetni, jednakovrijedni ili zamjenski proizvodi u Uniji ne proizvode u dostatnim količinama, potrebno je otvoriti nove carinske kvote s rednim brojevima 09.2580, 09.2581 i 09.2583 po nultoj stopi carine za odgovarajuće količine tih proizvoda. </w:t>
      </w:r>
    </w:p>
    <w:p>
      <w:pPr>
        <w:pStyle w:val="ManualConsidrant"/>
        <w:rPr>
          <w:noProof/>
          <w:sz w:val="22"/>
        </w:rPr>
      </w:pPr>
      <w:r>
        <w:t>(3)</w:t>
      </w:r>
      <w:r>
        <w:tab/>
      </w:r>
      <w:r>
        <w:rPr>
          <w:noProof/>
        </w:rPr>
        <w:t>Budući da je u interesu Unije osigurati dostatnu opskrbu određenim industrijskim proizvodima, trebalo bi povećati opseg carinskih kvota s rednim brojevima 09.2634 i 09.2668.</w:t>
      </w:r>
    </w:p>
    <w:p>
      <w:pPr>
        <w:pStyle w:val="ManualConsidrant"/>
        <w:rPr>
          <w:noProof/>
        </w:rPr>
      </w:pPr>
      <w:r>
        <w:t>(4)</w:t>
      </w:r>
      <w:r>
        <w:tab/>
      </w:r>
      <w:r>
        <w:rPr>
          <w:noProof/>
        </w:rPr>
        <w:t>Budući da je opseg carinske kvote s rednim brojem 09.2652 postao nedostatan za ispunjavanje potreba gospodarskih subjekata u Uniji, potrebno je izmijeniti opis proizvoda obuhvaćenog tom kvotom.</w:t>
      </w:r>
    </w:p>
    <w:p>
      <w:pPr>
        <w:pStyle w:val="ManualConsidrant"/>
        <w:rPr>
          <w:noProof/>
        </w:rPr>
      </w:pPr>
      <w:r>
        <w:t>(5)</w:t>
      </w:r>
      <w:r>
        <w:tab/>
      </w:r>
      <w:r>
        <w:rPr>
          <w:noProof/>
        </w:rPr>
        <w:t>Kad je riječ o carinskoj kvoti s rednim brojem 09.2588, razdoblje valjanosti kvote trebalo bi produljiti do 31. prosinca 2020. jer je carinska kvota otvorena samo za razdoblje od šest mjeseci, a u interesu je Unije zadržati tu carinsku kvotu.</w:t>
      </w:r>
    </w:p>
    <w:p>
      <w:pPr>
        <w:pStyle w:val="ManualConsidrant"/>
        <w:rPr>
          <w:noProof/>
        </w:rPr>
      </w:pPr>
      <w:r>
        <w:t>(6)</w:t>
      </w:r>
      <w:r>
        <w:tab/>
      </w:r>
      <w:r>
        <w:rPr>
          <w:noProof/>
        </w:rPr>
        <w:t>Tvari dimetil sulfat (CAS RN 77-78-1) čistoće masenog udjela od 99 % ili veće, 2</w:t>
      </w:r>
      <w:r>
        <w:rPr>
          <w:noProof/>
        </w:rPr>
        <w:noBreakHyphen/>
        <w:t>metilanilin (CAS RN 95-53-4) čistoće masenog udjela od 99 % ili veće i 4,4'</w:t>
      </w:r>
      <w:r>
        <w:rPr>
          <w:noProof/>
        </w:rPr>
        <w:noBreakHyphen/>
        <w:t xml:space="preserve">metandiildianilin (CAS RN 101-77-9) čistoće masenog udjela od 97 % ili veće navedene su na popisu predloženih tvari iz članka 59. Uredbe (EZ) br. 1907/2006 </w:t>
      </w:r>
      <w:r>
        <w:rPr>
          <w:noProof/>
        </w:rPr>
        <w:lastRenderedPageBreak/>
        <w:t>Europskog parlamenta i Vijeća</w:t>
      </w:r>
      <w:r>
        <w:rPr>
          <w:rStyle w:val="FootnoteReference"/>
          <w:noProof/>
        </w:rPr>
        <w:footnoteReference w:id="5"/>
      </w:r>
      <w:r>
        <w:rPr>
          <w:noProof/>
        </w:rPr>
        <w:t xml:space="preserve">, a tvar s brojem CAS RN 101-77-9 navedena je u Prilogu XIV. toj uredbi. Zbog toga će se postojeće carinske kvote za takve proizvode postupno zatvoriti, a sve novootvorene carinske kvote primjenjivat će se u ograničenom razdoblju. Stoga bi se carinske kvote s rednim brojevima 09.2648 i 09.2730 trebale primjenjivati do 31. prosinca 2020. s uobičajenom carinskom stopom od 2 %. Usto, carinska kvota s rednim brojem 09,2590 će se zatvoriti i trebalo bi otvoriti novu carinsku kvotu s rednim brojem 09,2582 do 31. prosinca 2020. s uobičajenom carinskom stopom od 2 %.  </w:t>
      </w:r>
    </w:p>
    <w:p>
      <w:pPr>
        <w:pStyle w:val="ManualConsidrant"/>
        <w:rPr>
          <w:noProof/>
        </w:rPr>
      </w:pPr>
      <w:r>
        <w:t>(7)</w:t>
      </w:r>
      <w:r>
        <w:tab/>
      </w:r>
      <w:r>
        <w:rPr>
          <w:noProof/>
        </w:rPr>
        <w:t>Radi jasnoće i uzimajući u obzir predviđene izmjene trebalo bi zamijeniti Prilog Uredbi (EU) br. 1388/2013.</w:t>
      </w:r>
    </w:p>
    <w:p>
      <w:pPr>
        <w:pStyle w:val="ManualConsidrant"/>
        <w:rPr>
          <w:noProof/>
        </w:rPr>
      </w:pPr>
      <w:r>
        <w:t>(8)</w:t>
      </w:r>
      <w:r>
        <w:tab/>
      </w:r>
      <w:r>
        <w:rPr>
          <w:noProof/>
        </w:rPr>
        <w:t>Kako bi se izbjegao prekid primjene sustava carinskih kvota i poštovale smjernice utvrđene u Komunikaciji Komisije o autonomnim carinskim suspenzijama i kvotama</w:t>
      </w:r>
      <w:r>
        <w:rPr>
          <w:rStyle w:val="FootnoteReference"/>
          <w:noProof/>
        </w:rPr>
        <w:footnoteReference w:id="6"/>
      </w:r>
      <w:r>
        <w:rPr>
          <w:noProof/>
        </w:rPr>
        <w:t>, izmjene predviđene u ovoj Uredbi u pogledu carinskih kvota za predmetne proizvode trebaju se primjenjivati od 1. srpnja 2020. Ova bi Uredba stoga trebala hitno stupiti na snagu,</w:t>
      </w:r>
    </w:p>
    <w:p>
      <w:pPr>
        <w:pStyle w:val="Formuledadoption"/>
        <w:rPr>
          <w:noProof/>
        </w:rPr>
      </w:pPr>
      <w:r>
        <w:rPr>
          <w:noProof/>
        </w:rPr>
        <w:t>DONIJELO JE OVU UREDBU:</w:t>
      </w:r>
    </w:p>
    <w:p>
      <w:pPr>
        <w:pStyle w:val="Titrearticle"/>
        <w:rPr>
          <w:i w:val="0"/>
          <w:noProof/>
        </w:rPr>
      </w:pPr>
      <w:r>
        <w:rPr>
          <w:i w:val="0"/>
          <w:noProof/>
        </w:rPr>
        <w:t>Članak 1.</w:t>
      </w:r>
    </w:p>
    <w:p>
      <w:pPr>
        <w:rPr>
          <w:rFonts w:cs="EUAlbertina"/>
          <w:noProof/>
        </w:rPr>
      </w:pPr>
      <w:r>
        <w:rPr>
          <w:noProof/>
        </w:rPr>
        <w:t>Uredba (EU) br. 1388/2013 mijenja se kako slijedi:</w:t>
      </w:r>
    </w:p>
    <w:p>
      <w:pPr>
        <w:rPr>
          <w:rFonts w:cs="EUAlbertina"/>
          <w:noProof/>
        </w:rPr>
      </w:pPr>
      <w:r>
        <w:rPr>
          <w:noProof/>
        </w:rPr>
        <w:tab/>
      </w:r>
    </w:p>
    <w:p>
      <w:pPr>
        <w:rPr>
          <w:noProof/>
          <w:sz w:val="22"/>
        </w:rPr>
      </w:pPr>
      <w:r>
        <w:rPr>
          <w:noProof/>
        </w:rPr>
        <w:t>Prilog Uredbi (EU) br. 1388/2013 zamjenjuje se tekstom utvrđenim u Prilogu ovoj Uredbi.</w:t>
      </w:r>
    </w:p>
    <w:p>
      <w:pPr>
        <w:pStyle w:val="Titrearticle"/>
        <w:rPr>
          <w:i w:val="0"/>
          <w:noProof/>
        </w:rPr>
      </w:pPr>
      <w:r>
        <w:rPr>
          <w:i w:val="0"/>
          <w:noProof/>
        </w:rPr>
        <w:t>Članak 2.</w:t>
      </w:r>
    </w:p>
    <w:p>
      <w:pPr>
        <w:rPr>
          <w:iCs/>
          <w:noProof/>
        </w:rPr>
      </w:pPr>
      <w:r>
        <w:rPr>
          <w:noProof/>
        </w:rPr>
        <w:t xml:space="preserve">Ova Uredba stupa na snagu sljedećeg dana od dana objave u </w:t>
      </w:r>
      <w:r>
        <w:rPr>
          <w:i/>
          <w:iCs/>
          <w:noProof/>
        </w:rPr>
        <w:t>Službenom listu Europske unije</w:t>
      </w:r>
      <w:r>
        <w:rPr>
          <w:noProof/>
        </w:rPr>
        <w:t>.</w:t>
      </w:r>
    </w:p>
    <w:p>
      <w:pPr>
        <w:rPr>
          <w:noProof/>
        </w:rPr>
      </w:pPr>
    </w:p>
    <w:p>
      <w:pPr>
        <w:rPr>
          <w:noProof/>
        </w:rPr>
      </w:pPr>
      <w:r>
        <w:rPr>
          <w:noProof/>
        </w:rPr>
        <w:t xml:space="preserve">Članak 1. primjenjuje se od 1. srpnja 2020. </w:t>
      </w:r>
    </w:p>
    <w:p>
      <w:pPr>
        <w:pStyle w:val="Applicationdirecte"/>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ZAKONODAVNI FINANCIJSKI IZVJEŠTAJ</w:t>
      </w:r>
    </w:p>
    <w:p>
      <w:pPr>
        <w:keepNext/>
        <w:spacing w:before="360"/>
        <w:outlineLvl w:val="0"/>
        <w:rPr>
          <w:b/>
          <w:smallCaps/>
          <w:noProof/>
        </w:rPr>
      </w:pPr>
      <w:r>
        <w:rPr>
          <w:b/>
          <w:smallCaps/>
          <w:noProof/>
        </w:rPr>
        <w:t>1.</w:t>
      </w:r>
      <w:r>
        <w:rPr>
          <w:b/>
          <w:smallCaps/>
          <w:noProof/>
        </w:rPr>
        <w:tab/>
        <w:t>NASLOV PRIJEDLOGA:</w:t>
      </w:r>
    </w:p>
    <w:p>
      <w:pPr>
        <w:rPr>
          <w:noProof/>
        </w:rPr>
      </w:pPr>
      <w:r>
        <w:rPr>
          <w:noProof/>
        </w:rPr>
        <w:t>Uredba Vijeća o izmjeni Uredbe (EU) br. 1388/2013 o otvaranju autonomnih carinskih kvota Unije za određene poljoprivredne i industrijske proizvode i upravljanju njima</w:t>
      </w:r>
    </w:p>
    <w:p>
      <w:pPr>
        <w:keepNext/>
        <w:spacing w:before="360"/>
        <w:outlineLvl w:val="0"/>
        <w:rPr>
          <w:b/>
          <w:smallCaps/>
          <w:noProof/>
        </w:rPr>
      </w:pPr>
      <w:r>
        <w:rPr>
          <w:b/>
          <w:smallCaps/>
          <w:noProof/>
        </w:rPr>
        <w:t>2.</w:t>
      </w:r>
      <w:r>
        <w:rPr>
          <w:b/>
          <w:smallCaps/>
          <w:noProof/>
        </w:rPr>
        <w:tab/>
        <w:t>PRORAČUNSKE LINIJE</w:t>
      </w:r>
    </w:p>
    <w:p>
      <w:pPr>
        <w:spacing w:before="100" w:beforeAutospacing="1" w:after="100" w:afterAutospacing="1"/>
        <w:jc w:val="left"/>
        <w:rPr>
          <w:rFonts w:eastAsia="Times New Roman"/>
          <w:noProof/>
          <w:szCs w:val="24"/>
        </w:rPr>
      </w:pPr>
      <w:r>
        <w:rPr>
          <w:noProof/>
        </w:rPr>
        <w:t>Poglavlje i članak:</w:t>
      </w:r>
      <w:r>
        <w:rPr>
          <w:noProof/>
        </w:rPr>
        <w:br/>
        <w:t>Poglavlje 12. i članak 120. – Carine i ostale pristojbe iz članka 2. stavka 1. točke (a) Odluke 2014/335/EU, Euratom.</w:t>
      </w:r>
    </w:p>
    <w:p>
      <w:pPr>
        <w:spacing w:before="100" w:beforeAutospacing="1" w:after="100" w:afterAutospacing="1"/>
        <w:jc w:val="left"/>
        <w:rPr>
          <w:rFonts w:eastAsia="Times New Roman"/>
          <w:noProof/>
          <w:szCs w:val="24"/>
        </w:rPr>
      </w:pPr>
      <w:r>
        <w:rPr>
          <w:noProof/>
        </w:rPr>
        <w:t>Iznos predviđen u proračunu za 2020. (22 156 900 000 EUR)</w:t>
      </w:r>
    </w:p>
    <w:p>
      <w:pPr>
        <w:keepNext/>
        <w:spacing w:before="360"/>
        <w:outlineLvl w:val="0"/>
        <w:rPr>
          <w:b/>
          <w:smallCaps/>
          <w:noProof/>
        </w:rPr>
      </w:pPr>
      <w:r>
        <w:rPr>
          <w:b/>
          <w:smallCaps/>
          <w:noProof/>
        </w:rPr>
        <w:t>3.</w:t>
      </w:r>
      <w:r>
        <w:rPr>
          <w:b/>
          <w:smallCaps/>
          <w:noProof/>
        </w:rPr>
        <w:tab/>
        <w:t>FINANCIJSKI UTJECAJ</w:t>
      </w:r>
    </w:p>
    <w:p>
      <w:pPr>
        <w:rPr>
          <w:noProof/>
        </w:rPr>
      </w:pPr>
      <w:r>
        <w:rPr>
          <w:noProof/>
        </w:rPr>
        <w:sym w:font="Wingdings" w:char="F0A8"/>
      </w:r>
      <w:r>
        <w:rPr>
          <w:noProof/>
        </w:rPr>
        <w:tab/>
        <w:t>Prijedlog nema financijski utjecaj</w:t>
      </w:r>
    </w:p>
    <w:p>
      <w:pPr>
        <w:rPr>
          <w:noProof/>
        </w:rPr>
      </w:pPr>
      <w:r>
        <w:rPr>
          <w:noProof/>
        </w:rPr>
        <w:t>X</w:t>
      </w:r>
      <w:r>
        <w:rPr>
          <w:noProof/>
        </w:rPr>
        <w:tab/>
        <w:t>Prijedlog nema financijski učinak na rashode, ali ima financijski učinak na prihode. Utjecaj je sljedeći:</w:t>
      </w:r>
    </w:p>
    <w:p>
      <w:pPr>
        <w:jc w:val="right"/>
        <w:rPr>
          <w:noProof/>
          <w:sz w:val="18"/>
        </w:rPr>
      </w:pPr>
      <w:r>
        <w:rPr>
          <w:noProof/>
        </w:rPr>
        <w:t>(u milijunima EUR, do jednog decimalnog mjesta)</w:t>
      </w:r>
    </w:p>
    <w:tbl>
      <w:tblPr>
        <w:tblW w:w="84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2879"/>
        <w:gridCol w:w="2040"/>
        <w:gridCol w:w="2160"/>
      </w:tblGrid>
      <w:tr>
        <w:tc>
          <w:tcPr>
            <w:tcW w:w="1321" w:type="dxa"/>
          </w:tcPr>
          <w:p>
            <w:pPr>
              <w:rPr>
                <w:noProof/>
              </w:rPr>
            </w:pPr>
            <w:r>
              <w:rPr>
                <w:noProof/>
              </w:rPr>
              <w:t>Proračunska linija</w:t>
            </w:r>
          </w:p>
        </w:tc>
        <w:tc>
          <w:tcPr>
            <w:tcW w:w="2879" w:type="dxa"/>
          </w:tcPr>
          <w:p>
            <w:pPr>
              <w:jc w:val="center"/>
              <w:rPr>
                <w:noProof/>
              </w:rPr>
            </w:pPr>
            <w:r>
              <w:rPr>
                <w:noProof/>
              </w:rPr>
              <w:t>Prihodi</w:t>
            </w:r>
            <w:r>
              <w:rPr>
                <w:rStyle w:val="FootnoteReference"/>
                <w:noProof/>
              </w:rPr>
              <w:footnoteReference w:id="7"/>
            </w:r>
          </w:p>
        </w:tc>
        <w:tc>
          <w:tcPr>
            <w:tcW w:w="2040" w:type="dxa"/>
          </w:tcPr>
          <w:p>
            <w:pPr>
              <w:jc w:val="center"/>
              <w:rPr>
                <w:noProof/>
              </w:rPr>
            </w:pPr>
            <w:r>
              <w:rPr>
                <w:noProof/>
              </w:rPr>
              <w:t>Razdoblje od 6 mjeseci, počevši od d.m.gggg.</w:t>
            </w:r>
          </w:p>
        </w:tc>
        <w:tc>
          <w:tcPr>
            <w:tcW w:w="2160" w:type="dxa"/>
          </w:tcPr>
          <w:p>
            <w:pPr>
              <w:jc w:val="center"/>
              <w:rPr>
                <w:noProof/>
              </w:rPr>
            </w:pPr>
            <w:r>
              <w:rPr>
                <w:noProof/>
              </w:rPr>
              <w:t>[Godina: druga polovica 2020.]</w:t>
            </w:r>
          </w:p>
        </w:tc>
      </w:tr>
      <w:tr>
        <w:tc>
          <w:tcPr>
            <w:tcW w:w="1321" w:type="dxa"/>
          </w:tcPr>
          <w:p>
            <w:pPr>
              <w:rPr>
                <w:noProof/>
              </w:rPr>
            </w:pPr>
            <w:r>
              <w:rPr>
                <w:noProof/>
              </w:rPr>
              <w:t>Članak 120.</w:t>
            </w:r>
          </w:p>
        </w:tc>
        <w:tc>
          <w:tcPr>
            <w:tcW w:w="2879" w:type="dxa"/>
          </w:tcPr>
          <w:p>
            <w:pPr>
              <w:jc w:val="center"/>
              <w:rPr>
                <w:i/>
                <w:noProof/>
              </w:rPr>
            </w:pPr>
            <w:r>
              <w:rPr>
                <w:i/>
                <w:noProof/>
              </w:rPr>
              <w:t>Učinak na vlastita sredstva</w:t>
            </w:r>
          </w:p>
        </w:tc>
        <w:tc>
          <w:tcPr>
            <w:tcW w:w="2040" w:type="dxa"/>
          </w:tcPr>
          <w:p>
            <w:pPr>
              <w:jc w:val="center"/>
              <w:rPr>
                <w:noProof/>
              </w:rPr>
            </w:pPr>
            <w:r>
              <w:rPr>
                <w:noProof/>
              </w:rPr>
              <w:t>1.7.2020.</w:t>
            </w:r>
          </w:p>
        </w:tc>
        <w:tc>
          <w:tcPr>
            <w:tcW w:w="2160" w:type="dxa"/>
          </w:tcPr>
          <w:p>
            <w:pPr>
              <w:pStyle w:val="ListParagraph"/>
              <w:rPr>
                <w:noProof/>
              </w:rPr>
            </w:pPr>
            <w:r>
              <w:rPr>
                <w:noProof/>
              </w:rPr>
              <w:t>–0,5</w:t>
            </w:r>
          </w:p>
        </w:tc>
      </w:tr>
    </w:tbl>
    <w:p>
      <w:pPr>
        <w:spacing w:before="100" w:beforeAutospacing="1" w:after="100" w:afterAutospacing="1"/>
        <w:rPr>
          <w:noProof/>
          <w:szCs w:val="24"/>
        </w:rPr>
      </w:pPr>
      <w:r>
        <w:rPr>
          <w:noProof/>
        </w:rPr>
        <w:t>Prilog sadržava tri nova proizvoda. Carina koja odgovara tim carinskim kvotama, a koja neće biti naplaćena, izračunana na temelju predviđanja za 2020. države članice koja je podnijela zahtjev, iznosi 1 554 954 EUR godišnje.</w:t>
      </w:r>
    </w:p>
    <w:p>
      <w:pPr>
        <w:pStyle w:val="Text1"/>
        <w:ind w:left="0"/>
        <w:rPr>
          <w:noProof/>
        </w:rPr>
      </w:pPr>
      <w:r>
        <w:rPr>
          <w:noProof/>
        </w:rPr>
        <w:t xml:space="preserve">Nulta stopa carine za tri postojeće kvote povećana je na stopu od 2 %. Prema procjeni na temelju statističkih podataka za 2019. to znači da bi se iznos naplaćene carine povećao za 182 864 EUR godišnje.  </w:t>
      </w:r>
    </w:p>
    <w:p>
      <w:pPr>
        <w:spacing w:before="100" w:beforeAutospacing="1" w:after="100" w:afterAutospacing="1"/>
        <w:rPr>
          <w:noProof/>
          <w:szCs w:val="24"/>
        </w:rPr>
      </w:pPr>
      <w:r>
        <w:rPr>
          <w:noProof/>
        </w:rPr>
        <w:t>Na temelju prethodno navedenog učinak na gubitak prihoda za proračun EU-a nastao zbog ove Uredbe procjenjuje se na 1 554 954 EUR – 182 864 EUR = 1 372 090 EUR (bruto iznos, uključuje troškove naplate) x 0,8 = 1 097 672 EUR godišnje (neto iznos).</w:t>
      </w:r>
    </w:p>
    <w:p>
      <w:pPr>
        <w:rPr>
          <w:noProof/>
        </w:rPr>
      </w:pPr>
      <w:r>
        <w:rPr>
          <w:noProof/>
        </w:rPr>
        <w:t>4.</w:t>
      </w:r>
      <w:r>
        <w:rPr>
          <w:noProof/>
        </w:rPr>
        <w:tab/>
      </w:r>
      <w:r>
        <w:rPr>
          <w:b/>
          <w:noProof/>
        </w:rPr>
        <w:t>MJERE ZA SPRJEČAVANJE PRIJEVARA</w:t>
      </w:r>
    </w:p>
    <w:p>
      <w:pPr>
        <w:rPr>
          <w:noProof/>
        </w:rPr>
      </w:pPr>
      <w:r>
        <w:rPr>
          <w:noProof/>
        </w:rPr>
        <w:t>Provjere uporabe u posebne svrhe pojedinih proizvoda obuhvaćenih ovom Uredbom Vijeća provest će se u skladu s člankom 254. Uredbe (EU) br. 952/2013 Europskog parlamenta i Vijeća od 9. listopada 2013. o Carinskom zakoniku Unije.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Malgun Gothic Semi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pPr>
      <w:r>
        <w:rPr>
          <w:rStyle w:val="FootnoteReference"/>
        </w:rPr>
        <w:footnoteRef/>
      </w:r>
      <w:r>
        <w:tab/>
        <w:t>SL C 363, 13.12.2011., str. 6.</w:t>
      </w:r>
    </w:p>
  </w:footnote>
  <w:footnote w:id="3">
    <w:p>
      <w:pPr>
        <w:pStyle w:val="FootnoteText"/>
      </w:pPr>
      <w:r>
        <w:rPr>
          <w:rStyle w:val="FootnoteReference"/>
        </w:rPr>
        <w:footnoteRef/>
      </w:r>
      <w:r>
        <w:tab/>
      </w:r>
      <w:hyperlink r:id="rId1" w:history="1">
        <w:r>
          <w:rPr>
            <w:rStyle w:val="Hyperlink"/>
          </w:rPr>
          <w:t>http://ec.europa.eu/taxation_customs/common/publications/studies/index_en.htm</w:t>
        </w:r>
      </w:hyperlink>
    </w:p>
  </w:footnote>
  <w:footnote w:id="4">
    <w:p>
      <w:pPr>
        <w:pStyle w:val="FootnoteText"/>
      </w:pPr>
      <w:r>
        <w:rPr>
          <w:rStyle w:val="FootnoteReference"/>
        </w:rPr>
        <w:footnoteRef/>
      </w:r>
      <w:r>
        <w:tab/>
        <w:t xml:space="preserve">Uredba Vijeća (EU) br. 1388/2013 od 17. prosinca 2013. o otvaranju autonomnih carinskih kvota Unije za određene poljoprivredne i industrijske proizvode i upravljanju njima te o stavljanju izvan snage Uredbe (EU) br. 7/2010 (SL L 354, 28.12.2013., str. 319.). </w:t>
      </w:r>
    </w:p>
    <w:p>
      <w:pPr>
        <w:pStyle w:val="FootnoteText"/>
      </w:pPr>
    </w:p>
    <w:p>
      <w:pPr>
        <w:pStyle w:val="FootnoteText"/>
      </w:pPr>
    </w:p>
  </w:footnote>
  <w:footnote w:id="5">
    <w:p>
      <w:pPr>
        <w:pStyle w:val="FootnoteText"/>
      </w:pPr>
      <w:r>
        <w:rPr>
          <w:rStyle w:val="FootnoteReference"/>
        </w:rPr>
        <w:footnoteRef/>
      </w:r>
      <w:r>
        <w:tab/>
        <w:t>Uredba (EZ) br. 1907/2006 Europskog parlamenta i Vijeća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(SL L 396, 30.12.2006., str. 1.),</w:t>
      </w:r>
    </w:p>
  </w:footnote>
  <w:footnote w:id="6">
    <w:p>
      <w:pPr>
        <w:pStyle w:val="FootnoteText"/>
      </w:pPr>
      <w:r>
        <w:rPr>
          <w:rStyle w:val="FootnoteReference"/>
        </w:rPr>
        <w:footnoteRef/>
      </w:r>
      <w:r>
        <w:tab/>
      </w:r>
      <w:hyperlink r:id="rId2" w:history="1">
        <w:r>
          <w:rPr>
            <w:rStyle w:val="Hyperlink"/>
            <w:color w:val="auto"/>
            <w:sz w:val="19"/>
            <w:u w:val="none"/>
            <w:shd w:val="clear" w:color="auto" w:fill="FFFFFF"/>
          </w:rPr>
          <w:t>SL C 363, 13.12.2011., str. 6</w:t>
        </w:r>
      </w:hyperlink>
      <w:r>
        <w:rPr>
          <w:sz w:val="19"/>
          <w:szCs w:val="19"/>
          <w:shd w:val="clear" w:color="auto" w:fill="FFFFFF"/>
        </w:rPr>
        <w:t>.</w:t>
      </w:r>
    </w:p>
  </w:footnote>
  <w:footnote w:id="7">
    <w:p>
      <w:pPr>
        <w:pStyle w:val="FootnoteText"/>
        <w:ind w:left="0" w:firstLine="0"/>
      </w:pPr>
      <w:r>
        <w:rPr>
          <w:rStyle w:val="FootnoteReference"/>
        </w:rPr>
        <w:footnoteRef/>
      </w:r>
      <w:r>
        <w:tab/>
        <w:t xml:space="preserve">Kad je riječ o tradicionalnim vlastitim sredstvima (carine, pristojbe na šećer), navedeni iznosi moraju biti neto </w:t>
      </w:r>
      <w:r>
        <w:tab/>
        <w:t>iznosi (to jest bruto iznosi umanjeni za 20 % troškova naplate).</w:t>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8836DE"/>
    <w:lvl w:ilvl="0">
      <w:start w:val="1"/>
      <w:numFmt w:val="decimal"/>
      <w:pStyle w:val="ListNumber3"/>
      <w:lvlText w:val="%1."/>
      <w:lvlJc w:val="left"/>
      <w:pPr>
        <w:tabs>
          <w:tab w:val="num" w:pos="926"/>
        </w:tabs>
        <w:ind w:left="926" w:hanging="360"/>
      </w:pPr>
    </w:lvl>
  </w:abstractNum>
  <w:abstractNum w:abstractNumId="1">
    <w:nsid w:val="FFFFFF7F"/>
    <w:multiLevelType w:val="singleLevel"/>
    <w:tmpl w:val="7EAC0BFA"/>
    <w:lvl w:ilvl="0">
      <w:start w:val="1"/>
      <w:numFmt w:val="decimal"/>
      <w:pStyle w:val="ListNumber2"/>
      <w:lvlText w:val="%1."/>
      <w:lvlJc w:val="left"/>
      <w:pPr>
        <w:tabs>
          <w:tab w:val="num" w:pos="643"/>
        </w:tabs>
        <w:ind w:left="643" w:hanging="360"/>
      </w:pPr>
    </w:lvl>
  </w:abstractNum>
  <w:abstractNum w:abstractNumId="2">
    <w:nsid w:val="FFFFFF81"/>
    <w:multiLevelType w:val="singleLevel"/>
    <w:tmpl w:val="75F0DCB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FB54480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37C4AB5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3F6C8F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Bullet 4"/>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2"/>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2"/>
  </w:num>
  <w:num w:numId="5">
    <w:abstractNumId w:val="4"/>
  </w:num>
  <w:num w:numId="6">
    <w:abstractNumId w:val="0"/>
  </w:num>
  <w:num w:numId="7">
    <w:abstractNumId w:val="1"/>
  </w:num>
  <w:num w:numId="8">
    <w:abstractNumId w:val="5"/>
  </w:num>
  <w:num w:numId="9">
    <w:abstractNumId w:val="3"/>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lvlOverride w:ilvl="0">
      <w:startOverride w:val="1"/>
    </w:lvlOverride>
  </w:num>
  <w:num w:numId="14">
    <w:abstractNumId w:val="19"/>
  </w:num>
  <w:num w:numId="15">
    <w:abstractNumId w:val="11"/>
  </w:num>
  <w:num w:numId="16">
    <w:abstractNumId w:val="21"/>
  </w:num>
  <w:num w:numId="17">
    <w:abstractNumId w:val="10"/>
  </w:num>
  <w:num w:numId="18">
    <w:abstractNumId w:val="12"/>
  </w:num>
  <w:num w:numId="19">
    <w:abstractNumId w:val="8"/>
  </w:num>
  <w:num w:numId="20">
    <w:abstractNumId w:val="20"/>
  </w:num>
  <w:num w:numId="21">
    <w:abstractNumId w:val="7"/>
  </w:num>
  <w:num w:numId="22">
    <w:abstractNumId w:val="13"/>
  </w:num>
  <w:num w:numId="23">
    <w:abstractNumId w:val="17"/>
  </w:num>
  <w:num w:numId="24">
    <w:abstractNumId w:val="18"/>
  </w:num>
  <w:num w:numId="25">
    <w:abstractNumId w:val="9"/>
  </w:num>
  <w:num w:numId="26">
    <w:abstractNumId w:val="16"/>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9011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4-24 10:05: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1"/>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A95663C8-D146-4152-97D6-917307A8670D"/>
    <w:docVar w:name="LW_COVERPAGE_TYPE" w:val="1"/>
    <w:docVar w:name="LW_CROSSREFERENCE" w:val="&lt;UNUSED&gt;"/>
    <w:docVar w:name="LW_DocType" w:val="COM"/>
    <w:docVar w:name="LW_EMISSION" w:val="24.4.2020."/>
    <w:docVar w:name="LW_EMISSION_ISODATE" w:val="2020-04-24"/>
    <w:docVar w:name="LW_EMISSION_LOCATION" w:val="BRX"/>
    <w:docVar w:name="LW_EMISSION_PREFIX" w:val="Bruxelles, "/>
    <w:docVar w:name="LW_EMISSION_SUFFIX" w:val=" "/>
    <w:docVar w:name="LW_ID_DOCMODEL" w:val="b01"/>
    <w:docVar w:name="LW_ID_DOCSIGNATURE" w:val="SJ-016"/>
    <w:docVar w:name="LW_ID_DOCSTRUCTURE" w:val="COM/PL/ORG"/>
    <w:docVar w:name="LW_ID_DOCTYPE" w:val="SJ-016"/>
    <w:docVar w:name="LW_ID_STATUT" w:val="PROPOSAL"/>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63"/>
    <w:docVar w:name="LW_REF.II.NEW.CP_YEAR" w:val="2020"/>
    <w:docVar w:name="LW_REF.INST.NEW" w:val="COM"/>
    <w:docVar w:name="LW_REF.INST.NEW_ADOPTED" w:val="final"/>
    <w:docVar w:name="LW_REF.INST.NEW_TEXT" w:val="(2020) 1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Prijedlog"/>
    <w:docVar w:name="LW_SUPERTITRE" w:val="&lt;UNUSED&gt;"/>
    <w:docVar w:name="LW_TITRE.OBJ.CP" w:val="o izmjeni Uredbe (EU) br. 1388/2013 o otvaranju autonomnih carinskih kvota Unije za odre\u273?ene poljoprivredne i industrijske proizvode i upravljanju njima"/>
    <w:docVar w:name="LW_TITRE.OBJ.CP_PREVIOUS" w:val="&lt;UNUSED&gt;"/>
    <w:docVar w:name="LW_TYPE.DOC.CP" w:val="UREDBE VIJE\u262?A"/>
    <w:docVar w:name="Stamp" w:val="\\dossiers.dgt.cec.eu.int\dossiers\TAXUD\TAXUD-2017-00167\TAXUD-2017-00167-00-00-EN-REV-00.201703081637032294106.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lang w:eastAsia="ko-KR"/>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rPr>
      <w:lang w:eastAsia="ko-KR"/>
    </w:r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character" w:customStyle="1" w:styleId="CommentTextChar">
    <w:name w:val="Comment Text Char"/>
    <w:basedOn w:val="DefaultParagraphFont"/>
    <w:link w:val="CommentText"/>
    <w:semiHidden/>
    <w:rPr>
      <w:rFonts w:ascii="Times New Roman" w:hAnsi="Times New Roman" w:cs="Times New Roman"/>
      <w:sz w:val="20"/>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lang w:eastAsia="ko-KR"/>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rPr>
      <w:lang w:eastAsia="ko-KR"/>
    </w:r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character" w:customStyle="1" w:styleId="CommentTextChar">
    <w:name w:val="Comment Text Char"/>
    <w:basedOn w:val="DefaultParagraphFont"/>
    <w:link w:val="CommentText"/>
    <w:semiHidden/>
    <w:rPr>
      <w:rFonts w:ascii="Times New Roman" w:hAnsi="Times New Roman" w:cs="Times New Roman"/>
      <w:sz w:val="20"/>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3856">
      <w:bodyDiv w:val="1"/>
      <w:marLeft w:val="0"/>
      <w:marRight w:val="0"/>
      <w:marTop w:val="0"/>
      <w:marBottom w:val="0"/>
      <w:divBdr>
        <w:top w:val="none" w:sz="0" w:space="0" w:color="auto"/>
        <w:left w:val="none" w:sz="0" w:space="0" w:color="auto"/>
        <w:bottom w:val="none" w:sz="0" w:space="0" w:color="auto"/>
        <w:right w:val="none" w:sz="0" w:space="0" w:color="auto"/>
      </w:divBdr>
    </w:div>
    <w:div w:id="447701243">
      <w:bodyDiv w:val="1"/>
      <w:marLeft w:val="0"/>
      <w:marRight w:val="0"/>
      <w:marTop w:val="0"/>
      <w:marBottom w:val="0"/>
      <w:divBdr>
        <w:top w:val="none" w:sz="0" w:space="0" w:color="auto"/>
        <w:left w:val="none" w:sz="0" w:space="0" w:color="auto"/>
        <w:bottom w:val="none" w:sz="0" w:space="0" w:color="auto"/>
        <w:right w:val="none" w:sz="0" w:space="0" w:color="auto"/>
      </w:divBdr>
    </w:div>
    <w:div w:id="684869422">
      <w:bodyDiv w:val="1"/>
      <w:marLeft w:val="0"/>
      <w:marRight w:val="0"/>
      <w:marTop w:val="0"/>
      <w:marBottom w:val="0"/>
      <w:divBdr>
        <w:top w:val="none" w:sz="0" w:space="0" w:color="auto"/>
        <w:left w:val="none" w:sz="0" w:space="0" w:color="auto"/>
        <w:bottom w:val="none" w:sz="0" w:space="0" w:color="auto"/>
        <w:right w:val="none" w:sz="0" w:space="0" w:color="auto"/>
      </w:divBdr>
    </w:div>
    <w:div w:id="696855808">
      <w:bodyDiv w:val="1"/>
      <w:marLeft w:val="0"/>
      <w:marRight w:val="0"/>
      <w:marTop w:val="0"/>
      <w:marBottom w:val="0"/>
      <w:divBdr>
        <w:top w:val="none" w:sz="0" w:space="0" w:color="auto"/>
        <w:left w:val="none" w:sz="0" w:space="0" w:color="auto"/>
        <w:bottom w:val="none" w:sz="0" w:space="0" w:color="auto"/>
        <w:right w:val="none" w:sz="0" w:space="0" w:color="auto"/>
      </w:divBdr>
      <w:divsChild>
        <w:div w:id="953247395">
          <w:marLeft w:val="0"/>
          <w:marRight w:val="0"/>
          <w:marTop w:val="0"/>
          <w:marBottom w:val="0"/>
          <w:divBdr>
            <w:top w:val="none" w:sz="0" w:space="0" w:color="auto"/>
            <w:left w:val="none" w:sz="0" w:space="0" w:color="auto"/>
            <w:bottom w:val="none" w:sz="0" w:space="0" w:color="auto"/>
            <w:right w:val="none" w:sz="0" w:space="0" w:color="auto"/>
          </w:divBdr>
          <w:divsChild>
            <w:div w:id="1317614473">
              <w:marLeft w:val="0"/>
              <w:marRight w:val="0"/>
              <w:marTop w:val="0"/>
              <w:marBottom w:val="0"/>
              <w:divBdr>
                <w:top w:val="none" w:sz="0" w:space="0" w:color="auto"/>
                <w:left w:val="none" w:sz="0" w:space="0" w:color="auto"/>
                <w:bottom w:val="none" w:sz="0" w:space="0" w:color="auto"/>
                <w:right w:val="none" w:sz="0" w:space="0" w:color="auto"/>
              </w:divBdr>
              <w:divsChild>
                <w:div w:id="207573036">
                  <w:marLeft w:val="0"/>
                  <w:marRight w:val="0"/>
                  <w:marTop w:val="0"/>
                  <w:marBottom w:val="0"/>
                  <w:divBdr>
                    <w:top w:val="none" w:sz="0" w:space="0" w:color="auto"/>
                    <w:left w:val="none" w:sz="0" w:space="0" w:color="auto"/>
                    <w:bottom w:val="none" w:sz="0" w:space="0" w:color="auto"/>
                    <w:right w:val="none" w:sz="0" w:space="0" w:color="auto"/>
                  </w:divBdr>
                  <w:divsChild>
                    <w:div w:id="2066875819">
                      <w:marLeft w:val="1"/>
                      <w:marRight w:val="1"/>
                      <w:marTop w:val="0"/>
                      <w:marBottom w:val="0"/>
                      <w:divBdr>
                        <w:top w:val="none" w:sz="0" w:space="0" w:color="auto"/>
                        <w:left w:val="none" w:sz="0" w:space="0" w:color="auto"/>
                        <w:bottom w:val="none" w:sz="0" w:space="0" w:color="auto"/>
                        <w:right w:val="none" w:sz="0" w:space="0" w:color="auto"/>
                      </w:divBdr>
                      <w:divsChild>
                        <w:div w:id="1261642017">
                          <w:marLeft w:val="0"/>
                          <w:marRight w:val="0"/>
                          <w:marTop w:val="0"/>
                          <w:marBottom w:val="0"/>
                          <w:divBdr>
                            <w:top w:val="none" w:sz="0" w:space="0" w:color="auto"/>
                            <w:left w:val="none" w:sz="0" w:space="0" w:color="auto"/>
                            <w:bottom w:val="none" w:sz="0" w:space="0" w:color="auto"/>
                            <w:right w:val="none" w:sz="0" w:space="0" w:color="auto"/>
                          </w:divBdr>
                          <w:divsChild>
                            <w:div w:id="319191998">
                              <w:marLeft w:val="0"/>
                              <w:marRight w:val="0"/>
                              <w:marTop w:val="0"/>
                              <w:marBottom w:val="360"/>
                              <w:divBdr>
                                <w:top w:val="none" w:sz="0" w:space="0" w:color="auto"/>
                                <w:left w:val="none" w:sz="0" w:space="0" w:color="auto"/>
                                <w:bottom w:val="none" w:sz="0" w:space="0" w:color="auto"/>
                                <w:right w:val="none" w:sz="0" w:space="0" w:color="auto"/>
                              </w:divBdr>
                              <w:divsChild>
                                <w:div w:id="1003053370">
                                  <w:marLeft w:val="0"/>
                                  <w:marRight w:val="0"/>
                                  <w:marTop w:val="0"/>
                                  <w:marBottom w:val="0"/>
                                  <w:divBdr>
                                    <w:top w:val="none" w:sz="0" w:space="0" w:color="auto"/>
                                    <w:left w:val="none" w:sz="0" w:space="0" w:color="auto"/>
                                    <w:bottom w:val="none" w:sz="0" w:space="0" w:color="auto"/>
                                    <w:right w:val="none" w:sz="0" w:space="0" w:color="auto"/>
                                  </w:divBdr>
                                  <w:divsChild>
                                    <w:div w:id="1696031355">
                                      <w:marLeft w:val="0"/>
                                      <w:marRight w:val="0"/>
                                      <w:marTop w:val="0"/>
                                      <w:marBottom w:val="0"/>
                                      <w:divBdr>
                                        <w:top w:val="none" w:sz="0" w:space="0" w:color="auto"/>
                                        <w:left w:val="none" w:sz="0" w:space="0" w:color="auto"/>
                                        <w:bottom w:val="none" w:sz="0" w:space="0" w:color="auto"/>
                                        <w:right w:val="none" w:sz="0" w:space="0" w:color="auto"/>
                                      </w:divBdr>
                                      <w:divsChild>
                                        <w:div w:id="196891429">
                                          <w:marLeft w:val="0"/>
                                          <w:marRight w:val="0"/>
                                          <w:marTop w:val="0"/>
                                          <w:marBottom w:val="0"/>
                                          <w:divBdr>
                                            <w:top w:val="none" w:sz="0" w:space="0" w:color="auto"/>
                                            <w:left w:val="none" w:sz="0" w:space="0" w:color="auto"/>
                                            <w:bottom w:val="none" w:sz="0" w:space="0" w:color="auto"/>
                                            <w:right w:val="none" w:sz="0" w:space="0" w:color="auto"/>
                                          </w:divBdr>
                                          <w:divsChild>
                                            <w:div w:id="1082022401">
                                              <w:marLeft w:val="0"/>
                                              <w:marRight w:val="0"/>
                                              <w:marTop w:val="0"/>
                                              <w:marBottom w:val="0"/>
                                              <w:divBdr>
                                                <w:top w:val="none" w:sz="0" w:space="0" w:color="auto"/>
                                                <w:left w:val="none" w:sz="0" w:space="0" w:color="auto"/>
                                                <w:bottom w:val="none" w:sz="0" w:space="0" w:color="auto"/>
                                                <w:right w:val="none" w:sz="0" w:space="0" w:color="auto"/>
                                              </w:divBdr>
                                              <w:divsChild>
                                                <w:div w:id="101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650218">
      <w:bodyDiv w:val="1"/>
      <w:marLeft w:val="0"/>
      <w:marRight w:val="0"/>
      <w:marTop w:val="0"/>
      <w:marBottom w:val="0"/>
      <w:divBdr>
        <w:top w:val="none" w:sz="0" w:space="0" w:color="auto"/>
        <w:left w:val="none" w:sz="0" w:space="0" w:color="auto"/>
        <w:bottom w:val="none" w:sz="0" w:space="0" w:color="auto"/>
        <w:right w:val="none" w:sz="0" w:space="0" w:color="auto"/>
      </w:divBdr>
    </w:div>
    <w:div w:id="1060977488">
      <w:bodyDiv w:val="1"/>
      <w:marLeft w:val="0"/>
      <w:marRight w:val="0"/>
      <w:marTop w:val="0"/>
      <w:marBottom w:val="0"/>
      <w:divBdr>
        <w:top w:val="none" w:sz="0" w:space="0" w:color="auto"/>
        <w:left w:val="none" w:sz="0" w:space="0" w:color="auto"/>
        <w:bottom w:val="none" w:sz="0" w:space="0" w:color="auto"/>
        <w:right w:val="none" w:sz="0" w:space="0" w:color="auto"/>
      </w:divBdr>
      <w:divsChild>
        <w:div w:id="1032918486">
          <w:marLeft w:val="0"/>
          <w:marRight w:val="0"/>
          <w:marTop w:val="0"/>
          <w:marBottom w:val="0"/>
          <w:divBdr>
            <w:top w:val="none" w:sz="0" w:space="0" w:color="auto"/>
            <w:left w:val="none" w:sz="0" w:space="0" w:color="auto"/>
            <w:bottom w:val="none" w:sz="0" w:space="0" w:color="auto"/>
            <w:right w:val="none" w:sz="0" w:space="0" w:color="auto"/>
          </w:divBdr>
          <w:divsChild>
            <w:div w:id="500583824">
              <w:marLeft w:val="0"/>
              <w:marRight w:val="0"/>
              <w:marTop w:val="0"/>
              <w:marBottom w:val="0"/>
              <w:divBdr>
                <w:top w:val="none" w:sz="0" w:space="0" w:color="auto"/>
                <w:left w:val="none" w:sz="0" w:space="0" w:color="auto"/>
                <w:bottom w:val="none" w:sz="0" w:space="0" w:color="auto"/>
                <w:right w:val="none" w:sz="0" w:space="0" w:color="auto"/>
              </w:divBdr>
              <w:divsChild>
                <w:div w:id="2092309036">
                  <w:marLeft w:val="0"/>
                  <w:marRight w:val="0"/>
                  <w:marTop w:val="0"/>
                  <w:marBottom w:val="0"/>
                  <w:divBdr>
                    <w:top w:val="none" w:sz="0" w:space="0" w:color="auto"/>
                    <w:left w:val="none" w:sz="0" w:space="0" w:color="auto"/>
                    <w:bottom w:val="none" w:sz="0" w:space="0" w:color="auto"/>
                    <w:right w:val="none" w:sz="0" w:space="0" w:color="auto"/>
                  </w:divBdr>
                  <w:divsChild>
                    <w:div w:id="2003392004">
                      <w:marLeft w:val="1"/>
                      <w:marRight w:val="1"/>
                      <w:marTop w:val="0"/>
                      <w:marBottom w:val="0"/>
                      <w:divBdr>
                        <w:top w:val="none" w:sz="0" w:space="0" w:color="auto"/>
                        <w:left w:val="none" w:sz="0" w:space="0" w:color="auto"/>
                        <w:bottom w:val="none" w:sz="0" w:space="0" w:color="auto"/>
                        <w:right w:val="none" w:sz="0" w:space="0" w:color="auto"/>
                      </w:divBdr>
                      <w:divsChild>
                        <w:div w:id="272445997">
                          <w:marLeft w:val="0"/>
                          <w:marRight w:val="0"/>
                          <w:marTop w:val="0"/>
                          <w:marBottom w:val="0"/>
                          <w:divBdr>
                            <w:top w:val="none" w:sz="0" w:space="0" w:color="auto"/>
                            <w:left w:val="none" w:sz="0" w:space="0" w:color="auto"/>
                            <w:bottom w:val="none" w:sz="0" w:space="0" w:color="auto"/>
                            <w:right w:val="none" w:sz="0" w:space="0" w:color="auto"/>
                          </w:divBdr>
                          <w:divsChild>
                            <w:div w:id="1129474443">
                              <w:marLeft w:val="0"/>
                              <w:marRight w:val="0"/>
                              <w:marTop w:val="0"/>
                              <w:marBottom w:val="360"/>
                              <w:divBdr>
                                <w:top w:val="none" w:sz="0" w:space="0" w:color="auto"/>
                                <w:left w:val="none" w:sz="0" w:space="0" w:color="auto"/>
                                <w:bottom w:val="none" w:sz="0" w:space="0" w:color="auto"/>
                                <w:right w:val="none" w:sz="0" w:space="0" w:color="auto"/>
                              </w:divBdr>
                              <w:divsChild>
                                <w:div w:id="273907376">
                                  <w:marLeft w:val="0"/>
                                  <w:marRight w:val="0"/>
                                  <w:marTop w:val="0"/>
                                  <w:marBottom w:val="0"/>
                                  <w:divBdr>
                                    <w:top w:val="none" w:sz="0" w:space="0" w:color="auto"/>
                                    <w:left w:val="none" w:sz="0" w:space="0" w:color="auto"/>
                                    <w:bottom w:val="none" w:sz="0" w:space="0" w:color="auto"/>
                                    <w:right w:val="none" w:sz="0" w:space="0" w:color="auto"/>
                                  </w:divBdr>
                                  <w:divsChild>
                                    <w:div w:id="310183253">
                                      <w:marLeft w:val="0"/>
                                      <w:marRight w:val="0"/>
                                      <w:marTop w:val="0"/>
                                      <w:marBottom w:val="0"/>
                                      <w:divBdr>
                                        <w:top w:val="none" w:sz="0" w:space="0" w:color="auto"/>
                                        <w:left w:val="none" w:sz="0" w:space="0" w:color="auto"/>
                                        <w:bottom w:val="none" w:sz="0" w:space="0" w:color="auto"/>
                                        <w:right w:val="none" w:sz="0" w:space="0" w:color="auto"/>
                                      </w:divBdr>
                                      <w:divsChild>
                                        <w:div w:id="1844855273">
                                          <w:marLeft w:val="0"/>
                                          <w:marRight w:val="0"/>
                                          <w:marTop w:val="0"/>
                                          <w:marBottom w:val="0"/>
                                          <w:divBdr>
                                            <w:top w:val="none" w:sz="0" w:space="0" w:color="auto"/>
                                            <w:left w:val="none" w:sz="0" w:space="0" w:color="auto"/>
                                            <w:bottom w:val="none" w:sz="0" w:space="0" w:color="auto"/>
                                            <w:right w:val="none" w:sz="0" w:space="0" w:color="auto"/>
                                          </w:divBdr>
                                          <w:divsChild>
                                            <w:div w:id="1675759636">
                                              <w:marLeft w:val="0"/>
                                              <w:marRight w:val="0"/>
                                              <w:marTop w:val="0"/>
                                              <w:marBottom w:val="0"/>
                                              <w:divBdr>
                                                <w:top w:val="none" w:sz="0" w:space="0" w:color="auto"/>
                                                <w:left w:val="none" w:sz="0" w:space="0" w:color="auto"/>
                                                <w:bottom w:val="none" w:sz="0" w:space="0" w:color="auto"/>
                                                <w:right w:val="none" w:sz="0" w:space="0" w:color="auto"/>
                                              </w:divBdr>
                                              <w:divsChild>
                                                <w:div w:id="18300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426333">
      <w:bodyDiv w:val="1"/>
      <w:marLeft w:val="0"/>
      <w:marRight w:val="0"/>
      <w:marTop w:val="0"/>
      <w:marBottom w:val="0"/>
      <w:divBdr>
        <w:top w:val="none" w:sz="0" w:space="0" w:color="auto"/>
        <w:left w:val="none" w:sz="0" w:space="0" w:color="auto"/>
        <w:bottom w:val="none" w:sz="0" w:space="0" w:color="auto"/>
        <w:right w:val="none" w:sz="0" w:space="0" w:color="auto"/>
      </w:divBdr>
    </w:div>
    <w:div w:id="1354502876">
      <w:bodyDiv w:val="1"/>
      <w:marLeft w:val="0"/>
      <w:marRight w:val="0"/>
      <w:marTop w:val="0"/>
      <w:marBottom w:val="0"/>
      <w:divBdr>
        <w:top w:val="none" w:sz="0" w:space="0" w:color="auto"/>
        <w:left w:val="none" w:sz="0" w:space="0" w:color="auto"/>
        <w:bottom w:val="none" w:sz="0" w:space="0" w:color="auto"/>
        <w:right w:val="none" w:sz="0" w:space="0" w:color="auto"/>
      </w:divBdr>
      <w:divsChild>
        <w:div w:id="1480883514">
          <w:marLeft w:val="0"/>
          <w:marRight w:val="0"/>
          <w:marTop w:val="0"/>
          <w:marBottom w:val="0"/>
          <w:divBdr>
            <w:top w:val="none" w:sz="0" w:space="0" w:color="auto"/>
            <w:left w:val="none" w:sz="0" w:space="0" w:color="auto"/>
            <w:bottom w:val="none" w:sz="0" w:space="0" w:color="auto"/>
            <w:right w:val="none" w:sz="0" w:space="0" w:color="auto"/>
          </w:divBdr>
          <w:divsChild>
            <w:div w:id="1272518043">
              <w:marLeft w:val="0"/>
              <w:marRight w:val="0"/>
              <w:marTop w:val="0"/>
              <w:marBottom w:val="0"/>
              <w:divBdr>
                <w:top w:val="none" w:sz="0" w:space="0" w:color="auto"/>
                <w:left w:val="none" w:sz="0" w:space="0" w:color="auto"/>
                <w:bottom w:val="none" w:sz="0" w:space="0" w:color="auto"/>
                <w:right w:val="none" w:sz="0" w:space="0" w:color="auto"/>
              </w:divBdr>
              <w:divsChild>
                <w:div w:id="1230654421">
                  <w:marLeft w:val="0"/>
                  <w:marRight w:val="0"/>
                  <w:marTop w:val="0"/>
                  <w:marBottom w:val="0"/>
                  <w:divBdr>
                    <w:top w:val="none" w:sz="0" w:space="0" w:color="auto"/>
                    <w:left w:val="none" w:sz="0" w:space="0" w:color="auto"/>
                    <w:bottom w:val="none" w:sz="0" w:space="0" w:color="auto"/>
                    <w:right w:val="none" w:sz="0" w:space="0" w:color="auto"/>
                  </w:divBdr>
                  <w:divsChild>
                    <w:div w:id="402797500">
                      <w:marLeft w:val="1"/>
                      <w:marRight w:val="1"/>
                      <w:marTop w:val="0"/>
                      <w:marBottom w:val="0"/>
                      <w:divBdr>
                        <w:top w:val="none" w:sz="0" w:space="0" w:color="auto"/>
                        <w:left w:val="none" w:sz="0" w:space="0" w:color="auto"/>
                        <w:bottom w:val="none" w:sz="0" w:space="0" w:color="auto"/>
                        <w:right w:val="none" w:sz="0" w:space="0" w:color="auto"/>
                      </w:divBdr>
                      <w:divsChild>
                        <w:div w:id="692609672">
                          <w:marLeft w:val="0"/>
                          <w:marRight w:val="0"/>
                          <w:marTop w:val="0"/>
                          <w:marBottom w:val="0"/>
                          <w:divBdr>
                            <w:top w:val="none" w:sz="0" w:space="0" w:color="auto"/>
                            <w:left w:val="none" w:sz="0" w:space="0" w:color="auto"/>
                            <w:bottom w:val="none" w:sz="0" w:space="0" w:color="auto"/>
                            <w:right w:val="none" w:sz="0" w:space="0" w:color="auto"/>
                          </w:divBdr>
                          <w:divsChild>
                            <w:div w:id="932782874">
                              <w:marLeft w:val="0"/>
                              <w:marRight w:val="0"/>
                              <w:marTop w:val="0"/>
                              <w:marBottom w:val="360"/>
                              <w:divBdr>
                                <w:top w:val="none" w:sz="0" w:space="0" w:color="auto"/>
                                <w:left w:val="none" w:sz="0" w:space="0" w:color="auto"/>
                                <w:bottom w:val="none" w:sz="0" w:space="0" w:color="auto"/>
                                <w:right w:val="none" w:sz="0" w:space="0" w:color="auto"/>
                              </w:divBdr>
                              <w:divsChild>
                                <w:div w:id="357128016">
                                  <w:marLeft w:val="0"/>
                                  <w:marRight w:val="0"/>
                                  <w:marTop w:val="0"/>
                                  <w:marBottom w:val="0"/>
                                  <w:divBdr>
                                    <w:top w:val="none" w:sz="0" w:space="0" w:color="auto"/>
                                    <w:left w:val="none" w:sz="0" w:space="0" w:color="auto"/>
                                    <w:bottom w:val="none" w:sz="0" w:space="0" w:color="auto"/>
                                    <w:right w:val="none" w:sz="0" w:space="0" w:color="auto"/>
                                  </w:divBdr>
                                  <w:divsChild>
                                    <w:div w:id="1858498678">
                                      <w:marLeft w:val="0"/>
                                      <w:marRight w:val="0"/>
                                      <w:marTop w:val="0"/>
                                      <w:marBottom w:val="0"/>
                                      <w:divBdr>
                                        <w:top w:val="none" w:sz="0" w:space="0" w:color="auto"/>
                                        <w:left w:val="none" w:sz="0" w:space="0" w:color="auto"/>
                                        <w:bottom w:val="none" w:sz="0" w:space="0" w:color="auto"/>
                                        <w:right w:val="none" w:sz="0" w:space="0" w:color="auto"/>
                                      </w:divBdr>
                                      <w:divsChild>
                                        <w:div w:id="1602836502">
                                          <w:marLeft w:val="0"/>
                                          <w:marRight w:val="0"/>
                                          <w:marTop w:val="0"/>
                                          <w:marBottom w:val="0"/>
                                          <w:divBdr>
                                            <w:top w:val="none" w:sz="0" w:space="0" w:color="auto"/>
                                            <w:left w:val="none" w:sz="0" w:space="0" w:color="auto"/>
                                            <w:bottom w:val="none" w:sz="0" w:space="0" w:color="auto"/>
                                            <w:right w:val="none" w:sz="0" w:space="0" w:color="auto"/>
                                          </w:divBdr>
                                          <w:divsChild>
                                            <w:div w:id="1580597380">
                                              <w:marLeft w:val="0"/>
                                              <w:marRight w:val="0"/>
                                              <w:marTop w:val="0"/>
                                              <w:marBottom w:val="0"/>
                                              <w:divBdr>
                                                <w:top w:val="none" w:sz="0" w:space="0" w:color="auto"/>
                                                <w:left w:val="none" w:sz="0" w:space="0" w:color="auto"/>
                                                <w:bottom w:val="none" w:sz="0" w:space="0" w:color="auto"/>
                                                <w:right w:val="none" w:sz="0" w:space="0" w:color="auto"/>
                                              </w:divBdr>
                                              <w:divsChild>
                                                <w:div w:id="11885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21803">
      <w:bodyDiv w:val="1"/>
      <w:marLeft w:val="0"/>
      <w:marRight w:val="0"/>
      <w:marTop w:val="0"/>
      <w:marBottom w:val="0"/>
      <w:divBdr>
        <w:top w:val="none" w:sz="0" w:space="0" w:color="auto"/>
        <w:left w:val="none" w:sz="0" w:space="0" w:color="auto"/>
        <w:bottom w:val="none" w:sz="0" w:space="0" w:color="auto"/>
        <w:right w:val="none" w:sz="0" w:space="0" w:color="auto"/>
      </w:divBdr>
    </w:div>
    <w:div w:id="1411540715">
      <w:bodyDiv w:val="1"/>
      <w:marLeft w:val="0"/>
      <w:marRight w:val="0"/>
      <w:marTop w:val="0"/>
      <w:marBottom w:val="0"/>
      <w:divBdr>
        <w:top w:val="none" w:sz="0" w:space="0" w:color="auto"/>
        <w:left w:val="none" w:sz="0" w:space="0" w:color="auto"/>
        <w:bottom w:val="none" w:sz="0" w:space="0" w:color="auto"/>
        <w:right w:val="none" w:sz="0" w:space="0" w:color="auto"/>
      </w:divBdr>
    </w:div>
    <w:div w:id="1521702702">
      <w:bodyDiv w:val="1"/>
      <w:marLeft w:val="0"/>
      <w:marRight w:val="0"/>
      <w:marTop w:val="0"/>
      <w:marBottom w:val="0"/>
      <w:divBdr>
        <w:top w:val="none" w:sz="0" w:space="0" w:color="auto"/>
        <w:left w:val="none" w:sz="0" w:space="0" w:color="auto"/>
        <w:bottom w:val="none" w:sz="0" w:space="0" w:color="auto"/>
        <w:right w:val="none" w:sz="0" w:space="0" w:color="auto"/>
      </w:divBdr>
    </w:div>
    <w:div w:id="1596748450">
      <w:bodyDiv w:val="1"/>
      <w:marLeft w:val="0"/>
      <w:marRight w:val="0"/>
      <w:marTop w:val="0"/>
      <w:marBottom w:val="0"/>
      <w:divBdr>
        <w:top w:val="none" w:sz="0" w:space="0" w:color="auto"/>
        <w:left w:val="none" w:sz="0" w:space="0" w:color="auto"/>
        <w:bottom w:val="none" w:sz="0" w:space="0" w:color="auto"/>
        <w:right w:val="none" w:sz="0" w:space="0" w:color="auto"/>
      </w:divBdr>
    </w:div>
    <w:div w:id="1602955697">
      <w:bodyDiv w:val="1"/>
      <w:marLeft w:val="0"/>
      <w:marRight w:val="0"/>
      <w:marTop w:val="0"/>
      <w:marBottom w:val="0"/>
      <w:divBdr>
        <w:top w:val="none" w:sz="0" w:space="0" w:color="auto"/>
        <w:left w:val="none" w:sz="0" w:space="0" w:color="auto"/>
        <w:bottom w:val="none" w:sz="0" w:space="0" w:color="auto"/>
        <w:right w:val="none" w:sz="0" w:space="0" w:color="auto"/>
      </w:divBdr>
    </w:div>
    <w:div w:id="1701853146">
      <w:bodyDiv w:val="1"/>
      <w:marLeft w:val="0"/>
      <w:marRight w:val="0"/>
      <w:marTop w:val="0"/>
      <w:marBottom w:val="0"/>
      <w:divBdr>
        <w:top w:val="none" w:sz="0" w:space="0" w:color="auto"/>
        <w:left w:val="none" w:sz="0" w:space="0" w:color="auto"/>
        <w:bottom w:val="none" w:sz="0" w:space="0" w:color="auto"/>
        <w:right w:val="none" w:sz="0" w:space="0" w:color="auto"/>
      </w:divBdr>
    </w:div>
    <w:div w:id="193489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AUTO/?uri=OJ:C:2011:363:TOC" TargetMode="External"/><Relationship Id="rId1" Type="http://schemas.openxmlformats.org/officeDocument/2006/relationships/hyperlink" Target="http://ec.europa.eu/taxation_customs/common/publications/studi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A9FF-3605-4682-9F57-3BD2B92B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1630</Words>
  <Characters>9553</Characters>
  <Application>Microsoft Office Word</Application>
  <DocSecurity>0</DocSecurity>
  <Lines>194</Lines>
  <Paragraphs>103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vector>
  </TitlesOfParts>
  <Manager/>
  <Company/>
  <LinksUpToDate>false</LinksUpToDate>
  <CharactersWithSpaces>11080</CharactersWithSpaces>
  <SharedDoc>false</SharedDoc>
  <HLinks>
    <vt:vector size="6" baseType="variant">
      <vt:variant>
        <vt:i4>5242891</vt:i4>
      </vt:variant>
      <vt:variant>
        <vt:i4>0</vt:i4>
      </vt:variant>
      <vt:variant>
        <vt:i4>0</vt:i4>
      </vt:variant>
      <vt:variant>
        <vt:i4>5</vt:i4>
      </vt:variant>
      <vt:variant>
        <vt:lpwstr>http://ec.europa.eu/taxation_customs/common/publications/studies/index_en.htm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2020-02-20T13:40:00Z</cp:lastPrinted>
  <dcterms:created xsi:type="dcterms:W3CDTF">2020-04-20T09:29:00Z</dcterms:created>
  <dcterms:modified xsi:type="dcterms:W3CDTF">2020-04-24T08:05:00Z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5.8.22.0</vt:lpwstr>
  </property>
  <property fmtid="{D5CDD505-2E9C-101B-9397-08002B2CF9AE}" pid="4" name="Created using">
    <vt:lpwstr>LW 5.8, Build 20110311</vt:lpwstr>
  </property>
  <property fmtid="{D5CDD505-2E9C-101B-9397-08002B2CF9AE}" pid="5" name="Last edited using">
    <vt:lpwstr>LW 7.0, Build 20190717</vt:lpwstr>
  </property>
  <property fmtid="{D5CDD505-2E9C-101B-9397-08002B2CF9AE}" pid="6" name="_NewReviewCycle">
    <vt:lpwstr/>
  </property>
  <property fmtid="{D5CDD505-2E9C-101B-9397-08002B2CF9AE}" pid="7" name="LWTemplateID">
    <vt:lpwstr>SJ-016</vt:lpwstr>
  </property>
  <property fmtid="{D5CDD505-2E9C-101B-9397-08002B2CF9AE}" pid="8" name="Part">
    <vt:lpwstr>1</vt:lpwstr>
  </property>
  <property fmtid="{D5CDD505-2E9C-101B-9397-08002B2CF9AE}" pid="9" name="Total parts">
    <vt:lpwstr>1</vt:lpwstr>
  </property>
  <property fmtid="{D5CDD505-2E9C-101B-9397-08002B2CF9AE}" pid="10" name="Level of sensitivity">
    <vt:lpwstr>Standard treatment</vt:lpwstr>
  </property>
  <property fmtid="{D5CDD505-2E9C-101B-9397-08002B2CF9AE}" pid="11" name="DQCStatus">
    <vt:lpwstr>Green (DQC version 03)</vt:lpwstr>
  </property>
</Properties>
</file>