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B853858-F059-49B6-8B44-3B86DC85681D" style="width:451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OBIECTUL PROPUNERII</w:t>
      </w:r>
    </w:p>
    <w:p>
      <w:pPr>
        <w:rPr>
          <w:noProof/>
        </w:rPr>
      </w:pPr>
      <w:r>
        <w:rPr>
          <w:noProof/>
        </w:rPr>
        <w:t>Prezenta propunere se referă la o decizie de stabilire a poziției care urmează să fie adoptată în numele Uniunii în cadrul Comitetului director regional înființat prin Tratatul de instituire a Comunității transporturilor (denumit în continuare „TCT”) în legătură cu adoptarea preconizată de către Comitetul director regional a unor decizii privind călătoriile, rambursarea cheltuielilor și normele și procedurile financiare aplicabile Comunității transporturilor.</w:t>
      </w:r>
    </w:p>
    <w:p>
      <w:pPr>
        <w:pStyle w:val="ManualHeading1"/>
        <w:rPr>
          <w:noProof/>
        </w:rPr>
      </w:pPr>
      <w:r>
        <w:rPr>
          <w:noProof/>
        </w:rPr>
        <w:t>2.</w:t>
      </w:r>
      <w:r>
        <w:rPr>
          <w:noProof/>
        </w:rPr>
        <w:tab/>
        <w:t>CONTEXTUL PROPUNERII</w:t>
      </w:r>
    </w:p>
    <w:p>
      <w:pPr>
        <w:pStyle w:val="ManualHeading2"/>
        <w:rPr>
          <w:noProof/>
        </w:rPr>
      </w:pPr>
      <w:r>
        <w:rPr>
          <w:noProof/>
          <w:u w:color="000000"/>
          <w:bdr w:val="nil"/>
        </w:rPr>
        <w:t>2.1</w:t>
      </w:r>
      <w:r>
        <w:rPr>
          <w:noProof/>
          <w:u w:color="000000"/>
          <w:bdr w:val="nil"/>
        </w:rPr>
        <w:tab/>
      </w:r>
      <w:r>
        <w:rPr>
          <w:noProof/>
        </w:rPr>
        <w:t>Tratatul de instituire a Comunității transporturilor</w:t>
      </w:r>
    </w:p>
    <w:p>
      <w:pPr>
        <w:rPr>
          <w:bCs/>
          <w:noProof/>
          <w:szCs w:val="24"/>
        </w:rPr>
      </w:pPr>
      <w:r>
        <w:rPr>
          <w:noProof/>
        </w:rPr>
        <w:t>Uniunea Europeană este parte la TCT, care a fost aplicat cu titlu provizoriu din 2017 și a intrat în vigoare la 1 mai 2019</w:t>
      </w:r>
      <w:r>
        <w:rPr>
          <w:rStyle w:val="FootnoteReference"/>
          <w:bCs/>
          <w:noProof/>
        </w:rPr>
        <w:footnoteReference w:id="1"/>
      </w:r>
      <w:r>
        <w:rPr>
          <w:noProof/>
        </w:rPr>
        <w:t>.</w:t>
      </w:r>
    </w:p>
    <w:p>
      <w:pPr>
        <w:pStyle w:val="ManualHeading2"/>
        <w:rPr>
          <w:noProof/>
        </w:rPr>
      </w:pPr>
      <w:r>
        <w:rPr>
          <w:noProof/>
          <w:u w:color="000000"/>
          <w:bdr w:val="nil"/>
        </w:rPr>
        <w:t>2.2</w:t>
      </w:r>
      <w:r>
        <w:rPr>
          <w:noProof/>
          <w:u w:color="000000"/>
          <w:bdr w:val="nil"/>
        </w:rPr>
        <w:tab/>
      </w:r>
      <w:r>
        <w:rPr>
          <w:noProof/>
        </w:rPr>
        <w:t>Comitetul director regional</w:t>
      </w:r>
    </w:p>
    <w:p>
      <w:pPr>
        <w:pBdr>
          <w:top w:val="nil"/>
          <w:left w:val="nil"/>
          <w:bottom w:val="nil"/>
          <w:right w:val="nil"/>
          <w:between w:val="nil"/>
          <w:bar w:val="nil"/>
        </w:pBdr>
        <w:spacing w:before="0" w:after="240"/>
        <w:rPr>
          <w:noProof/>
        </w:rPr>
      </w:pPr>
      <w:r>
        <w:rPr>
          <w:noProof/>
        </w:rPr>
        <w:t>Comitetul director regional a fost instituit prin articolul 24 din TCT și este responsabil de gestionarea TCT și de asigurarea punerii în aplicare corespunzătoare a acestuia. În acest scop, Comitetul formulează recomandări și ia decizii în cazurile prevăzute de TCT. În special, Comitetul director regional:</w:t>
      </w:r>
    </w:p>
    <w:p>
      <w:pPr>
        <w:spacing w:before="0" w:after="200" w:line="276" w:lineRule="auto"/>
        <w:jc w:val="left"/>
        <w:rPr>
          <w:noProof/>
        </w:rPr>
      </w:pPr>
      <w:r>
        <w:rPr>
          <w:noProof/>
        </w:rPr>
        <w:t>(a) pregătește lucrările Consiliului ministerial,</w:t>
      </w:r>
    </w:p>
    <w:p>
      <w:pPr>
        <w:spacing w:before="0" w:after="200" w:line="276" w:lineRule="auto"/>
        <w:jc w:val="left"/>
        <w:rPr>
          <w:noProof/>
        </w:rPr>
      </w:pPr>
      <w:r>
        <w:rPr>
          <w:noProof/>
        </w:rPr>
        <w:t>(b) hotărăște înființarea de comisii tehnice,</w:t>
      </w:r>
    </w:p>
    <w:p>
      <w:pPr>
        <w:spacing w:before="0" w:after="200" w:line="276" w:lineRule="auto"/>
        <w:jc w:val="left"/>
        <w:rPr>
          <w:noProof/>
        </w:rPr>
      </w:pPr>
      <w:r>
        <w:rPr>
          <w:noProof/>
        </w:rPr>
        <w:t>(c) formulează recomandări și ia decizii în conformitate cu TCT,</w:t>
      </w:r>
    </w:p>
    <w:p>
      <w:pPr>
        <w:spacing w:before="0" w:after="200" w:line="276" w:lineRule="auto"/>
        <w:jc w:val="left"/>
        <w:rPr>
          <w:noProof/>
        </w:rPr>
      </w:pPr>
      <w:r>
        <w:rPr>
          <w:noProof/>
        </w:rPr>
        <w:t>(d) în ceea ce privește actele legislative ale UE adoptate recent, ia măsurile corespunzătoare, în special prin revizuirea anexei I la TCT,</w:t>
      </w:r>
    </w:p>
    <w:p>
      <w:pPr>
        <w:spacing w:before="0" w:after="200" w:line="276" w:lineRule="auto"/>
        <w:jc w:val="left"/>
        <w:rPr>
          <w:noProof/>
        </w:rPr>
      </w:pPr>
      <w:r>
        <w:rPr>
          <w:noProof/>
        </w:rPr>
        <w:t>(e) numește directorul Secretariatului permanent după consultarea Consiliului ministerial,</w:t>
      </w:r>
    </w:p>
    <w:p>
      <w:pPr>
        <w:spacing w:before="0" w:after="200" w:line="276" w:lineRule="auto"/>
        <w:jc w:val="left"/>
        <w:rPr>
          <w:noProof/>
        </w:rPr>
      </w:pPr>
      <w:r>
        <w:rPr>
          <w:noProof/>
        </w:rPr>
        <w:t>(f) poate numi unul sau mai mulți directori adjuncți ai Secretariatului permanent,</w:t>
      </w:r>
    </w:p>
    <w:p>
      <w:pPr>
        <w:spacing w:before="0" w:after="200" w:line="276" w:lineRule="auto"/>
        <w:jc w:val="left"/>
        <w:rPr>
          <w:noProof/>
        </w:rPr>
      </w:pPr>
      <w:r>
        <w:rPr>
          <w:noProof/>
        </w:rPr>
        <w:t>(g) stabilește normele Secretariatului permanent,</w:t>
      </w:r>
    </w:p>
    <w:p>
      <w:pPr>
        <w:spacing w:before="0" w:after="200" w:line="276" w:lineRule="auto"/>
        <w:jc w:val="left"/>
        <w:rPr>
          <w:noProof/>
        </w:rPr>
      </w:pPr>
      <w:r>
        <w:rPr>
          <w:noProof/>
        </w:rPr>
        <w:t>(h) poate revizui, printr-o decizie, nivelul contribuțiilor la buget,</w:t>
      </w:r>
    </w:p>
    <w:p>
      <w:pPr>
        <w:spacing w:before="0" w:after="200" w:line="276" w:lineRule="auto"/>
        <w:jc w:val="left"/>
        <w:rPr>
          <w:noProof/>
        </w:rPr>
      </w:pPr>
      <w:r>
        <w:rPr>
          <w:noProof/>
        </w:rPr>
        <w:t>(i) adoptă bugetul anual al Comunității transporturilor,</w:t>
      </w:r>
    </w:p>
    <w:p>
      <w:pPr>
        <w:spacing w:before="0" w:after="200" w:line="276" w:lineRule="auto"/>
        <w:jc w:val="left"/>
        <w:rPr>
          <w:noProof/>
        </w:rPr>
      </w:pPr>
      <w:r>
        <w:rPr>
          <w:noProof/>
        </w:rPr>
        <w:t>(j) adoptă o decizie precizând procedura pentru executarea bugetului, pentru prezentarea și auditarea conturilor, precum și pentru inspectare,</w:t>
      </w:r>
    </w:p>
    <w:p>
      <w:pPr>
        <w:spacing w:before="0" w:after="200" w:line="276" w:lineRule="auto"/>
        <w:jc w:val="left"/>
        <w:rPr>
          <w:noProof/>
        </w:rPr>
      </w:pPr>
      <w:r>
        <w:rPr>
          <w:noProof/>
        </w:rPr>
        <w:t>(k) ia decizii cu privire la litigiile inițiate de către părțile contractante,</w:t>
      </w:r>
    </w:p>
    <w:p>
      <w:pPr>
        <w:spacing w:before="0" w:after="200" w:line="276" w:lineRule="auto"/>
        <w:jc w:val="left"/>
        <w:rPr>
          <w:noProof/>
        </w:rPr>
      </w:pPr>
      <w:r>
        <w:rPr>
          <w:noProof/>
        </w:rPr>
        <w:t>(l) adoptă principiile generale în domeniul accesului la documente, în legătură cu documentele deținute de organele instituite prin, sau în temeiul TCT,</w:t>
      </w:r>
    </w:p>
    <w:p>
      <w:pPr>
        <w:rPr>
          <w:noProof/>
        </w:rPr>
      </w:pPr>
      <w:r>
        <w:rPr>
          <w:noProof/>
        </w:rPr>
        <w:lastRenderedPageBreak/>
        <w:t>(m) adoptă rapoarte anuale în atenția Consiliului ministerial privind implementarea rețelei globale,</w:t>
      </w:r>
    </w:p>
    <w:p>
      <w:pPr>
        <w:rPr>
          <w:noProof/>
        </w:rPr>
      </w:pPr>
      <w:r>
        <w:rPr>
          <w:noProof/>
        </w:rPr>
        <w:t>(n) în ceea ce privește anumite acte ale Uniunii, stabilește termene și modalități de transpunere de către părțile din Europa de Sud-Est.</w:t>
      </w:r>
    </w:p>
    <w:p>
      <w:pPr>
        <w:pStyle w:val="ManualHeading2"/>
        <w:rPr>
          <w:noProof/>
        </w:rPr>
      </w:pPr>
      <w:r>
        <w:rPr>
          <w:noProof/>
          <w:u w:color="000000"/>
          <w:bdr w:val="nil"/>
        </w:rPr>
        <w:t>2.3</w:t>
      </w:r>
      <w:r>
        <w:rPr>
          <w:noProof/>
          <w:u w:color="000000"/>
          <w:bdr w:val="nil"/>
        </w:rPr>
        <w:tab/>
      </w:r>
      <w:r>
        <w:rPr>
          <w:noProof/>
        </w:rPr>
        <w:t>Actele avute în vedere de Comitetul director regional</w:t>
      </w:r>
    </w:p>
    <w:p>
      <w:pPr>
        <w:pBdr>
          <w:top w:val="nil"/>
          <w:left w:val="nil"/>
          <w:bottom w:val="nil"/>
          <w:right w:val="nil"/>
          <w:between w:val="nil"/>
          <w:bar w:val="nil"/>
        </w:pBdr>
        <w:spacing w:before="0" w:after="240"/>
        <w:rPr>
          <w:noProof/>
        </w:rPr>
      </w:pPr>
      <w:r>
        <w:rPr>
          <w:noProof/>
        </w:rPr>
        <w:t xml:space="preserve">Comitetul director regional adoptă decizii privind normele privind călătoriile referitoare la personalul Comunității transporturilor, privind normele pentru rambursarea cheltuielilor suportate de experții externi invitați să participe la reuniunile Comunității transporturilor și privind procedura pentru execuția bugetului Comunității transporturilor și pentru prezentarea și auditarea conturilor. </w:t>
      </w:r>
    </w:p>
    <w:p>
      <w:pPr>
        <w:pBdr>
          <w:top w:val="nil"/>
          <w:left w:val="nil"/>
          <w:bottom w:val="nil"/>
          <w:right w:val="nil"/>
          <w:between w:val="nil"/>
          <w:bar w:val="nil"/>
        </w:pBdr>
        <w:spacing w:before="0" w:after="240"/>
        <w:rPr>
          <w:noProof/>
        </w:rPr>
      </w:pPr>
      <w:r>
        <w:rPr>
          <w:noProof/>
        </w:rPr>
        <w:t>Deciziile avute în vedere vor deveni obligatorii din punct de vedere juridic pentru părți în conformitate cu articolul 25 alineatul (1) din TCT.</w:t>
      </w:r>
    </w:p>
    <w:p>
      <w:pPr>
        <w:pBdr>
          <w:top w:val="nil"/>
          <w:left w:val="nil"/>
          <w:bottom w:val="nil"/>
          <w:right w:val="nil"/>
          <w:between w:val="nil"/>
          <w:bar w:val="nil"/>
        </w:pBdr>
        <w:spacing w:before="0" w:after="240"/>
        <w:rPr>
          <w:b/>
          <w:noProof/>
        </w:rPr>
      </w:pPr>
      <w:r>
        <w:rPr>
          <w:b/>
          <w:noProof/>
        </w:rPr>
        <w:t>Buget și reglementări financiare</w:t>
      </w:r>
    </w:p>
    <w:p>
      <w:pPr>
        <w:pBdr>
          <w:top w:val="nil"/>
          <w:left w:val="nil"/>
          <w:bottom w:val="nil"/>
          <w:right w:val="nil"/>
          <w:between w:val="nil"/>
          <w:bar w:val="nil"/>
        </w:pBdr>
        <w:spacing w:before="0" w:after="240"/>
        <w:rPr>
          <w:noProof/>
        </w:rPr>
      </w:pPr>
      <w:r>
        <w:rPr>
          <w:noProof/>
        </w:rPr>
        <w:t>Până la desemnarea directorului Secretariatului permanent al Comunității transporturilor, bugetul este gestionat în mod direct de către Comisia Europeană, astfel cum este mandatată de Comitetul director regional</w:t>
      </w:r>
      <w:r>
        <w:rPr>
          <w:rStyle w:val="FootnoteReference"/>
          <w:noProof/>
        </w:rPr>
        <w:footnoteReference w:id="2"/>
      </w:r>
      <w:r>
        <w:rPr>
          <w:noProof/>
        </w:rPr>
        <w:t>, și în conformitate cu normele financiare aplicabile bugetului general al Uniunii.</w:t>
      </w:r>
    </w:p>
    <w:p>
      <w:pPr>
        <w:pBdr>
          <w:top w:val="nil"/>
          <w:left w:val="nil"/>
          <w:bottom w:val="nil"/>
          <w:right w:val="nil"/>
          <w:between w:val="nil"/>
          <w:bar w:val="nil"/>
        </w:pBdr>
        <w:spacing w:before="0" w:after="240"/>
        <w:rPr>
          <w:noProof/>
        </w:rPr>
      </w:pPr>
      <w:r>
        <w:rPr>
          <w:noProof/>
        </w:rPr>
        <w:t>Adoptarea normelor financiare interne va permite directorului Secretariatului permanent, odată desemnat, să execute bugetul Comunității transporturilor în conformitate cu articolul 36 din TCT.</w:t>
      </w:r>
    </w:p>
    <w:p>
      <w:pPr>
        <w:pStyle w:val="ManualHeading1"/>
        <w:rPr>
          <w:noProof/>
        </w:rPr>
      </w:pPr>
      <w:r>
        <w:rPr>
          <w:noProof/>
        </w:rPr>
        <w:t>3.</w:t>
      </w:r>
      <w:r>
        <w:rPr>
          <w:noProof/>
        </w:rPr>
        <w:tab/>
        <w:t>POZIȚIA CARE URMEAZĂ SĂ FIE ADOPTATĂ ÎN NUMELE UNIUNII</w:t>
      </w:r>
    </w:p>
    <w:p>
      <w:pPr>
        <w:rPr>
          <w:bCs/>
          <w:noProof/>
          <w:szCs w:val="24"/>
        </w:rPr>
      </w:pPr>
      <w:r>
        <w:rPr>
          <w:noProof/>
        </w:rPr>
        <w:t>Adoptarea acestor decizii de către Comitetul director regional este necesară pentru punerea în aplicare a TCT și pentru autonomia financiară deplină a Secretariatului permanent. Întrucât Uniunea este parte la TCT, este necesar să se stabilească o poziție a Uniunii.</w:t>
      </w:r>
    </w:p>
    <w:p>
      <w:pPr>
        <w:pStyle w:val="ManualHeading1"/>
        <w:rPr>
          <w:noProof/>
        </w:rPr>
      </w:pPr>
      <w:r>
        <w:rPr>
          <w:noProof/>
        </w:rPr>
        <w:t>4.</w:t>
      </w:r>
      <w:r>
        <w:rPr>
          <w:noProof/>
        </w:rPr>
        <w:tab/>
        <w:t>TEMEIUL JURIDIC</w:t>
      </w:r>
    </w:p>
    <w:p>
      <w:pPr>
        <w:pStyle w:val="ManualHeading2"/>
        <w:rPr>
          <w:noProof/>
          <w:u w:color="000000"/>
          <w:bdr w:val="nil"/>
        </w:rPr>
      </w:pPr>
      <w:r>
        <w:rPr>
          <w:noProof/>
          <w:u w:color="000000"/>
          <w:bdr w:val="nil"/>
        </w:rPr>
        <w:t>4.1</w:t>
      </w:r>
      <w:r>
        <w:rPr>
          <w:noProof/>
          <w:u w:color="000000"/>
          <w:bdr w:val="nil"/>
        </w:rPr>
        <w:tab/>
        <w:t>Temeiul juridic procedural</w:t>
      </w:r>
    </w:p>
    <w:p>
      <w:pPr>
        <w:pStyle w:val="ManualHeading3"/>
        <w:rPr>
          <w:noProof/>
        </w:rPr>
      </w:pPr>
      <w:r>
        <w:rPr>
          <w:noProof/>
        </w:rPr>
        <w:t>4.1.1 Principii</w:t>
      </w:r>
    </w:p>
    <w:p>
      <w:pPr>
        <w:pBdr>
          <w:top w:val="nil"/>
          <w:left w:val="nil"/>
          <w:bottom w:val="nil"/>
          <w:right w:val="nil"/>
          <w:between w:val="nil"/>
          <w:bar w:val="nil"/>
        </w:pBdr>
        <w:spacing w:before="0" w:after="240"/>
        <w:rPr>
          <w:noProof/>
        </w:rPr>
      </w:pPr>
      <w:r>
        <w:rPr>
          <w:noProof/>
        </w:rPr>
        <w:t>Articolul 218 alineatul (9) din Tratatul privind funcționarea Uniunii Europene (TFUE) prevede posibilitatea adoptării unor decizii ale Consiliului de stabilire „a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pBdr>
          <w:top w:val="nil"/>
          <w:left w:val="nil"/>
          <w:bottom w:val="nil"/>
          <w:right w:val="nil"/>
          <w:between w:val="nil"/>
          <w:bar w:val="nil"/>
        </w:pBdr>
        <w:spacing w:before="0" w:after="240"/>
        <w:rPr>
          <w:noProof/>
        </w:rPr>
      </w:pPr>
      <w:r>
        <w:rPr>
          <w:noProof/>
        </w:rPr>
        <w:t xml:space="preserve">Conceptul de „acte cu efecte juridice” include actele care au efecte juridice în temeiul normelor de drept internațional aplicabile organismului în cauză. Acesta include, de asemenea, instrumentele care nu au un caracter obligatoriu în temeiul dreptului internațional, </w:t>
      </w:r>
      <w:r>
        <w:rPr>
          <w:noProof/>
        </w:rPr>
        <w:lastRenderedPageBreak/>
        <w:t>dar care „au vocația de a influența în mod decisiv conținutul reglementării adoptate de legiuitorul Uniunii”</w:t>
      </w:r>
      <w:r>
        <w:rPr>
          <w:rStyle w:val="FootnoteReference"/>
          <w:noProof/>
        </w:rPr>
        <w:footnoteReference w:id="3"/>
      </w:r>
      <w:r>
        <w:rPr>
          <w:noProof/>
        </w:rPr>
        <w:t>.</w:t>
      </w:r>
    </w:p>
    <w:p>
      <w:pPr>
        <w:pStyle w:val="ManualHeading3"/>
        <w:rPr>
          <w:noProof/>
        </w:rPr>
      </w:pPr>
      <w:r>
        <w:rPr>
          <w:noProof/>
        </w:rPr>
        <w:t>4.1.2 Aplicarea la cazul în speță</w:t>
      </w:r>
    </w:p>
    <w:p>
      <w:pPr>
        <w:rPr>
          <w:noProof/>
        </w:rPr>
      </w:pPr>
      <w:r>
        <w:rPr>
          <w:noProof/>
        </w:rPr>
        <w:t>Comitetul director regional este un organism înființat printr-un acord, și anume TCT.</w:t>
      </w:r>
    </w:p>
    <w:p>
      <w:pPr>
        <w:rPr>
          <w:noProof/>
        </w:rPr>
      </w:pPr>
      <w:r>
        <w:rPr>
          <w:noProof/>
        </w:rPr>
        <w:t xml:space="preserve">Actele pe care Comitetul director regional este invitat să le adopte sunt acte cu efecte juridice. În conformitate cu articolul 30 din TCT, Comitetul director regional este împuternicit să stabilească normele Secretariatului permanent, în special pentru condițiile de muncă ale personalului Secretariatului. În temeiul articolului 35 din TCT, Comitetul director regional este împuternicit să adopte decizii precizând procedura pentru execuția bugetului, pentru prezentarea și auditarea conturilor, precum și pentru inspecție. Prin natura lor și ca o chestiune de drept internațional care reglementează Comitetul director regional, aceste norme conțin elemente care afectează poziția juridică a părților la TCT și, prin urmare, și pe aceea a Uniunii. În consecință, acestea trebuie considerate ca având efecte juridice. </w:t>
      </w:r>
    </w:p>
    <w:p>
      <w:pPr>
        <w:rPr>
          <w:noProof/>
        </w:rPr>
      </w:pPr>
      <w:r>
        <w:rPr>
          <w:noProof/>
        </w:rPr>
        <w:t>Actele avute în vedere nu completează și nu modifică cadrul instituțional al TCT.</w:t>
      </w:r>
    </w:p>
    <w:p>
      <w:pPr>
        <w:rPr>
          <w:rFonts w:eastAsia="Arial Unicode MS"/>
          <w:noProof/>
        </w:rPr>
      </w:pPr>
      <w:r>
        <w:rPr>
          <w:noProof/>
        </w:rPr>
        <w:t>Prin urmare, temeiul juridic procedural al deciziei propuse este articolul 218 alineatul (9) din TFUE.</w:t>
      </w:r>
    </w:p>
    <w:p>
      <w:pPr>
        <w:pStyle w:val="ManualHeading2"/>
        <w:rPr>
          <w:noProof/>
          <w:u w:color="000000"/>
          <w:bdr w:val="nil"/>
        </w:rPr>
      </w:pPr>
      <w:r>
        <w:rPr>
          <w:noProof/>
          <w:u w:color="000000"/>
          <w:bdr w:val="nil"/>
        </w:rPr>
        <w:t>4.2</w:t>
      </w:r>
      <w:r>
        <w:rPr>
          <w:noProof/>
          <w:u w:color="000000"/>
          <w:bdr w:val="nil"/>
        </w:rPr>
        <w:tab/>
        <w:t>Temeiul juridic material</w:t>
      </w:r>
    </w:p>
    <w:p>
      <w:pPr>
        <w:pStyle w:val="ManualHeading3"/>
        <w:rPr>
          <w:noProof/>
          <w:u w:color="000000"/>
          <w:bdr w:val="nil"/>
        </w:rPr>
      </w:pPr>
      <w:r>
        <w:rPr>
          <w:noProof/>
          <w:u w:color="000000"/>
          <w:bdr w:val="nil"/>
        </w:rPr>
        <w:t>4.2.1.</w:t>
      </w:r>
      <w:r>
        <w:rPr>
          <w:noProof/>
          <w:u w:color="000000"/>
          <w:bdr w:val="nil"/>
        </w:rPr>
        <w:tab/>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u w:color="000000"/>
          <w:bdr w:val="nil"/>
        </w:rPr>
      </w:pPr>
      <w:r>
        <w:rPr>
          <w:noProof/>
          <w:u w:color="000000"/>
          <w:bdr w:val="nil"/>
        </w:rPr>
        <w:t>4.2.2.</w:t>
      </w:r>
      <w:r>
        <w:rPr>
          <w:noProof/>
          <w:u w:color="000000"/>
          <w:bdr w:val="nil"/>
        </w:rPr>
        <w:tab/>
        <w:t>Aplicarea la cazul în discuție</w:t>
      </w:r>
    </w:p>
    <w:p>
      <w:pPr>
        <w:rPr>
          <w:noProof/>
        </w:rPr>
      </w:pPr>
      <w:r>
        <w:rPr>
          <w:noProof/>
        </w:rPr>
        <w:t>Actele avute în vedere sunt necesare pentru buna funcționare a TCT. La rândul său, TCT urmărește obiective și include elemente din domeniul transportului rutier, feroviar și pe căi navigabile interioare, moduri de transport care intră sub incidența articolului 91 din TFUE, precum și din domeniul transportului maritim, mod de transport care face obiectul articolului 100 alineatul (2) din TFUE. Datorită caracterului lor orizontal, actele avute în vedere se referă la toate aceste elemente.</w:t>
      </w:r>
    </w:p>
    <w:p>
      <w:pPr>
        <w:pBdr>
          <w:top w:val="nil"/>
          <w:left w:val="nil"/>
          <w:bottom w:val="nil"/>
          <w:right w:val="nil"/>
          <w:between w:val="nil"/>
          <w:bar w:val="nil"/>
        </w:pBdr>
        <w:spacing w:before="0" w:after="240"/>
        <w:rPr>
          <w:noProof/>
        </w:rPr>
      </w:pPr>
      <w:r>
        <w:rPr>
          <w:noProof/>
        </w:rPr>
        <w:t>Prin urmare, temeiul juridic material al propunerii de decizie cuprinde următoarele dispoziții: articolul 91 și articolul 100 alineatul (2) din TFUE.</w:t>
      </w:r>
    </w:p>
    <w:p>
      <w:pPr>
        <w:pStyle w:val="ManualHeading2"/>
        <w:rPr>
          <w:noProof/>
        </w:rPr>
      </w:pPr>
      <w:r>
        <w:rPr>
          <w:noProof/>
        </w:rPr>
        <w:t>4.3</w:t>
      </w:r>
      <w:r>
        <w:rPr>
          <w:noProof/>
        </w:rPr>
        <w:tab/>
        <w:t>Concluzie</w:t>
      </w:r>
    </w:p>
    <w:p>
      <w:pPr>
        <w:pBdr>
          <w:top w:val="nil"/>
          <w:left w:val="nil"/>
          <w:bottom w:val="nil"/>
          <w:right w:val="nil"/>
          <w:between w:val="nil"/>
          <w:bar w:val="nil"/>
        </w:pBdr>
        <w:spacing w:before="0" w:after="240"/>
        <w:rPr>
          <w:noProof/>
        </w:rPr>
      </w:pPr>
      <w:r>
        <w:rPr>
          <w:noProof/>
        </w:rPr>
        <w:t>Temeiul juridic al deciziei propuse ar trebui să fie articolul 91 și articolul 100 alineatul (2) din TFUE, coroborate cu articolul 218 alineatul (9) din TFUE.</w:t>
      </w:r>
    </w:p>
    <w:p>
      <w:pPr>
        <w:rPr>
          <w:b/>
          <w:noProof/>
        </w:rPr>
      </w:pPr>
      <w:r>
        <w:rPr>
          <w:b/>
          <w:noProof/>
        </w:rPr>
        <w:t>5. PUBLICAREA ACTULUI AVUT ÎN VEDERE</w:t>
      </w:r>
    </w:p>
    <w:p>
      <w:pPr>
        <w:rPr>
          <w:noProof/>
        </w:rPr>
      </w:pPr>
      <w:r>
        <w:rPr>
          <w:noProof/>
        </w:rPr>
        <w:lastRenderedPageBreak/>
        <w:t>În conformitate cu articolul 25 alineatul (2) din TCT, deciziile Comitetului director regional se publică în Jurnalul Oficial al Uniunii Europene.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2020/0064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Comitetului director regional al Comunității transporturilor în ceea ce privește anumite aspecte administrative și legate de personal și stabilirea normelor financiare pentru Comunitatea transporturilor</w:t>
      </w:r>
    </w:p>
    <w:p>
      <w:pPr>
        <w:pStyle w:val="Institutionquiagit"/>
        <w:rPr>
          <w:noProof/>
        </w:rPr>
      </w:pPr>
      <w:r>
        <w:rPr>
          <w:noProof/>
        </w:rPr>
        <w:t>CONSILIUL UNIUNII EUROPENE,</w:t>
      </w:r>
    </w:p>
    <w:p>
      <w:pPr>
        <w:rPr>
          <w:noProof/>
        </w:rPr>
      </w:pPr>
      <w:r>
        <w:rPr>
          <w:noProof/>
        </w:rPr>
        <w:t>având în vedere Tratatul privind funcționarea Uniunii Europene, în special articolul 91 și articolul 100 alineatul (2), coroborate cu articolul 218 alineatul (9),</w:t>
      </w:r>
    </w:p>
    <w:p>
      <w:pPr>
        <w:spacing w:line="360" w:lineRule="auto"/>
        <w:jc w:val="left"/>
        <w:rPr>
          <w:noProof/>
        </w:rPr>
      </w:pPr>
      <w:r>
        <w:rPr>
          <w:noProof/>
        </w:rPr>
        <w:t>având în vedere propunerea Comisiei Europene,</w:t>
      </w:r>
    </w:p>
    <w:p>
      <w:pPr>
        <w:spacing w:line="360" w:lineRule="auto"/>
        <w:jc w:val="left"/>
        <w:rPr>
          <w:noProof/>
        </w:rPr>
      </w:pPr>
      <w:r>
        <w:rPr>
          <w:noProof/>
        </w:rPr>
        <w:t>întrucât:</w:t>
      </w:r>
    </w:p>
    <w:p>
      <w:pPr>
        <w:pStyle w:val="ManualConsidrant"/>
        <w:rPr>
          <w:noProof/>
        </w:rPr>
      </w:pPr>
      <w:r>
        <w:t>(1)</w:t>
      </w:r>
      <w:r>
        <w:tab/>
      </w:r>
      <w:r>
        <w:rPr>
          <w:noProof/>
        </w:rPr>
        <w:t>Tratatul de instituire Comunității transporturilor (denumit în continuare „TCT”) a fost semnat de Uniune în conformitate cu Decizia (UE) 2017/1937 a Consiliului</w:t>
      </w:r>
      <w:r>
        <w:rPr>
          <w:rStyle w:val="FootnoteReference"/>
          <w:noProof/>
        </w:rPr>
        <w:footnoteReference w:id="4"/>
      </w:r>
      <w:r>
        <w:rPr>
          <w:noProof/>
        </w:rPr>
        <w:t>. Acesta a fost aprobat în numele Uniunii Europene la 4 martie 2019</w:t>
      </w:r>
      <w:r>
        <w:rPr>
          <w:rStyle w:val="FootnoteReference"/>
          <w:noProof/>
        </w:rPr>
        <w:footnoteReference w:id="5"/>
      </w:r>
      <w:r>
        <w:rPr>
          <w:noProof/>
        </w:rPr>
        <w:t xml:space="preserve"> și a intrat în vigoare la 1 mai 2019.</w:t>
      </w:r>
    </w:p>
    <w:p>
      <w:pPr>
        <w:pStyle w:val="ManualConsidrant"/>
        <w:rPr>
          <w:noProof/>
        </w:rPr>
      </w:pPr>
      <w:r>
        <w:t>(2)</w:t>
      </w:r>
      <w:r>
        <w:tab/>
      </w:r>
      <w:r>
        <w:rPr>
          <w:noProof/>
        </w:rPr>
        <w:t xml:space="preserve">În temeiul articolului 30 și al articolului 35 din TCT, Comitetul director regional poate adopta norme privind condițiile de muncă ale personalului Secretariatului permanent al Comunității transporturilor și privind execuția bugetului și prezentarea și auditarea conturilor. </w:t>
      </w:r>
    </w:p>
    <w:p>
      <w:pPr>
        <w:pStyle w:val="ManualConsidrant"/>
        <w:rPr>
          <w:noProof/>
        </w:rPr>
      </w:pPr>
      <w:r>
        <w:t>(3)</w:t>
      </w:r>
      <w:r>
        <w:tab/>
      </w:r>
      <w:r>
        <w:rPr>
          <w:noProof/>
        </w:rPr>
        <w:t xml:space="preserve">Comitetul director regional al Comunității transporturilor (denumit în continuare „Comitetul director”) adoptă decizii care vizează normele privind călătoriile referitoare la personalul Comunității transporturilor, normele pentru rambursarea cheltuielilor suportate de experții externi invitați să participe la reuniunile Comunității transporturilor și procedura pentru execuția bugetului Comunității transporturilor și pentru prezentarea și auditarea conturilor. </w:t>
      </w:r>
    </w:p>
    <w:p>
      <w:pPr>
        <w:pStyle w:val="ManualConsidrant"/>
        <w:rPr>
          <w:noProof/>
        </w:rPr>
      </w:pPr>
      <w:r>
        <w:t>(4)</w:t>
      </w:r>
      <w:r>
        <w:tab/>
      </w:r>
      <w:r>
        <w:rPr>
          <w:noProof/>
        </w:rPr>
        <w:t>Este oportun să se stabilească poziția care urmează să fie adoptată în numele Uniunii în cadrul Comitetului director, deoarece aceste decizii sunt necesare pentru buna funcționare a Secretariatului permanent al Comunității transporturilor și vor avea efecte juridice în raport cu Uniunea,</w:t>
      </w:r>
    </w:p>
    <w:p>
      <w:pPr>
        <w:pStyle w:val="Formuledadoption"/>
        <w:rPr>
          <w:noProof/>
        </w:rPr>
      </w:pPr>
      <w:r>
        <w:rPr>
          <w:noProof/>
        </w:rPr>
        <w:lastRenderedPageBreak/>
        <w:t>ADOPTĂ PREZENTA DECIZIE:</w:t>
      </w:r>
    </w:p>
    <w:p>
      <w:pPr>
        <w:pStyle w:val="Titrearticle"/>
        <w:rPr>
          <w:noProof/>
        </w:rPr>
      </w:pPr>
      <w:r>
        <w:rPr>
          <w:noProof/>
        </w:rPr>
        <w:t>Articolul 1</w:t>
      </w:r>
    </w:p>
    <w:p>
      <w:pPr>
        <w:rPr>
          <w:noProof/>
        </w:rPr>
      </w:pPr>
      <w:r>
        <w:rPr>
          <w:noProof/>
        </w:rPr>
        <w:t>Poziția care urmează să fie adoptată în numele Uniunii în Comitetul director al Comunității transporturilor este de a sprijini adoptarea de decizii care vizează normele privind călătoriile referitoare la personalul Comunității transporturilor, normele pentru rambursarea cheltuielilor suportate de experții externi invitați să participe la reuniunile Comunității transporturilor și procedura pentru execuția bugetului Comunității transporturilor și pentru prezentarea și auditarea conturilor. Aceasta se bazează pe proiectele de decizii ale Comitetului director anexate la prezenta decizie.</w:t>
      </w:r>
    </w:p>
    <w:p>
      <w:pPr>
        <w:pStyle w:val="Titrearticle"/>
        <w:rPr>
          <w:noProof/>
        </w:rPr>
      </w:pPr>
      <w:r>
        <w:rPr>
          <w:noProof/>
        </w:rPr>
        <w:t>Articolul 2</w:t>
      </w:r>
    </w:p>
    <w:p>
      <w:pPr>
        <w:spacing w:line="360" w:lineRule="auto"/>
        <w:jc w:val="left"/>
        <w:rPr>
          <w:noProof/>
        </w:rPr>
      </w:pPr>
      <w:r>
        <w:rPr>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(UE) 2019/392 a CONSILIULUI din 4 martie 2019 privind încheierea, în numele Uniunii Europene, a Tratatului de instituire a Comunității transporturilor.</w:t>
      </w:r>
    </w:p>
  </w:footnote>
  <w:footnote w:id="2">
    <w:p>
      <w:pPr>
        <w:pStyle w:val="FootnoteText"/>
      </w:pPr>
      <w:r>
        <w:rPr>
          <w:rStyle w:val="FootnoteReference"/>
        </w:rPr>
        <w:footnoteRef/>
      </w:r>
      <w:r>
        <w:tab/>
        <w:t>Decizia nr. 2019/1 a Comitetului director regional al Comunității transporturilor.</w:t>
      </w:r>
    </w:p>
  </w:footnote>
  <w:footnote w:id="3">
    <w:p>
      <w:pPr>
        <w:pStyle w:val="FootnoteText"/>
      </w:pPr>
      <w:r>
        <w:rPr>
          <w:rStyle w:val="FootnoteReference"/>
        </w:rPr>
        <w:footnoteRef/>
      </w:r>
      <w:r>
        <w:tab/>
        <w:t xml:space="preserve">Hotărârea Curții de Justiție din 7 octombrie 2014, Germania/Consiliul, Cauza C-399/12, ECLI:EU:C:2014:2258, punctele 61-64. </w:t>
      </w:r>
    </w:p>
  </w:footnote>
  <w:footnote w:id="4">
    <w:p>
      <w:pPr>
        <w:pStyle w:val="FootnoteText"/>
      </w:pPr>
      <w:r>
        <w:rPr>
          <w:rStyle w:val="FootnoteReference"/>
        </w:rPr>
        <w:footnoteRef/>
      </w:r>
      <w:r>
        <w:tab/>
        <w:t>Decizia (UE) 2017/1937 a Consiliului din 11 iulie 2017 privind semnarea, în numele Uniunii Europene, și aplicarea cu titlu provizoriu a Tratatului de instituire a Comunității transporturilor (JO L 278, 27.10.2017, p. 1).</w:t>
      </w:r>
    </w:p>
  </w:footnote>
  <w:footnote w:id="5">
    <w:p>
      <w:pPr>
        <w:pStyle w:val="FootnoteText"/>
      </w:pPr>
      <w:r>
        <w:rPr>
          <w:rStyle w:val="FootnoteReference"/>
        </w:rPr>
        <w:footnoteRef/>
      </w:r>
      <w:r>
        <w:tab/>
        <w:t>DECIZIA (UE) 2019/392 a CONSILIULUI din 4 martie 2019 privind încheierea, în numele Uniunii Europene, a Tratatului de instituire a Comunității transporturilor.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A84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B48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C21D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F6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1C35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C6D5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8E71DC"/>
    <w:lvl w:ilvl="0">
      <w:start w:val="1"/>
      <w:numFmt w:val="decimal"/>
      <w:pStyle w:val="ListNumber"/>
      <w:lvlText w:val="%1."/>
      <w:lvlJc w:val="left"/>
      <w:pPr>
        <w:tabs>
          <w:tab w:val="num" w:pos="360"/>
        </w:tabs>
        <w:ind w:left="360" w:hanging="360"/>
      </w:pPr>
    </w:lvl>
  </w:abstractNum>
  <w:abstractNum w:abstractNumId="7">
    <w:nsid w:val="FFFFFF89"/>
    <w:multiLevelType w:val="singleLevel"/>
    <w:tmpl w:val="0762A4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17 10:40: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B853858-F059-49B6-8B44-3B86DC85681D"/>
    <w:docVar w:name="LW_COVERPAGE_TYPE" w:val="1"/>
    <w:docVar w:name="LW_CROSSREFERENCE" w:val="&lt;UNUSED&gt;"/>
    <w:docVar w:name="LW_DocType" w:val="COM"/>
    <w:docVar w:name="LW_EMISSION" w:val="24.4.2020"/>
    <w:docVar w:name="LW_EMISSION_ISODATE" w:val="2020-04-2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64"/>
    <w:docVar w:name="LW_REF.II.NEW.CP_YEAR" w:val="2020"/>
    <w:docVar w:name="LW_REF.INST.NEW" w:val="COM"/>
    <w:docVar w:name="LW_REF.INST.NEW_ADOPTED" w:val="final"/>
    <w:docVar w:name="LW_REF.INST.NEW_TEXT" w:val="(2020) 1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tetului director regional al Comunit\u259?\u539?ii transporturilor în ceea ce prive\u537?te anumite aspecte administrative \u537?i legate de personal \u537?i stabilirea normelor financiare pentru Comunitatea transporturilor"/>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non">
    <w:name w:val="Nonon"/>
    <w:basedOn w:val="Formuledadoption"/>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non">
    <w:name w:val="Nonon"/>
    <w:basedOn w:val="Formuledadoption"/>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F76F-8967-474E-8B53-70D1DB71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1414</Words>
  <Characters>8782</Characters>
  <Application>Microsoft Office Word</Application>
  <DocSecurity>0</DocSecurity>
  <Lines>156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2019-09-10T15:13:00Z</cp:lastPrinted>
  <dcterms:created xsi:type="dcterms:W3CDTF">2020-03-17T08:15:00Z</dcterms:created>
  <dcterms:modified xsi:type="dcterms:W3CDTF">2020-04-17T08:40:00Z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