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C76A9A0D-49C4-40D3-B70F-5BAB02B2C9FE" style="width:450.75pt;height:393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after="480"/>
        <w:rPr>
          <w:noProof/>
        </w:rPr>
      </w:pPr>
      <w:bookmarkStart w:id="0" w:name="_GoBack"/>
      <w:bookmarkEnd w:id="0"/>
      <w:r>
        <w:rPr>
          <w:noProof/>
        </w:rPr>
        <w:lastRenderedPageBreak/>
        <w:t>EXPUNERE DE MOTIVE</w:t>
      </w:r>
    </w:p>
    <w:p>
      <w:pPr>
        <w:pStyle w:val="ManualHeading1"/>
        <w:spacing w:before="0" w:after="240"/>
        <w:rPr>
          <w:noProof/>
        </w:rPr>
      </w:pPr>
      <w:r>
        <w:rPr>
          <w:noProof/>
        </w:rPr>
        <w:t>1.</w:t>
      </w:r>
      <w:r>
        <w:rPr>
          <w:noProof/>
        </w:rPr>
        <w:tab/>
        <w:t>CONTEXTUL PROPUNERII</w:t>
      </w:r>
    </w:p>
    <w:p>
      <w:pPr>
        <w:pStyle w:val="ManualHeading2"/>
        <w:spacing w:before="0" w:after="240"/>
        <w:rPr>
          <w:rFonts w:eastAsia="Arial Unicode MS"/>
          <w:noProof/>
        </w:rPr>
      </w:pPr>
      <w:r>
        <w:rPr>
          <w:noProof/>
          <w:color w:val="000000"/>
          <w:bdr w:val="nil"/>
        </w:rPr>
        <w:t>•</w:t>
      </w:r>
      <w:r>
        <w:rPr>
          <w:noProof/>
        </w:rPr>
        <w:tab/>
        <w:t>Motivele și obiectivele propunerii</w:t>
      </w:r>
    </w:p>
    <w:p>
      <w:pPr>
        <w:rPr>
          <w:noProof/>
        </w:rPr>
      </w:pPr>
      <w:r>
        <w:rPr>
          <w:noProof/>
        </w:rPr>
        <w:t>Pandemia de COVID-19 s-a răspândit deja în întreaga lume. Peste 2 milioane de persoane au fost infectate și aproape 140 000 de persoane cu infecții confirmate au murit din cauza bolii (conform datelor OMS din 17 aprilie). Răspunsul inițial se concentrează pe salvarea de vieți la nivel mondial, prin diverse măsuri de limitare a răspândirii virusului și prin întărirea sistemelor de sănătate. Multe dintre aceste măsuri au adus societățile și economiile în impas, dar nu se pot face compromisuri între salvarea vieților omenești și salvarea locurilor de muncă. Dimpotrivă, ținerea virusului sub control este o condiție prealabilă pentru dezvoltarea sustenabilă, fie ea economică sau socială.</w:t>
      </w:r>
    </w:p>
    <w:p>
      <w:pPr>
        <w:rPr>
          <w:noProof/>
        </w:rPr>
      </w:pPr>
      <w:r>
        <w:rPr>
          <w:noProof/>
        </w:rPr>
        <w:t xml:space="preserve">Totodată, sunt puse rapid în aplicare măsuri menite să limiteze impactul economic al crizei. În pofida acestor măsuri, dacă ținem cont de impactul recesiunii mondiale și de puternicele presiuni de pe piețele financiare, majoritatea, dacă nu chiar totalitatea partenerilor vizați de politica de extindere și de politica de vecinătate urmează să fie loviți de recesiune în acest an. Cu toate că factorul declanșator al acestei crize este același pentru toți, durata și gravitatea crizei pot fi diferite, reflectând structura economică a fiecărui partener, precum și capacitatea de a lua măsuri de contracarare eficiente. Alături de colapsul comerțului și de tendința mai accentuată de a manifesta reticență față de asumarea riscurilor în ceea ce privește piețele emergente în general, recesiunea face ca balanța de plăți (BP) a acestor țări să se confrunte cu un stres acut. În funcție de răspândirea virusului, precum și de consecințele sale economice, există, de asemenea, un risc clar și iminent legat de stabilitatea și securitatea socială, cu posibile efecte de propagare în interiorul regiunii și în afara acesteia. </w:t>
      </w:r>
    </w:p>
    <w:p>
      <w:pPr>
        <w:rPr>
          <w:b/>
          <w:bCs/>
          <w:noProof/>
        </w:rPr>
      </w:pPr>
      <w:r>
        <w:rPr>
          <w:b/>
          <w:bCs/>
          <w:noProof/>
        </w:rPr>
        <w:t xml:space="preserve">În acest context, Comisia Europeană propune utilizarea asistenței macrofinanciare (AMF) pentru a sprijini zece parteneri din vecinătate în contextul crizei COVID-19. </w:t>
      </w:r>
    </w:p>
    <w:p>
      <w:pPr>
        <w:rPr>
          <w:noProof/>
        </w:rPr>
      </w:pPr>
      <w:r>
        <w:rPr>
          <w:noProof/>
        </w:rPr>
        <w:t xml:space="preserve">AMF face parte din setul de instrumente de intervenție al UE destinat crizelor externe. Este utilizată în situații de criză a BP în paralel cu un acord de plată al FMI care face obiectul unui program convenit de reforme economice. În această situație excepțională, Comisia propune </w:t>
      </w:r>
      <w:r>
        <w:rPr>
          <w:b/>
          <w:bCs/>
          <w:noProof/>
        </w:rPr>
        <w:t>programe de asistență macrofinanciară și pentru partenerii care beneficiază de finanțare de urgență din partea FMI</w:t>
      </w:r>
      <w:r>
        <w:rPr>
          <w:noProof/>
        </w:rPr>
        <w:t xml:space="preserve">, care pot fi puse la dispoziție fără acțiuni și/sau condiții prealabile, cum ar fi prin intermediul Instrumentului de finanțare rapidă (IFR). Prin urmare, aceste „AFM de criză” vor fi </w:t>
      </w:r>
      <w:r>
        <w:rPr>
          <w:b/>
          <w:bCs/>
          <w:noProof/>
        </w:rPr>
        <w:t>mai scurte ca durată</w:t>
      </w:r>
      <w:r>
        <w:rPr>
          <w:noProof/>
        </w:rPr>
        <w:t xml:space="preserve"> (12 luni, în loc de 2,5 ani) și vor include doar </w:t>
      </w:r>
      <w:r>
        <w:rPr>
          <w:b/>
          <w:bCs/>
          <w:noProof/>
        </w:rPr>
        <w:t>două plăți</w:t>
      </w:r>
      <w:r>
        <w:rPr>
          <w:noProof/>
        </w:rPr>
        <w:t xml:space="preserve">. Prima plată va fi efectuată cât mai curând posibil după adoptarea deciziei privind AMF și pe baza acordului corespunzător privind un memorandum de înțelegere cu fiecare beneficiar. </w:t>
      </w:r>
      <w:r>
        <w:rPr>
          <w:b/>
          <w:noProof/>
        </w:rPr>
        <w:t>A doua plată va fi efectuată în momentul îndeplinirii condițiilor</w:t>
      </w:r>
      <w:r>
        <w:rPr>
          <w:noProof/>
        </w:rPr>
        <w:t xml:space="preserve">, care vor fi prezentate în detaliu în memorandumurile de înțelegere. După cum se procedează în cazul oricărei AMF, condițiile sunt specifice fiecărui partener pentru a se asigura că sunt adecvate, în cadrul instrumentului AMF, pentru a favoriza stabilitatea macroeconomică îmbunătățind în același timp gestionarea macroeconomică globală, consolidând guvernanța economică și transparența și ameliorând condițiile necesare relansării unei creșteri sustenabile. Totodată, ele vor trebui să fie formulate în așa fel încât să poată fi implementate, ținând cont de intervalul de timp mai scurt și de contextul pandemiei actuale. </w:t>
      </w:r>
    </w:p>
    <w:p>
      <w:pPr>
        <w:rPr>
          <w:noProof/>
        </w:rPr>
      </w:pPr>
      <w:r>
        <w:rPr>
          <w:noProof/>
        </w:rPr>
        <w:t xml:space="preserve">Comisia Europeană prezintă Parlamentului European și Consiliului o propunere privind </w:t>
      </w:r>
      <w:r>
        <w:rPr>
          <w:b/>
          <w:noProof/>
        </w:rPr>
        <w:t>acordarea de asistență macrofinanciară în valoare totală 3 miliarde EUR unui număr de zece parteneri</w:t>
      </w:r>
      <w:r>
        <w:rPr>
          <w:noProof/>
        </w:rPr>
        <w:t xml:space="preserve">. Asistența va lua forma unor împrumuturi pe termen mediu. </w:t>
      </w:r>
    </w:p>
    <w:p>
      <w:pPr>
        <w:tabs>
          <w:tab w:val="left" w:pos="719"/>
        </w:tabs>
        <w:spacing w:before="0" w:after="240"/>
        <w:rPr>
          <w:noProof/>
        </w:rPr>
      </w:pPr>
      <w:r>
        <w:rPr>
          <w:noProof/>
        </w:rPr>
        <w:lastRenderedPageBreak/>
        <w:t xml:space="preserve">Scopul asistenței macrofinanciare din partea UE propuse este acela de a ajuta partenerii să își acopere o parte din nevoile urgente de finanțare externă în cadrul programelor FMI implementate în prezent, reducând astfel vulnerabilitățile pe termen scurt legate de balanța de plăți din economiile acestora în contextul crizei COVID-19. Asistența propusă ar sprijini stabilizarea externă și ar oferi implicit autorităților spațiu de manevră la nivel de politici pentru punerea în aplicare a măsurilor de combatere a efectelor crizei economice provocate de COVID-19, încurajând totodată implementarea reformelor menite să îmbunătățească gestionarea macroeconomică, guvernanța și transparența economică și favorizând condițiile pentru relansarea creșterii sustenabile. </w:t>
      </w:r>
    </w:p>
    <w:p>
      <w:pPr>
        <w:tabs>
          <w:tab w:val="left" w:pos="719"/>
        </w:tabs>
        <w:spacing w:before="0" w:after="240"/>
        <w:rPr>
          <w:noProof/>
        </w:rPr>
      </w:pPr>
      <w:r>
        <w:rPr>
          <w:noProof/>
        </w:rPr>
        <w:t>AMF propusă este compatibilă cu obiectivele strategiilor UE în materie de extindere și vecinătate. Aceasta ar transmite partenerilor din regiune un semnal al disponibilității UE de a le oferi sprijin într-o perioadă de criză fără precedent. În acest context, Comisia consideră că sunt îndeplinite condițiile politice și economice indispensabile acordării unei AMF având valoarea și natura propuse.</w:t>
      </w:r>
    </w:p>
    <w:p>
      <w:pPr>
        <w:tabs>
          <w:tab w:val="left" w:pos="719"/>
        </w:tabs>
        <w:spacing w:before="0" w:after="240"/>
        <w:rPr>
          <w:noProof/>
        </w:rPr>
      </w:pPr>
      <w:r>
        <w:rPr>
          <w:b/>
          <w:noProof/>
        </w:rPr>
        <w:t>AMF propusă vizează Republica Albania, Bosnia și Herțegovina, Georgia, Regatul Hașemit al Iordaniei, Kosovo</w:t>
      </w:r>
      <w:r>
        <w:rPr>
          <w:rStyle w:val="FootnoteReference"/>
          <w:b/>
          <w:noProof/>
        </w:rPr>
        <w:footnoteReference w:customMarkFollows="1" w:id="2"/>
        <w:t>*</w:t>
      </w:r>
      <w:r>
        <w:rPr>
          <w:b/>
          <w:noProof/>
        </w:rPr>
        <w:t>, Republica Moldova, Muntenegru, Republica Macedonia de Nord, Republica Tunisiană și Ucraina.</w:t>
      </w:r>
      <w:r>
        <w:rPr>
          <w:noProof/>
        </w:rPr>
        <w:t xml:space="preserve"> Cu toate acestea, situația este în continuă evoluție, iar criza COVID-19 devine din ce în ce mai dificilă și în alte țări. AMF rămâne disponibilă și pentru alte țări eligibile aflate în situații dificile legate de balanța de plăți care ar putea apărea mai târziu. Totodată, Comisia va iniția o discuție privind domeniul de aplicare al instrumentului AMF și modul în care acesta interacționează cu alte politici externe ale UE.</w:t>
      </w:r>
    </w:p>
    <w:p>
      <w:pPr>
        <w:tabs>
          <w:tab w:val="left" w:pos="719"/>
        </w:tabs>
        <w:spacing w:before="0" w:after="240"/>
        <w:rPr>
          <w:noProof/>
        </w:rPr>
      </w:pPr>
      <w:r>
        <w:rPr>
          <w:noProof/>
        </w:rPr>
        <w:t>Valoarea AMF se bazează pe o estimare preliminară a nevoilor reziduale de finanțare externă ale partenerilor și ține cont de capacitatea lor de autofinanțare prin resurse proprii, în special de rezervele internaționale pe care le au dispoziție, precum și de resursele oferite de FMI și Banca Mondială. Stabilirea valorii asistenței ia în considerare și necesitatea de a asigura o partajare echitabilă a sarcinii între UE și alți donatori, precum și mobilizarea anterioară a celorlalte instrumente de finanțare externă ale UE și valoarea adăugată a implicării UE în general.</w:t>
      </w:r>
    </w:p>
    <w:p>
      <w:pPr>
        <w:keepNext/>
        <w:keepLines/>
        <w:spacing w:before="0" w:after="240"/>
        <w:rPr>
          <w:rFonts w:eastAsia="Times New Roman"/>
          <w:i/>
          <w:iCs/>
          <w:noProof/>
        </w:rPr>
      </w:pPr>
      <w:r>
        <w:rPr>
          <w:i/>
          <w:iCs/>
          <w:noProof/>
        </w:rPr>
        <w:t>Partenerii vizați de politica de extindere</w:t>
      </w:r>
    </w:p>
    <w:p>
      <w:pPr>
        <w:spacing w:before="0" w:after="240"/>
        <w:rPr>
          <w:rFonts w:eastAsia="Times New Roman"/>
          <w:noProof/>
        </w:rPr>
      </w:pPr>
      <w:r>
        <w:rPr>
          <w:b/>
          <w:bCs/>
          <w:noProof/>
        </w:rPr>
        <w:t xml:space="preserve">Albania este deosebit de vulnerabilă la impactul economic al pandemiei din cauza relațiilor sale economice strânse cu unele state membre ale UE puternic afectate, a rolului important al turismului și a nevoilor sale mari de refinanțare. </w:t>
      </w:r>
      <w:r>
        <w:rPr>
          <w:noProof/>
        </w:rPr>
        <w:t xml:space="preserve">Capacitatea limitată a sectorului sănătății și daunele provocate de cutremurul din noiembrie 2019, care au absorbit deja marja de manevră bugetară limitată, agravează situația. În ciuda acestui fapt, guvernul a adoptat rapid măsuri de sprijinire a politicilor care echivalează cu aproximativ 2 % din PIB, în beneficiul întreprinderilor și al gospodăriilor afectate, precum și în beneficiul sectorului sănătății. Conform bugetului revizuit, deficitul bugetar ar urma să atingă 4 % din PIB, iar datoria publică ar putea crește la peste 69 % din PIB în 2020, deși aceste previziuni par optimiste. Instituțiile internaționale estimează că PIB-ul real va scădea cu aproximativ 5 % în acest an. Pe lângă deficitul bugetar, guvernul trebuie să refinanțeze amortizarea datoriei externe în valoare de 545 de milioane EUR (3,8 % din PIB). Aceasta ar fi trebuit inițial să fie parțial acoperită prin emiterea de euro-obligațiuni în valoare de 500-600 de milioane EUR, însă, în condițiile actuale, perspectiva plasării pe piață a unei sume atât de mari pare foarte </w:t>
      </w:r>
      <w:r>
        <w:rPr>
          <w:noProof/>
        </w:rPr>
        <w:lastRenderedPageBreak/>
        <w:t>incertă. Deficitul de finanțare după sprijinul IFR din partea FMI, împrumuturile și granturile acordate de Banca Mondială prin Instrumentul UE de asistență pentru preaderare (IPA) ar putea atinge 2,5 % din PIB sau aproximativ 350 de milioane EUR. În acest context, AMF în valoare de 180 de milioane EUR este justificată.</w:t>
      </w:r>
    </w:p>
    <w:p>
      <w:pPr>
        <w:spacing w:before="240" w:after="240"/>
        <w:rPr>
          <w:rFonts w:eastAsia="Calibri"/>
          <w:noProof/>
        </w:rPr>
      </w:pPr>
      <w:r>
        <w:rPr>
          <w:b/>
          <w:bCs/>
          <w:noProof/>
        </w:rPr>
        <w:t>În Bosnia și Herțegovina, epidemia de COVID-19 a exacerbat semnificativ recesiunea economică deja resimțită</w:t>
      </w:r>
      <w:r>
        <w:rPr>
          <w:noProof/>
        </w:rPr>
        <w:t>, afectând în special transportul și turismul, dar și transferurile de bani efectuate de lucrători care reprezintă aproximativ 5 % din PIB și oferă resurse importante în special pentru gospodăriile cu venituri mai scăzute. Cele mai recente previziuni pentru 2020 indică o scădere a activității economice de aproximativ 10 %, cu o creștere puternică a șomajului. În ciuda unor cifre bugetare globale solide, capacitatea acestei țări de a crea în timp scurt marja de manevră bugetară necesară este foarte limitată. Autoritățile bosniace au solicitat deja finanțare de urgență din partea FMI, în valoare de până la 330 de milioane EUR (aproape 2 % din PIB). Recesiunea economică va duce la o scădere importantă a veniturilor și la o creștere puternică a transferurilor, ceea ce va provoca o creștere masivă a nevoilor de finanțare. Estimările actuale indică un deficit de finanțare persistent de aproximativ 500 de milioane EUR (2,8 % din PIB) în 2020, după contribuțiile din partea FMI (de până la 330 milioane EUR, aproape 2 % din PIB) și a Băncii Mondiale (circa 20 de milioane EUR sau 0,1 % din PIB). Din cauza ratingului de credit scăzut al țării, accesul la piețele financiare internaționale este foarte limitat, în timp ce piețele financiare naționale sunt insuficient dezvoltate pentru a răspunde nevoilor de finanțare rămase. În acest context, AMF în valoare de 250 de milioane EUR este justificată.</w:t>
      </w:r>
    </w:p>
    <w:p>
      <w:pPr>
        <w:spacing w:before="0" w:after="240"/>
        <w:rPr>
          <w:noProof/>
          <w:szCs w:val="24"/>
        </w:rPr>
      </w:pPr>
      <w:r>
        <w:rPr>
          <w:b/>
          <w:bCs/>
          <w:noProof/>
        </w:rPr>
        <w:t xml:space="preserve">Izbucnirea pandemiei de COVID-19 și măsurile de izolare aferente au un impact dramatic asupra economiei din Kosovo, prin perturbarea fluxurilor comerciale și financiare. </w:t>
      </w:r>
      <w:r>
        <w:rPr>
          <w:noProof/>
        </w:rPr>
        <w:t>Transferurile de bani, care reprezintă peste 10 % din PIB, finanțează o parte substanțială a consumului privat, în timp ce exporturile de servicii către diaspora (în principal turismul) atenuează un deficit foarte mare al schimburilor comerciale (peste 40 % din PIB). O altă vulnerabilitate a economiei din Kosovo este sectorul privat fragil, dominat de microîntreprinderi cu rezerve limitate de lichidități. În acest context, se estimează că PIB-ul real se va contracta cu circa 5 % în 2020. În ciuda unor rezultate bugetare globale destul de solide în 2019, marja de manevră bugetară este foarte limitată. Kosovo nu are acces la piețele financiare internaționale (din cauza absenței unui rating de credit) și aproape două treimi din datoria sa totală este deținută de o bază restrânsă de investitori, Fondul pentru securitatea pensiilor din Kosovo și banca centrală reprezentând aproximativ 38 % și, respectiv, 23 % din totalul datoriei. Veniturile publice în scădere accentuată, alături de plățile de bază consistente și măsurile de răspuns la criză constituie un risc de lichiditate acut. FMI estimează că veniturile publice vor scădea cu 50-60 % de la an la an în perioada aprilie-iunie, în timp ce guvernul interimar a aprobat un pachet de măsuri de urgență în valoare de 180 de milioane EUR. Se preconizează că soldul bancar al guvernului, care a scăzut deja sub pragul legal prevăzut de 4,5 % din PIB, va scădea și mai mult, ajungând la 2,5 % din PIB în 2020. Kosovo a solicitat asistență de urgență din partea FMI pentru acoperirea nevoii de lichidități în valoare de 51,6 milioane EUR prin IFR, iar Consiliul director al FMI și-a dat aprobarea la 10 aprilie. Conform proiecțiilor actuale, deficitul de finanțare rezidual este estimat la circa 210 milioane EUR. În acest context, AMF în valoare de 100 de milioane EUR este justificată.</w:t>
      </w:r>
    </w:p>
    <w:p>
      <w:pPr>
        <w:spacing w:before="0" w:after="240"/>
        <w:rPr>
          <w:rFonts w:eastAsia="Times New Roman"/>
          <w:noProof/>
        </w:rPr>
      </w:pPr>
      <w:r>
        <w:rPr>
          <w:b/>
          <w:bCs/>
          <w:noProof/>
        </w:rPr>
        <w:t xml:space="preserve">Muntenegru este deosebit de expus consecințelor recesiunii economice provocate de pandemie, din cauza dependenței sale foarte ridicate de sectorul turismului, precum și a nevoilor ridicate de finanțare externă. </w:t>
      </w:r>
      <w:r>
        <w:rPr>
          <w:noProof/>
        </w:rPr>
        <w:t xml:space="preserve">În 2020, Muntenegru se confruntă cu o recesiune profundă, instituțiile internaționale estimând o contracție reală a economiei de până la 9 %. Turismul, unul dintre cele mai afectate sectoare, reprezintă mai mult de 20 % din PIB și este o </w:t>
      </w:r>
      <w:r>
        <w:rPr>
          <w:noProof/>
        </w:rPr>
        <w:lastRenderedPageBreak/>
        <w:t>sursă esențială pentru schimbul valutar, ocuparea forței de muncă și veniturile bugetare. Cu toate acestea, măsurile de ținere sub control a coronavirusului au provocat o înghețare a turismului și a călătoriilor, într-un moment în care aceste activități erau pe punctul de a intra în sezonul de vârf. În pofida unei marje de manevră bugetară limitate, guvernul a adoptat rapid măsuri de sprijinire a politicilor de aproximativ 2 % din PIB, pentru a ajuta economia să facă față consecințelor pandemiei. Măsurile se referă în special la amânarea plății impozitelor și a contribuțiilor sociale, la un moratoriu privind rambursările împrumuturilor și plata chiriei pentru proprietățile deținute de stat, precum și la subvențiile pentru întreprinderi și lucrători. Conform estimărilor preliminare ale Ministerului Finanțelor, deficitul bugetar va crește la peste 7 % din PIB, iar datoria publică va spori cu încă 2,6 puncte procentuale (pp) până la 82 % din PIB în 2020, atingând cel mai ridicat nivel din regiune. Deficitul de finanțare după împrumuturile acordate de FMI și Banca Mondială și granturile acordate de UE ar putea ajunge la aproximativ 120 de milioane EUR. În acest context, AMF în valoare de 60 de milioane EUR este justificată.</w:t>
      </w:r>
    </w:p>
    <w:p>
      <w:pPr>
        <w:spacing w:before="0" w:after="240"/>
        <w:rPr>
          <w:noProof/>
        </w:rPr>
      </w:pPr>
      <w:r>
        <w:rPr>
          <w:b/>
          <w:bCs/>
          <w:noProof/>
        </w:rPr>
        <w:t>În Macedonia de Nord, economia este puternic perturbată, deoarece măsurile extinse de izolare socială au un impact major asupra producției și asupra ocupării forței de muncă, iar activitățile de comerț exterior sunt grav afectate.</w:t>
      </w:r>
      <w:r>
        <w:rPr>
          <w:noProof/>
        </w:rPr>
        <w:t xml:space="preserve"> Previziunile actuale indică o scădere a PIB-ului real de aproximativ 4 % în 2020. Guvernul a luat în timp util măsuri îndrăznețe pentru a sprijini lichiditatea IMM-urilor și locurile de muncă în lunile aprilie și mai în sectoarele cele mai afectate. Totuși, marja de manevră bugetară pentru a face față consecințelor socioeconomice ale crizei este limitată. În cel mai bun caz, guvernul preconizează un deficit de venituri de 20 % în 2020, în comparație cu bugetul inițial, și a planificat o realocare a cheltuielilor fără mărirea plafonului. Pe baza PIB-ului din 2019, aceasta ar implica un deficit de aproximativ 8 %. Se preconizează că transferurile private din străinătate, inclusiv transferurile de fonduri ale lucrătorilor, precum și fluxurile de investiții străine directe din exterior vor scădea semnificativ, reducând gradul de acoperire a rezervelor. În plus, în perioada 2020-2021, guvernul, precum și întreprinderile publice, se confruntă cu nevoi de refinanțare interne și externe deosebit de ridicate, în valoare totală de 1,65 miliarde EUR (aproximativ 7,3 % din PIB-ul anului 2019 în fiecare dintre cei doi ani).</w:t>
      </w:r>
      <w:r>
        <w:rPr>
          <w:noProof/>
          <w:color w:val="000000"/>
        </w:rPr>
        <w:t xml:space="preserve"> Acestea includ amortizarea euro-obligațiunilor în valoare de 500 de milioane EUR din 2014, a anumitor părți ale euro-obligațiunilor din 2015 și a garanției bazate pe politici a Băncii Mondiale din 2013, precum și rambursarea unor împrumuturi comerciale externe de mari dimensiuni ale întreprinderii de stat pentru drumuri publice, care este însărcinată cu implementarea infrastructurilor majore de transport rutier. Guvernul a solicitat asistență din partea FMI prin intermediul IFR în valoare de 177 milioane EUR, precum și un împrumut de la Banca Mondială. Potrivit estimărilor actuale, va rămâne în continuare un deficit de finanțare de circa 330 de milioane EUR chiar și după granturile furnizate de FMI, Banca Mondială și UE.</w:t>
      </w:r>
      <w:r>
        <w:rPr>
          <w:noProof/>
        </w:rPr>
        <w:t xml:space="preserve"> În acest context, AMF în valoare de 160 de milioane EUR este justificată.</w:t>
      </w:r>
    </w:p>
    <w:p>
      <w:pPr>
        <w:keepNext/>
        <w:keepLines/>
        <w:spacing w:before="0" w:after="240"/>
        <w:rPr>
          <w:i/>
          <w:iCs/>
          <w:noProof/>
        </w:rPr>
      </w:pPr>
      <w:r>
        <w:rPr>
          <w:i/>
          <w:iCs/>
          <w:noProof/>
        </w:rPr>
        <w:t>Vecinătatea estică</w:t>
      </w:r>
    </w:p>
    <w:p>
      <w:pPr>
        <w:spacing w:before="0" w:after="240"/>
        <w:rPr>
          <w:noProof/>
        </w:rPr>
      </w:pPr>
      <w:r>
        <w:rPr>
          <w:b/>
          <w:bCs/>
          <w:noProof/>
        </w:rPr>
        <w:t xml:space="preserve">Georgia urmează să intre într-o recesiune profundă în acest an, pe fondul nevoilor de finanțare din ce în ce mai mari. </w:t>
      </w:r>
      <w:r>
        <w:rPr>
          <w:noProof/>
        </w:rPr>
        <w:t xml:space="preserve">Economia Georgiei este puternic afectată de criza provocată de coronavirus. Estimările recente care iau în calcul impactul virusului sugerează o contracție economică de aproximativ 4 % în 2020. Din cauza costurilor măsurilor de atenuare a impactului crizei, a creșterii cheltuielilor cu asistența medicală și a scăderii veniturilor, se preconizează că în 2020 deficitul bugetar va crește la aproximativ 8 % din PIB. Balanța de plăți a Georgiei se va deteriora și din cauza veniturilor mai scăzute provenite din exportul de servicii (în special din turism), a fluxului mai redus de transferuri de bani din exterior, a fluxului probabil mai scăzut de ISD și a unui flux de capital de portofoliu înspre exterior. </w:t>
      </w:r>
      <w:r>
        <w:rPr>
          <w:noProof/>
        </w:rPr>
        <w:lastRenderedPageBreak/>
        <w:t xml:space="preserve">Deficitul de finanțare externă este estimat provizoriu de FMI la aproximativ 1,6 miliarde USD în 2020-2021, iar Georgia va avea nevoie de asistență din partea partenerilor internaționali pentru a acoperi acest deficit. La 14 aprilie, autoritățile au încheiat cu FMI un acord la nivel tehnic pentru extinderea actualului program din cadrul mecanismului de finanțare extinsă (plătit aproape în întregime) cu aproximativ 375 de milioane USD, dintre care 308 milioane USD urmează să fie plătiți în 2020. Sunt în curs de desfășurare negocieri cu Banca Mondială, ADB, AFD, KfW și BEI pentru creșterea împrumuturilor bazate pe politici. Georgia are un program de asistență macrofinanciară în curs, cu o tranșă finală de 25 de milioane EUR, care se preconizează că va fi plătită în al doilea trimestru al anului 2020, cu condiția implementării condițiilor de politică agreate; cele mai multe dintre ele au fost deja îndeplinite. Per ansamblu, pe baza informațiilor actuale, rămâne de completat aproximativ 900 de milioane USD din deficitul de finanțare estimat pentru acest an. Întrucât există perspective pozitive și pentru contribuțiile altor creditori, se justifică un nou program de asistență macrofinanciară în valoare de 150 de milioane EUR. </w:t>
      </w:r>
    </w:p>
    <w:p>
      <w:pPr>
        <w:spacing w:after="240"/>
        <w:rPr>
          <w:noProof/>
          <w:sz w:val="22"/>
        </w:rPr>
      </w:pPr>
      <w:r>
        <w:rPr>
          <w:b/>
          <w:bCs/>
          <w:noProof/>
        </w:rPr>
        <w:t>Impactul măsurilor de stopare a răspândirii virusului COVID-19 și a efectelor recesiunii mondiale va afecta puternic economia Republicii Moldova (denumită în continuare „Moldova”) în 2020.</w:t>
      </w:r>
      <w:r>
        <w:rPr>
          <w:noProof/>
        </w:rPr>
        <w:t xml:space="preserve"> Principalele canale de transmitere a crizei sunt transferurile de fonduri (care reprezintă 15 % din PIB în Moldova) și comerțul cu țările afectate de criză, în special statele membre ale UE. Se preconizează că economia Moldovei va intra în recesiune în 2020, în timp ce balanța de plăți și finanțele publice vor fi supuse unei presiuni puternice din cauza crizei. Deficitul de finanțare externă este estimat provizoriu la 800 de milioane USD (aproximativ 7 % din PIB) în 2020, iar deficitul de finanțare bugetară este estimat la 10,5 miliarde MDL (aproximativ 550 de milioane USD). Moldova dispune de o oarecare marjă de manevră politică pentru a contracara șocurile, deoarece atât datoria publică, cât și rezervele internaționale au fost pe o traiectorie pozitivă în ultimii ani, fiind sprijinite de un program FMI EFF/ECF cu o durată de trei ani, însă nu pentru mult timp și în mod clar cu anumite limite. FMI este pregătit să furnizeze Moldovei sprijin de urgență în valoare de aproximativ 240 de milioane USD (220 de milioane EUR) pentru a atenua efectele economice ale crizei COVID-19. Moldova beneficiază de un program de asistență macrofinanciară în curs în cadrul căruia pot fi plătite a doua și a treia tranșă în valoare totală de 70 de milioane EUR, dacă sunt îndeplinite condițiile înainte de expirarea programului, în iulie 2020. În plus, creditele deja anunțate din partea Rusiei, în valoare de 200 de milioane EUR pentru 2020, care au vizat în principal investițiile în infrastructură, ar putea fi realocate pentru ca țara să poată face față efectelor crizei. Cu toate acestea, având în vedere accesul limitat la piețele internaționale de capital, Moldova ar avea nevoie de asistență suplimentară pentru acoperirea deficitului de finanțare externă. În acest context, un nou program de AMF în valoare de 100 de milioane EUR este justificat.</w:t>
      </w:r>
    </w:p>
    <w:p>
      <w:pPr>
        <w:spacing w:before="0" w:after="240"/>
        <w:rPr>
          <w:noProof/>
          <w:szCs w:val="24"/>
        </w:rPr>
      </w:pPr>
      <w:r>
        <w:rPr>
          <w:b/>
          <w:bCs/>
          <w:noProof/>
        </w:rPr>
        <w:t>În Ucraina, stabilitatea macrofinanciară a fost supusă unor noi presiuni în acest an, în special după remanierea guvernamentală bruscă de la începutul lunii martie, care a coincis cu declanșarea crizei mondiale cauzate de epidemia de coronavirus.</w:t>
      </w:r>
      <w:r>
        <w:rPr>
          <w:noProof/>
        </w:rPr>
        <w:t xml:space="preserve"> Condițiile de pe piața financiară s-au deteriorat puternic la jumătatea lunii martie, când randamentele euro-obligațiunilor aproape s-au triplat, înainte de a se stabiliza la aproximativ 8 %, de la 4,4 % la sfârșitul lunii ianuarie. Efectul negativ asupra încrederii, alimentat de așteptările legate de o contracție profundă (previziunile variind în acest sens de la 4 % la 9 % în 2020) a dus la creșterea cererii de monedă străină. Banca Națională a Ucrainei a trebuit să vândă echivalentul a 2,2 miliarde USD în a doua jumătate a lunii martie, reducându-și astfel rezervele internaționale oficiale cu peste 8 % față de cele 27 miliarde USD raportate la sfârșitul lunii februarie 2020. Bugetul revizuit pe 2020, adoptat de parlament la 13 aprilie, prevede un fond „coronavirus" de 2,5 miliarde EUR destinat măsurilor imediate necesare </w:t>
      </w:r>
      <w:r>
        <w:rPr>
          <w:noProof/>
        </w:rPr>
        <w:lastRenderedPageBreak/>
        <w:t>pentru combaterea răspândirii COVID-19. Având în vedere deteriorarea preconizată a situației finanțelor publice cauzată de recesiune și cheltuielile suplimentare legate de criză, deficitul bugetar global pentru 2020 a fost revizuit la 7,5 % din PIB sau echivalentul a 11 miliarde USD. În timp ce o parte din deficitul bugetar poate fi finanțat pe plan intern, guvernul mai are de efectuat plăți aferente rambursării datoriei externe în valoare de 5 miliarde USD scadente în 2020. FMI estimează că deficitul global de finanțare externă este de aproximativ 12 miliarde USD în 2020. În acest context, FMI a aprobat creșterea valorii programului său pe trei ani recent negociat de la 5,5 miliarde USD la 10 miliarde USD, din care 3,5 miliarde USD ar urma să fie puse la dispoziție în acest an. Alături de un împrumut din partea Băncii Mondiale și de tranșa rămasă de 500 de milioane EUR din cadrul actualului program de asistență macrofinanciară al UE, pentru care condițiile au fost îndeplinite și care urmează să fie plătită în al doilea trimestru al anului 2020 (imediat ce acțiunile anterioare pentru noul program FMI vor fi fost implementate), este disponibilă o finanțare de aproximativ 5 miliarde USD. Deficitul rămas de 12 miliarde USD ar trebui acoperit prin finanțare oficială suplimentară sau prin utilizarea unor rezerve internaționale oficiale. În acest context, se justifică un nou program de asistență macrofinanciară cu un pachet financiar total de 1,2 miliarde EUR.</w:t>
      </w:r>
    </w:p>
    <w:p>
      <w:pPr>
        <w:keepNext/>
        <w:keepLines/>
        <w:spacing w:before="0" w:after="240"/>
        <w:rPr>
          <w:i/>
          <w:iCs/>
          <w:noProof/>
        </w:rPr>
      </w:pPr>
      <w:r>
        <w:rPr>
          <w:i/>
          <w:iCs/>
          <w:noProof/>
        </w:rPr>
        <w:t>Vecinătatea sudică</w:t>
      </w:r>
    </w:p>
    <w:p>
      <w:pPr>
        <w:spacing w:before="0" w:after="240"/>
        <w:rPr>
          <w:noProof/>
          <w:szCs w:val="24"/>
        </w:rPr>
      </w:pPr>
      <w:r>
        <w:rPr>
          <w:b/>
          <w:bCs/>
          <w:noProof/>
        </w:rPr>
        <w:t>Recesiunea nu poate fi evitată în Iordania, deoarece balanța de plăți este supusă unor presiuni din ce în ce mai mari, fapt ce reflectă marja de manevră politică limitată a acestei țări.</w:t>
      </w:r>
      <w:r>
        <w:rPr>
          <w:noProof/>
        </w:rPr>
        <w:t xml:space="preserve"> Se preconizează că epidemia de coronavirus va avea un impact semnificativ asupra economiei iordaniene prin efectele sale de perturbare a fluxurilor comerciale, a lanțurilor valorice globale și a turismului. Din cauza marjei bugetare limitate, Iordania a mobilizat până în prezent în principal măsuri de politică monetară, pentru a limita daunele asupra economiei. Cu toate acestea, în condițiile izolării generalizate, eficacitatea unor astfel de măsuri este redusă. În 2020, economia se va confrunta probabil cu o recesiune care va avea consecințe grave pentru nivelul deja ridicat al șomajului (de aproximativ 19 % la sfârșitul anului 2019). Se preconizează că deficitul bugetar va crește la peste 5 % din PIB, în special pe fondul unei scăderi preconizate a veniturilor fiscale. Prin urmare, datoria publică brută va depăși probabil 100 % din PIB în 2020. Asigurarea unor împrumuturi preferențiale pentru finanțarea deficitului bugetar va fi esențială pentru menținerea la un nivel scăzut a ratei dobânzii și sprijinirea sustenabilității datoriei. Chiar și înainte de izbucnirea epidemiei de coronavirus, Iordania se confrunta cu nevoi de finanțare externă semnificative. În acest context, UE a adoptat o operațiune de asistență macrofinanciară în valoare de 500 de milioane EUR în ianuarie 2020. Odată cu criza generată de epidemia de COVID-19, aceste nevoi au crescut și mai mult. Se estimează că actualul deficit de cont curent va crește ca urmare a declinului semnificativ al turismului, iar creșterea considerabilă a ratelor dobânzilor cu care se confruntă economiile emergente pe piețele financiare ar putea pune în pericol reînnoirea euro-obligațiunilor în valoare de 1,25 miliarde USD care ajung la maturitate în octombrie 2020. Pe baza actualelor informații, rămâne de completat 1,5 miliarde EUR din deficitul de finanțare estimat pentru acest an și se justifică un sprijin suplimentar sub formă de asistență </w:t>
      </w:r>
      <w:r>
        <w:rPr>
          <w:noProof/>
        </w:rPr>
        <w:lastRenderedPageBreak/>
        <w:t>macrofinanciară în valoare de 200 de milioane EUR. Această sumă va fi combinată cu actualul program de asistență macrofinanciară în valoare totală de 700 de milioane EUR</w:t>
      </w:r>
      <w:r>
        <w:rPr>
          <w:rStyle w:val="FootnoteReference"/>
          <w:noProof/>
        </w:rPr>
        <w:footnoteReference w:id="3"/>
      </w:r>
      <w:r>
        <w:rPr>
          <w:noProof/>
        </w:rPr>
        <w:t xml:space="preserve">. </w:t>
      </w:r>
    </w:p>
    <w:p>
      <w:pPr>
        <w:spacing w:before="0" w:after="240"/>
        <w:rPr>
          <w:noProof/>
          <w:szCs w:val="24"/>
        </w:rPr>
      </w:pPr>
      <w:r>
        <w:rPr>
          <w:b/>
          <w:bCs/>
          <w:noProof/>
        </w:rPr>
        <w:t>Nevoile considerabile de finanțare ale Tunisiei necesită sprijin internațional pe fondul unei crize economice tot mai accentuate.</w:t>
      </w:r>
      <w:r>
        <w:rPr>
          <w:noProof/>
        </w:rPr>
        <w:t xml:space="preserve"> Tunisia va intra probabil în recesiune în 2020, având în vedere că activitatea economică va fi afectată în mod semnificativ de scăderea cererii la nivel mondial și de efectul măsurilor de izolare introduse la jumătatea lunii martie pentru a opri răspândirea coronavirusului. Deși au fost adoptate măsuri monetare și bugetare pentru a atenua impactul economic al crizei, dezechilibrele macroeconomice persistă, marja de manevră politică rămâne limitată, iar nevoile de finanțare externă vor crește după cât se pare în cursul anului. Încetinirea creșterii economice va exercita o presiune puternică asupra ocupării forței de muncă și asupra stabilității sociale. Ea va duce, de asemenea, la o deteriorare gravă a bugetului, la reducerea veniturilor și crearea unei presiuni suplimentare asupra cheltuielilor pentru sprijinirea economiei și a sistemului de sănătate. În consecință, este probabil ca deficitul bugetar să se accentueze semnificativ, iar datoria publică să crească în 2020. Guvernul se așteaptă la un deficit bugetar mai mare decât cel preconizat (la 4,3 % din PIB), pentru care ar trebui să fie mobilizată o finanțare externă suplimentară de aproximativ 1 miliard USD (sau 2,6 % din PIB). Nevoile în ceea ce privește balanța de plăți vor fi chiar mai mari (aproximativ 4,7 % din PIB), având în vedere impactul preconizat al pandemiei asupra sectorului privat și asupra accesului acestuia la finanțare externă. Scăderea puternică a transferurilor de fonduri din străinătate și a turismului (peste 7 % din PIB), în ciuda scăderii prețurilor la petrol, va conduce, de asemenea, la o scădere a veniturilor din schimburi valutare. Cel mai probabil, guvernul nu va fi în măsură să își acopere nevoile de finanțare de pe piețele interne și internaționale în 2020 și a solicitat asistență de urgență în valoare de 753 de milioane USD (100 % din cotă) din partea FMI. Guvernul are nevoie de finanțarea externă de aproximativ 3,5 miliarde USD în acest an, vârfurile de rambursare din lunile aprilie și iunie creând presiune asupra lichidității. În plus, nevoile de finanțare ar urma să crească și mai mult, ca urmare a măsurilor luate pentru combaterea COVID-19 și a impactului lor bugetar, în timp ce accesul la piețele financiare va rămâne foarte dificil în cursul anului, iar emisiunea prevăzută pe piață, în valoare de 1,1 miliarde USD, nu mai poate fi considerată de la sine înțeleasă. Pe baza actualelor informații, rămâne de completat aproximativ 2,5 miliarde EUR din deficitul de finanțare estimat pentru acest an și se justifică un program de asistență macrofinanciară în valoare de 600 de milioane EUR. </w:t>
      </w:r>
    </w:p>
    <w:p>
      <w:pPr>
        <w:pStyle w:val="ManualHeading2"/>
        <w:spacing w:before="0" w:after="240"/>
        <w:rPr>
          <w:rFonts w:eastAsia="Arial Unicode MS"/>
          <w:noProof/>
          <w:color w:val="000000" w:themeColor="text1"/>
        </w:rPr>
      </w:pPr>
      <w:r>
        <w:rPr>
          <w:noProof/>
          <w:color w:val="000000"/>
          <w:bdr w:val="nil"/>
        </w:rPr>
        <w:t>•</w:t>
      </w:r>
      <w:r>
        <w:rPr>
          <w:noProof/>
        </w:rPr>
        <w:tab/>
        <w:t>Coerența cu dispozițiile existente în domeniul de politică vizat</w:t>
      </w:r>
    </w:p>
    <w:p>
      <w:pPr>
        <w:spacing w:before="0" w:after="240"/>
        <w:rPr>
          <w:noProof/>
          <w:szCs w:val="24"/>
        </w:rPr>
      </w:pPr>
      <w:r>
        <w:rPr>
          <w:noProof/>
        </w:rPr>
        <w:t xml:space="preserve">Operațiunea de asistență macrofinanciară propusă are loc în condiții foarte speciale de extremă urgență legate de pandemia mondială de coronavirus. AMF propusă este în concordanță cu angajamentul UE de a sprijini partenerii vizați de politica de extindere și de vecinătate pentru a-i ajuta să facă față dificultăților economice imediate. Totodată, asistența este compatibilă cu principiile care guvernează utilizarea instrumentului de asistență macrofinanciară, inclusiv caracterul său excepțional, condițiile politice prealabile, complementaritatea, condiționalitatea și disciplina financiară. Comisia va continua să monitorizeze și să evalueze pe parcursul operațiunilor AMF îndeplinirea acestor criterii, </w:t>
      </w:r>
      <w:r>
        <w:rPr>
          <w:noProof/>
        </w:rPr>
        <w:lastRenderedPageBreak/>
        <w:t>inclusiv evaluarea condițiilor politice prealabile, în strânsă colaborare cu Serviciul European de Acțiune Externă.</w:t>
      </w:r>
    </w:p>
    <w:p>
      <w:pPr>
        <w:spacing w:before="0" w:after="240"/>
        <w:rPr>
          <w:noProof/>
          <w:szCs w:val="24"/>
        </w:rPr>
      </w:pPr>
      <w:r>
        <w:rPr>
          <w:noProof/>
        </w:rPr>
        <w:t>În procesul de implementare a asistenței, Comisia va asigura coerența cu operațiunile de asistență macrofinanciară recente și în curs de desfășurare, în special cele care intră sub incidența următoarelor decizii privind asistența macrofinanciară:</w:t>
      </w:r>
    </w:p>
    <w:p>
      <w:pPr>
        <w:pStyle w:val="Bullet1"/>
        <w:numPr>
          <w:ilvl w:val="0"/>
          <w:numId w:val="30"/>
        </w:numPr>
        <w:rPr>
          <w:noProof/>
        </w:rPr>
      </w:pPr>
      <w:r>
        <w:rPr>
          <w:noProof/>
        </w:rPr>
        <w:t>Decizia (UE) 2016/1112 a Parlamentului European și a Consiliului din 6 iulie 2016 de acordare a unei asistențe macrofinanciare suplimentare Tunisiei;</w:t>
      </w:r>
    </w:p>
    <w:p>
      <w:pPr>
        <w:pStyle w:val="Bullet1"/>
        <w:rPr>
          <w:noProof/>
        </w:rPr>
      </w:pPr>
      <w:r>
        <w:rPr>
          <w:noProof/>
        </w:rPr>
        <w:t>Decizia (UE) 2017/1565 a Parlamentului European și a Consiliului din 13 septembrie 2017 privind acordarea unei asistențe macrofinanciare Republicii Moldova;</w:t>
      </w:r>
    </w:p>
    <w:p>
      <w:pPr>
        <w:pStyle w:val="Bullet1"/>
        <w:rPr>
          <w:noProof/>
        </w:rPr>
      </w:pPr>
      <w:r>
        <w:rPr>
          <w:noProof/>
        </w:rPr>
        <w:t>Decizia (UE) 2018/598 a Parlamentului European și a Consiliului din 18 aprilie 2018 de acordare a unei asistențe macrofinanciare suplimentare Georgiei;</w:t>
      </w:r>
    </w:p>
    <w:p>
      <w:pPr>
        <w:pStyle w:val="Bullet1"/>
        <w:rPr>
          <w:noProof/>
        </w:rPr>
      </w:pPr>
      <w:r>
        <w:rPr>
          <w:noProof/>
        </w:rPr>
        <w:t>Decizia (UE) 2018/947 a Parlamentului European și a Consiliului din 4 iulie 2018 de acordare a unei asistențe macrofinanciare suplimentare Ucrainei;</w:t>
      </w:r>
    </w:p>
    <w:p>
      <w:pPr>
        <w:pStyle w:val="Bullet1"/>
        <w:rPr>
          <w:noProof/>
        </w:rPr>
      </w:pPr>
      <w:r>
        <w:rPr>
          <w:noProof/>
        </w:rPr>
        <w:t>Decizia (UE) 2020/33 a Parlamentului European și a Consiliului din 15 ianuarie 2020 de acordare a unei noi asistențe macrofinanciare pentru Regatul Hașemit al Iordaniei</w:t>
      </w:r>
    </w:p>
    <w:p>
      <w:pPr>
        <w:pStyle w:val="ManualHeading2"/>
        <w:spacing w:before="0" w:after="240"/>
        <w:rPr>
          <w:rFonts w:eastAsia="Arial Unicode MS"/>
          <w:noProof/>
        </w:rPr>
      </w:pPr>
      <w:r>
        <w:rPr>
          <w:noProof/>
          <w:color w:val="000000"/>
          <w:bdr w:val="nil"/>
        </w:rPr>
        <w:t>•</w:t>
      </w:r>
      <w:r>
        <w:rPr>
          <w:noProof/>
        </w:rPr>
        <w:tab/>
        <w:t>Coerența cu alte politici ale Uniunii</w:t>
      </w:r>
    </w:p>
    <w:p>
      <w:pPr>
        <w:spacing w:before="0" w:after="240"/>
        <w:rPr>
          <w:noProof/>
        </w:rPr>
      </w:pPr>
      <w:r>
        <w:rPr>
          <w:noProof/>
        </w:rPr>
        <w:t xml:space="preserve">UE mobilizează toate instrumentele disponibile și desfășoară o coordonare strânsă cu statele membre, precum și cu instituțiile financiare europene, pentru a asigura o reacție externă eficientă la criza COVID-19, sub deviza „Team Europe”. Asistența macrofinanciară din partea UE se înscrie în această abordare dedicată regiunilor vizate de politica de extindere și de vecinătate și completează finanțarea totală de 3,87 miliarde EUR sub formă de granturi mobilizată în cadrul Instrumentului de asistență pentru preaderare și al Instrumentului european de vecinătate, inclusiv finanțarea mixtă și contribuțiile la instrumentele financiare prin intermediul Platformei de investiții pentru politica de vecinătate și al Forumului de investiții pentru Balcanii de Vest. În plus, împrumuturile pentru investiții în sectorul public și în cel privat vor continua să fie acordate în temeiul mandatului de acordare a împrumuturilor externe al Băncii Europene de Investiții. Regiunile din vecinătate vor beneficia, de asemenea, de programe de investiții susținute de garanții în valoare de 0,5 miliarde EUR din Fondul european pentru dezvoltare durabilă, reorientate în principal către finanțarea IMM-urilor. </w:t>
      </w:r>
    </w:p>
    <w:p>
      <w:pPr>
        <w:tabs>
          <w:tab w:val="left" w:pos="719"/>
        </w:tabs>
        <w:spacing w:before="0" w:after="240"/>
        <w:rPr>
          <w:noProof/>
        </w:rPr>
      </w:pPr>
      <w:r>
        <w:rPr>
          <w:noProof/>
        </w:rPr>
        <w:t xml:space="preserve">Prin sprijinul acordat adoptării de către autorități a unui cadru corespunzător pentru politica macroeconomică pe termen scurt și reformele structurale, asistența macrofinanciară din partea UE ar consolida valoarea adăugată a implicării globale a UE și ar spori eficacitatea intervenției globale a UE și prin alte instrumente financiare. </w:t>
      </w:r>
    </w:p>
    <w:p>
      <w:pPr>
        <w:pStyle w:val="ManualHeading1"/>
        <w:spacing w:before="0" w:after="240"/>
        <w:rPr>
          <w:noProof/>
        </w:rPr>
      </w:pPr>
      <w:r>
        <w:rPr>
          <w:noProof/>
        </w:rPr>
        <w:t>2.</w:t>
      </w:r>
      <w:r>
        <w:rPr>
          <w:noProof/>
        </w:rPr>
        <w:tab/>
        <w:t>TEMEI JURIDIC, SUBSIDIARITATE ȘI PROPORȚIONALITATE</w:t>
      </w:r>
    </w:p>
    <w:p>
      <w:pPr>
        <w:pStyle w:val="ManualHeading2"/>
        <w:spacing w:before="0" w:after="240"/>
        <w:rPr>
          <w:rFonts w:eastAsia="Arial Unicode MS"/>
          <w:noProof/>
        </w:rPr>
      </w:pPr>
      <w:r>
        <w:rPr>
          <w:noProof/>
          <w:bdr w:val="nil"/>
        </w:rPr>
        <w:t>•</w:t>
      </w:r>
      <w:r>
        <w:rPr>
          <w:noProof/>
        </w:rPr>
        <w:tab/>
      </w:r>
      <w:r>
        <w:rPr>
          <w:noProof/>
          <w:bdr w:val="nil"/>
        </w:rPr>
        <w:t>Temei juridic</w:t>
      </w:r>
    </w:p>
    <w:p>
      <w:pPr>
        <w:tabs>
          <w:tab w:val="left" w:pos="719"/>
        </w:tabs>
        <w:spacing w:before="0" w:after="240"/>
        <w:rPr>
          <w:noProof/>
        </w:rPr>
      </w:pPr>
      <w:r>
        <w:rPr>
          <w:noProof/>
        </w:rPr>
        <w:t xml:space="preserve">Temeiul juridic al prezentei propuneri este articolul 212 din TFUE. În situația actuală de urgență, prezenta propunere ar putea să se bazeze, de asemenea, pe articolul 213 din TFUE. Cu toate acestea, Comisia a decis să o prezinte în temeiul articolului 212 din TFUE pentru a urma procedura legislativă ordinară, cu implicarea deplină a Parlamentului European. </w:t>
      </w:r>
      <w:r>
        <w:rPr>
          <w:noProof/>
        </w:rPr>
        <w:lastRenderedPageBreak/>
        <w:t>Comisia contează pe cooperarea dintre Parlamentul European și Consiliu în vederea adoptării rapide.</w:t>
      </w:r>
    </w:p>
    <w:p>
      <w:pPr>
        <w:pStyle w:val="ManualHeading2"/>
        <w:spacing w:before="0" w:after="240"/>
        <w:rPr>
          <w:rFonts w:eastAsia="Arial Unicode MS"/>
          <w:noProof/>
        </w:rPr>
      </w:pPr>
      <w:r>
        <w:rPr>
          <w:noProof/>
          <w:bdr w:val="nil"/>
        </w:rPr>
        <w:t>•</w:t>
      </w:r>
      <w:r>
        <w:rPr>
          <w:noProof/>
        </w:rPr>
        <w:tab/>
      </w:r>
      <w:r>
        <w:rPr>
          <w:noProof/>
          <w:bdr w:val="nil"/>
        </w:rPr>
        <w:t xml:space="preserve">Subsidiaritate (în cazul competențelor neexclusive) </w:t>
      </w:r>
    </w:p>
    <w:p>
      <w:pPr>
        <w:tabs>
          <w:tab w:val="left" w:pos="719"/>
        </w:tabs>
        <w:spacing w:before="0" w:after="240"/>
        <w:rPr>
          <w:noProof/>
        </w:rPr>
      </w:pPr>
      <w:r>
        <w:rPr>
          <w:noProof/>
        </w:rPr>
        <w:t xml:space="preserve">Propunerea nu intră în sfera unei competențe exclusive a UE. Principiul subsidiarității se aplică în măsura în care obiectivul restabilirii stabilității macroeconomice pe termen scurt a beneficiarului nu poate fi realizat în mod satisfăcător de către statele membre și, prin urmare, poate fi realizat mai bine de către Uniunea Europeană. Principalele motive sunt anvergura mai mare și facilitarea coordonării donatorilor pentru asigurarea eficacității maxime a asistenței. </w:t>
      </w:r>
    </w:p>
    <w:p>
      <w:pPr>
        <w:pStyle w:val="ManualHeading2"/>
        <w:spacing w:before="0" w:after="240"/>
        <w:rPr>
          <w:rFonts w:eastAsia="Arial Unicode MS"/>
          <w:noProof/>
        </w:rPr>
      </w:pPr>
      <w:r>
        <w:rPr>
          <w:noProof/>
          <w:bdr w:val="nil"/>
        </w:rPr>
        <w:t>•</w:t>
      </w:r>
      <w:r>
        <w:rPr>
          <w:noProof/>
        </w:rPr>
        <w:tab/>
      </w:r>
      <w:r>
        <w:rPr>
          <w:noProof/>
          <w:bdr w:val="nil"/>
        </w:rPr>
        <w:t>Proporționalitate</w:t>
      </w:r>
    </w:p>
    <w:p>
      <w:pPr>
        <w:tabs>
          <w:tab w:val="left" w:pos="719"/>
        </w:tabs>
        <w:spacing w:before="0" w:after="240"/>
        <w:rPr>
          <w:noProof/>
        </w:rPr>
      </w:pPr>
      <w:r>
        <w:rPr>
          <w:noProof/>
        </w:rPr>
        <w:t xml:space="preserve">Propunerea respectă principiul proporționalității: ea se limitează la minimul necesar pentru a atinge obiectivul stabilității macroeconomice pe termen scurt prin reducerea riscului eventual de neplată și nu depășește ceea ce este necesar în acest scop. </w:t>
      </w:r>
    </w:p>
    <w:p>
      <w:pPr>
        <w:tabs>
          <w:tab w:val="left" w:pos="719"/>
        </w:tabs>
        <w:spacing w:before="0" w:after="240"/>
        <w:rPr>
          <w:noProof/>
        </w:rPr>
      </w:pPr>
      <w:r>
        <w:rPr>
          <w:noProof/>
        </w:rPr>
        <w:t>Având în vedere dimensiunea nevoilor de finanțare externă ale beneficiarului în 2020 și 2021, cuantumul asistenței va corespunde unei părți relativ limitate a acestor nevoi. Având în vedere asistența promisă beneficiarilor de către alți donatori și creditori bilaterali și multilaterali, pentru UE acesta este considerat un nivel adecvat de repartizare a contribuțiilor.</w:t>
      </w:r>
    </w:p>
    <w:p>
      <w:pPr>
        <w:pStyle w:val="ManualHeading2"/>
        <w:spacing w:before="0" w:after="240"/>
        <w:rPr>
          <w:rFonts w:eastAsia="Arial Unicode MS"/>
          <w:noProof/>
        </w:rPr>
      </w:pPr>
      <w:r>
        <w:rPr>
          <w:noProof/>
          <w:bdr w:val="nil"/>
        </w:rPr>
        <w:t>•</w:t>
      </w:r>
      <w:r>
        <w:rPr>
          <w:noProof/>
        </w:rPr>
        <w:tab/>
      </w:r>
      <w:r>
        <w:rPr>
          <w:noProof/>
          <w:bdr w:val="nil"/>
        </w:rPr>
        <w:t>Alegerea instrumentului</w:t>
      </w:r>
    </w:p>
    <w:p>
      <w:pPr>
        <w:tabs>
          <w:tab w:val="left" w:pos="719"/>
        </w:tabs>
        <w:spacing w:before="0" w:after="240"/>
        <w:rPr>
          <w:rFonts w:eastAsia="Arial Unicode MS"/>
          <w:noProof/>
        </w:rPr>
      </w:pPr>
      <w:r>
        <w:rPr>
          <w:noProof/>
        </w:rPr>
        <w:t xml:space="preserve">Finanțarea de proiecte sau asistența tehnică nu ar fi o soluție adecvată sau suficientă pentru atingerea acestor obiective macroeconomice. Principala valoare adăugată a asistenței macrofinanciare comparativ cu alte instrumente ale UE ar fi implementarea rapidă a acesteia pentru a reduce constrângerile financiare externe imediate ale beneficiarilor, dar și pentru a contribui la crearea unui cadru macroeconomic stabil, inclusiv prin promovarea unei balanțe de plăți și a unei situații bugetare sustenabile, și a unui cadru adecvat pentru reformele structurale. Prin contribuția la instituirea unui cadru global adecvat pentru politicile macroeconomice și structurale, asistența macrofinanciară poate crește eficacitatea acțiunilor finanțate la nivelul beneficiarilor prin alte instrumente financiare ale UE, cu aplicare mai restrânsă. </w:t>
      </w:r>
    </w:p>
    <w:p>
      <w:pPr>
        <w:pStyle w:val="ManualHeading1"/>
        <w:spacing w:before="0" w:after="240"/>
        <w:jc w:val="left"/>
        <w:rPr>
          <w:noProof/>
        </w:rPr>
      </w:pPr>
      <w:r>
        <w:rPr>
          <w:noProof/>
        </w:rPr>
        <w:t>3.</w:t>
      </w:r>
      <w:r>
        <w:rPr>
          <w:noProof/>
        </w:rPr>
        <w:tab/>
        <w:t>REZULTATELE EVALUĂRILOR EX-POST, ALE CONSULTĂRILOR CU PĂRȚILE INTERESATE ȘI ALE EVALUĂRILOR IMPACTULUI</w:t>
      </w:r>
    </w:p>
    <w:p>
      <w:pPr>
        <w:pStyle w:val="ManualHeading2"/>
        <w:spacing w:before="0" w:after="240"/>
        <w:rPr>
          <w:rFonts w:eastAsia="Arial Unicode MS"/>
          <w:noProof/>
        </w:rPr>
      </w:pPr>
      <w:r>
        <w:rPr>
          <w:noProof/>
          <w:bdr w:val="nil"/>
        </w:rPr>
        <w:t>•</w:t>
      </w:r>
      <w:r>
        <w:rPr>
          <w:noProof/>
        </w:rPr>
        <w:tab/>
      </w:r>
      <w:r>
        <w:rPr>
          <w:noProof/>
          <w:bdr w:val="nil"/>
        </w:rPr>
        <w:t>Evaluări ex-post/verificarea adecvării legislației existente</w:t>
      </w:r>
    </w:p>
    <w:p>
      <w:pPr>
        <w:pBdr>
          <w:top w:val="nil"/>
          <w:left w:val="nil"/>
          <w:bottom w:val="nil"/>
          <w:right w:val="nil"/>
          <w:between w:val="nil"/>
          <w:bar w:val="nil"/>
        </w:pBdr>
        <w:spacing w:before="0" w:after="240"/>
        <w:rPr>
          <w:rFonts w:eastAsia="Arial Unicode MS"/>
          <w:noProof/>
        </w:rPr>
      </w:pPr>
      <w:r>
        <w:rPr>
          <w:noProof/>
        </w:rPr>
        <w:t xml:space="preserve">Toate operațiunile AMF fac obiectul unei evaluări ex post, care se desfășoară în mod normal în decursul a doi ani de la încheierea perioadei de disponibilitate definite în decizia legislativă de acordare a asistenței. Obiectivul este dublu: (i) de a analiza impactul AMF asupra economiei beneficiarului, îndeosebi asupra sustenabilității poziției sale externe; (ii) de a evalua valoarea adăugată a intervenției UE. </w:t>
      </w:r>
    </w:p>
    <w:p>
      <w:pPr>
        <w:pBdr>
          <w:top w:val="nil"/>
          <w:left w:val="nil"/>
          <w:bottom w:val="nil"/>
          <w:right w:val="nil"/>
          <w:between w:val="nil"/>
          <w:bar w:val="nil"/>
        </w:pBdr>
        <w:spacing w:before="0" w:after="240"/>
        <w:rPr>
          <w:rFonts w:eastAsia="Arial Unicode MS"/>
          <w:noProof/>
        </w:rPr>
      </w:pPr>
      <w:r>
        <w:rPr>
          <w:noProof/>
        </w:rPr>
        <w:t xml:space="preserve">Evaluările efectuate până în prezent au condus la concluzia că operațiunile de AMF contribuie la îmbunătățirea sustenabilității externe a beneficiarului, a stabilității macroeconomice și a realizării reformelor structurale. Operațiunile de AMF au avut un efect pozitiv asupra balanței de plăți a beneficiarului și au contribuit la relaxarea constrângerilor bugetare. De asemenea, aceste operațiuni au condus la o creștere economică ceva mai însemnată. </w:t>
      </w:r>
    </w:p>
    <w:p>
      <w:pPr>
        <w:pBdr>
          <w:top w:val="nil"/>
          <w:left w:val="nil"/>
          <w:bottom w:val="nil"/>
          <w:right w:val="nil"/>
          <w:between w:val="nil"/>
          <w:bar w:val="nil"/>
        </w:pBdr>
        <w:spacing w:before="0" w:after="240"/>
        <w:rPr>
          <w:rFonts w:eastAsia="Arial Unicode MS"/>
          <w:noProof/>
        </w:rPr>
      </w:pPr>
      <w:r>
        <w:rPr>
          <w:noProof/>
        </w:rPr>
        <w:lastRenderedPageBreak/>
        <w:t xml:space="preserve">Toate evaluările evidențiază faptul că un atribut important al AMF acordate de UE în raport cu sursele alternative de finanțare este reprezentat de condițiile foarte favorabile, și anume ratele relativ scăzute ale dobânzilor, scadențele lungi și perioada de grație lungă. Acest lucru generează o marjă de manevră bugetară și contribuie la sustenabilitatea datoriei publice. </w:t>
      </w:r>
    </w:p>
    <w:p>
      <w:pPr>
        <w:pBdr>
          <w:top w:val="nil"/>
          <w:left w:val="nil"/>
          <w:bottom w:val="nil"/>
          <w:right w:val="nil"/>
          <w:between w:val="nil"/>
          <w:bar w:val="nil"/>
        </w:pBdr>
        <w:spacing w:before="0" w:after="240"/>
        <w:rPr>
          <w:rFonts w:eastAsia="Arial Unicode MS"/>
          <w:noProof/>
        </w:rPr>
      </w:pPr>
      <w:r>
        <w:rPr>
          <w:noProof/>
        </w:rPr>
        <w:t xml:space="preserve">Evaluările ex-post confirmă, de asemenea, că AMF anterioare au fost implementate în mod eficient și au fost bine coordonate cu alte programe ale UE și cu programe ale altor donatori (în special FMI și Banca Mondială). Condițiile aferente politicii de asistență macrofinanciară sunt considerate a fi separate de cele impuse de FMI, însă ele se completează și/sau se consolidează reciproc. Experiențele recente arată că prezența a două programe independente, dar coordonate, consolidează capacitatea de a obține rezultate, prin condiții complementare și resurse financiare combinate. </w:t>
      </w:r>
    </w:p>
    <w:p>
      <w:pPr>
        <w:pBdr>
          <w:top w:val="nil"/>
          <w:left w:val="nil"/>
          <w:bottom w:val="nil"/>
          <w:right w:val="nil"/>
          <w:between w:val="nil"/>
          <w:bar w:val="nil"/>
        </w:pBdr>
        <w:spacing w:before="0" w:after="240"/>
        <w:rPr>
          <w:rFonts w:eastAsia="Arial Unicode MS"/>
          <w:noProof/>
        </w:rPr>
      </w:pPr>
      <w:r>
        <w:rPr>
          <w:noProof/>
        </w:rPr>
        <w:t>Evaluările evidențiază, de asemenea, deficiențele fiecărei operațiuni de asistență macrofinanciară, cele mai comune fiind lipsa de vizibilitate a acestora și procesul de negociere uneori lung. Comisia va analiza în continuare limitările identificate în cadrul unei evaluări viitoare privind operațiunile desfășurate în perioada 2010-2020, care urmează a fi lansată în 2020. Această evaluare ar putea oferi, de asemenea, o bază solidă pentru o analiză suplimentară privind domeniul de aplicare și alte aspecte ale instrumentului AMF, precum și modul în care interacționează cu alte instrumente de politică externă ale UE.</w:t>
      </w:r>
    </w:p>
    <w:p>
      <w:pPr>
        <w:pBdr>
          <w:top w:val="nil"/>
          <w:left w:val="nil"/>
          <w:bottom w:val="nil"/>
          <w:right w:val="nil"/>
          <w:between w:val="nil"/>
          <w:bar w:val="nil"/>
        </w:pBdr>
        <w:spacing w:before="0" w:after="240"/>
        <w:rPr>
          <w:rFonts w:eastAsia="Arial Unicode MS"/>
          <w:noProof/>
        </w:rPr>
      </w:pPr>
      <w:r>
        <w:rPr>
          <w:noProof/>
        </w:rPr>
        <w:t xml:space="preserve">Toate rapoartele finale ale evaluărilor ex-post încheiate ale operațiunilor AMF sunt publicate la adresa </w:t>
      </w:r>
      <w:hyperlink r:id="rId14">
        <w:r>
          <w:rPr>
            <w:rStyle w:val="Hyperlink"/>
            <w:noProof/>
          </w:rPr>
          <w:t>https://ec.europa.eu/info/evaluation-reports-economic-and-financial-affairs-policies-and-spending-activities_en</w:t>
        </w:r>
      </w:hyperlink>
      <w:r>
        <w:rPr>
          <w:noProof/>
        </w:rPr>
        <w:t>.</w:t>
      </w:r>
    </w:p>
    <w:p>
      <w:pPr>
        <w:pStyle w:val="ManualHeading2"/>
        <w:spacing w:before="0" w:after="240"/>
        <w:rPr>
          <w:rFonts w:eastAsia="Arial Unicode MS"/>
          <w:noProof/>
        </w:rPr>
      </w:pPr>
      <w:r>
        <w:rPr>
          <w:noProof/>
          <w:bdr w:val="nil"/>
        </w:rPr>
        <w:t>•</w:t>
      </w:r>
      <w:r>
        <w:rPr>
          <w:noProof/>
        </w:rPr>
        <w:tab/>
      </w:r>
      <w:r>
        <w:rPr>
          <w:noProof/>
          <w:bdr w:val="nil"/>
        </w:rPr>
        <w:t>Consultări cu părțile interesate</w:t>
      </w:r>
    </w:p>
    <w:p>
      <w:pPr>
        <w:tabs>
          <w:tab w:val="left" w:pos="719"/>
        </w:tabs>
        <w:spacing w:before="0" w:after="240"/>
        <w:rPr>
          <w:noProof/>
        </w:rPr>
      </w:pPr>
      <w:r>
        <w:rPr>
          <w:noProof/>
        </w:rPr>
        <w:t>Asistența macrofinanciară este acordată ca parte integrantă a răspunsului UE și a al altor instituții internaționale la criza COVID-19. La elaborarea prezentei propuneri de asistență macrofinanciară, serviciile Comisiei s-au consultat cu Fondul Monetar Internațional, care este pe cale de a institui programe de finanțare de proporții, precum și cu alți creditori și donatori multilaterali și bilaterali. Comisia a menținut totodată contacte regulate cu autoritățile naționale ale potențialilor beneficiari.</w:t>
      </w:r>
    </w:p>
    <w:p>
      <w:pPr>
        <w:pStyle w:val="ManualHeading2"/>
        <w:spacing w:before="0" w:after="240"/>
        <w:rPr>
          <w:rFonts w:eastAsia="Arial Unicode MS"/>
          <w:noProof/>
        </w:rPr>
      </w:pPr>
      <w:r>
        <w:rPr>
          <w:noProof/>
          <w:bdr w:val="nil"/>
        </w:rPr>
        <w:t>•</w:t>
      </w:r>
      <w:r>
        <w:rPr>
          <w:noProof/>
        </w:rPr>
        <w:tab/>
      </w:r>
      <w:r>
        <w:rPr>
          <w:noProof/>
          <w:bdr w:val="nil"/>
        </w:rPr>
        <w:t>Obținerea și utilizarea expertizei</w:t>
      </w:r>
    </w:p>
    <w:p>
      <w:pPr>
        <w:tabs>
          <w:tab w:val="left" w:pos="719"/>
        </w:tabs>
        <w:spacing w:before="0" w:after="240"/>
        <w:rPr>
          <w:noProof/>
        </w:rPr>
      </w:pPr>
      <w:r>
        <w:rPr>
          <w:noProof/>
        </w:rPr>
        <w:t>Deoarece se impune o procedură de aprobare urgentă, Comisia va efectua o evaluare operațională pentru verificarea calității și a fiabilității circuitelor financiare și a procedurilor administrative din sectorul public al beneficiarului sau va apela la asistența unor experți externi, dacă este necesar.</w:t>
      </w:r>
    </w:p>
    <w:p>
      <w:pPr>
        <w:pStyle w:val="ManualHeading2"/>
        <w:spacing w:before="0" w:after="240"/>
        <w:rPr>
          <w:rFonts w:eastAsia="Arial Unicode MS"/>
          <w:noProof/>
        </w:rPr>
      </w:pPr>
      <w:r>
        <w:rPr>
          <w:noProof/>
          <w:bdr w:val="nil"/>
        </w:rPr>
        <w:t>•</w:t>
      </w:r>
      <w:r>
        <w:rPr>
          <w:noProof/>
        </w:rPr>
        <w:tab/>
      </w:r>
      <w:r>
        <w:rPr>
          <w:noProof/>
          <w:bdr w:val="nil"/>
        </w:rPr>
        <w:t>Evaluarea impactului</w:t>
      </w:r>
    </w:p>
    <w:p>
      <w:pPr>
        <w:spacing w:before="0" w:after="240"/>
        <w:rPr>
          <w:noProof/>
        </w:rPr>
      </w:pPr>
      <w:r>
        <w:rPr>
          <w:noProof/>
        </w:rPr>
        <w:t xml:space="preserve">Asistența macrofinanciară din partea UE este un instrument de urgență menit să reducă riscul de neplată și de colaps economic al partenerilor, răspunzând nevoilor de finanțare externă pe termen scurt ale beneficiarilor și sprijinind totodată măsurile strategice menite să consolideze balanța de plăți și situația bugetară și relansarea creșterii economice sustenabile. Prin urmare, prezenta propunere de AMF este scutită de obligația efectuării unei evaluări a impactului în conformitate cu orientările Comisiei privind o mai bună legiferare [SWD(2015) 111 final], deoarece există imperativul politic de a face progrese rapide într-o situație de urgență care necesită un răspuns prompt. </w:t>
      </w:r>
    </w:p>
    <w:p>
      <w:pPr>
        <w:pStyle w:val="ManualHeading1"/>
        <w:spacing w:before="0" w:after="240"/>
        <w:rPr>
          <w:noProof/>
        </w:rPr>
      </w:pPr>
      <w:r>
        <w:rPr>
          <w:noProof/>
        </w:rPr>
        <w:lastRenderedPageBreak/>
        <w:t>4.</w:t>
      </w:r>
      <w:r>
        <w:rPr>
          <w:noProof/>
        </w:rPr>
        <w:tab/>
        <w:t>IMPLICAȚII BUGETARE</w:t>
      </w:r>
    </w:p>
    <w:p>
      <w:pPr>
        <w:spacing w:before="0" w:after="240"/>
        <w:rPr>
          <w:noProof/>
        </w:rPr>
      </w:pPr>
      <w:r>
        <w:rPr>
          <w:noProof/>
        </w:rPr>
        <w:t>Asistența preconizată ar urma să fie furnizată sub formă de împrumuturi și ar trebui să fie finanțată printr-o operațiune de luare de împrumut pe care Comisia o va desfășura în numele UE. Impactul bugetar al asistenței va corespunde provizionării, la o rată de 9 %, a sumelor vărsate în Fondul de garantare pentru acțiuni externe ale UE. Presupunând că împrumuturile vor fi plătite în 2020 și în conformitate cu normele care reglementează mecanismul fondului de garantare</w:t>
      </w:r>
      <w:r>
        <w:rPr>
          <w:rStyle w:val="FootnoteReference"/>
          <w:noProof/>
        </w:rPr>
        <w:footnoteReference w:id="4"/>
      </w:r>
      <w:r>
        <w:rPr>
          <w:noProof/>
        </w:rPr>
        <w:t>, provizionarea va avea loc în anul n+2, anul n fiind anul efectuării plăților. Prin urmare, impactul împrumuturilor acordate în 2020 va fi resimțit în bugetul 2022, pentru o sumă maximă de 270 de milioane EUR. În cazul în care o parte a împrumuturilor va fi plătită în 2021, provizionarea corespunzătoare va avea loc în bugetul 2023.</w:t>
      </w:r>
    </w:p>
    <w:p>
      <w:pPr>
        <w:spacing w:before="0" w:after="240"/>
        <w:rPr>
          <w:noProof/>
        </w:rPr>
      </w:pPr>
      <w:r>
        <w:rPr>
          <w:noProof/>
        </w:rPr>
        <w:t xml:space="preserve">Comisia consideră că sumele alocate din Fondul de garantare constituie o rezervă adecvată pentru a proteja bugetul UE împotriva pasivelor eventuale legate de aceste împrumuturi AMF. Cu toate acestea, nu se poate exclude faptul că situația macroeconomică actuală și posibila concentrare a expunerilor la riscul de credit ar putea spori necesitatea de a rezerva resurse bugetare suplimentare pe durata de viață a împrumuturilor. </w:t>
      </w:r>
    </w:p>
    <w:p>
      <w:pPr>
        <w:spacing w:before="0" w:after="240"/>
        <w:rPr>
          <w:noProof/>
        </w:rPr>
      </w:pPr>
      <w:r>
        <w:rPr>
          <w:noProof/>
          <w:color w:val="000000"/>
        </w:rPr>
        <w:t>Comisia consideră că impactul bugetar al operațiunilor de AMF propuse poate fi inclus în propunerea Comisiei pentru următorul CFM.</w:t>
      </w:r>
    </w:p>
    <w:p>
      <w:pPr>
        <w:pStyle w:val="ManualHeading1"/>
        <w:spacing w:before="0" w:after="240"/>
        <w:rPr>
          <w:noProof/>
        </w:rPr>
      </w:pPr>
      <w:r>
        <w:rPr>
          <w:noProof/>
        </w:rPr>
        <w:t>5.</w:t>
      </w:r>
      <w:r>
        <w:rPr>
          <w:noProof/>
        </w:rPr>
        <w:tab/>
        <w:t>ALTE ELEMENTE</w:t>
      </w:r>
    </w:p>
    <w:p>
      <w:pPr>
        <w:pStyle w:val="ManualHeading2"/>
        <w:spacing w:before="0" w:after="240"/>
        <w:rPr>
          <w:rFonts w:eastAsia="Arial Unicode MS"/>
          <w:noProof/>
        </w:rPr>
      </w:pPr>
      <w:r>
        <w:rPr>
          <w:noProof/>
          <w:bdr w:val="nil"/>
        </w:rPr>
        <w:t>•</w:t>
      </w:r>
      <w:r>
        <w:rPr>
          <w:noProof/>
        </w:rPr>
        <w:tab/>
      </w:r>
      <w:r>
        <w:rPr>
          <w:noProof/>
          <w:bdr w:val="nil"/>
        </w:rPr>
        <w:t>Planuri de punere în aplicare și modalități de monitorizare, evaluare și raportare</w:t>
      </w:r>
    </w:p>
    <w:p>
      <w:pPr>
        <w:spacing w:before="0" w:after="240"/>
        <w:rPr>
          <w:noProof/>
        </w:rPr>
      </w:pPr>
      <w:r>
        <w:rPr>
          <w:noProof/>
        </w:rPr>
        <w:t xml:space="preserve">Uniunea Europeană pune la dispoziția partenerilor o asistență macrofinanciară în valoare totală de până la 3 miliarde EUR, acordată sub forma unor împrumuturi pe termen mediu și lung, care va contribui la acoperirea nevoilor de finanțare externă reziduale ale acestora în 2020-2021. </w:t>
      </w:r>
    </w:p>
    <w:p>
      <w:pPr>
        <w:spacing w:before="0" w:after="240"/>
        <w:rPr>
          <w:noProof/>
        </w:rPr>
      </w:pPr>
      <w:r>
        <w:rPr>
          <w:noProof/>
        </w:rPr>
        <w:t>Pe baza unei evaluări preliminare a nevoilor de finanțare, sumele aferente AMF care urmează să fie puse la dispoziție sunt distribuite beneficiarilor după cum urmează:</w:t>
      </w:r>
    </w:p>
    <w:p>
      <w:pPr>
        <w:pStyle w:val="Bullet1"/>
        <w:numPr>
          <w:ilvl w:val="0"/>
          <w:numId w:val="28"/>
        </w:numPr>
        <w:spacing w:before="0" w:after="240"/>
        <w:ind w:left="1418"/>
        <w:contextualSpacing/>
        <w:rPr>
          <w:noProof/>
        </w:rPr>
      </w:pPr>
      <w:r>
        <w:rPr>
          <w:noProof/>
        </w:rPr>
        <w:t>180 de milioane EUR pentru Republica Albania</w:t>
      </w:r>
    </w:p>
    <w:p>
      <w:pPr>
        <w:pStyle w:val="Bullet1"/>
        <w:numPr>
          <w:ilvl w:val="0"/>
          <w:numId w:val="28"/>
        </w:numPr>
        <w:spacing w:before="0" w:after="240"/>
        <w:ind w:left="1418"/>
        <w:contextualSpacing/>
        <w:rPr>
          <w:noProof/>
        </w:rPr>
      </w:pPr>
      <w:r>
        <w:rPr>
          <w:noProof/>
        </w:rPr>
        <w:t>250 de milioane EUR pentru Bosnia-Herțegovina</w:t>
      </w:r>
    </w:p>
    <w:p>
      <w:pPr>
        <w:pStyle w:val="Bullet1"/>
        <w:spacing w:before="0" w:after="240"/>
        <w:ind w:left="1418"/>
        <w:contextualSpacing/>
        <w:rPr>
          <w:noProof/>
        </w:rPr>
      </w:pPr>
      <w:r>
        <w:rPr>
          <w:noProof/>
        </w:rPr>
        <w:t>150 de milioane EUR pentru Georgia</w:t>
      </w:r>
    </w:p>
    <w:p>
      <w:pPr>
        <w:pStyle w:val="Bullet1"/>
        <w:spacing w:before="0" w:after="240"/>
        <w:ind w:left="1418"/>
        <w:contextualSpacing/>
        <w:rPr>
          <w:noProof/>
        </w:rPr>
      </w:pPr>
      <w:r>
        <w:rPr>
          <w:noProof/>
        </w:rPr>
        <w:t>200 de milioane EUR pentru Regatul Hașemit al Iordaniei</w:t>
      </w:r>
    </w:p>
    <w:p>
      <w:pPr>
        <w:pStyle w:val="Bullet1"/>
        <w:spacing w:before="0" w:after="240"/>
        <w:ind w:left="1418"/>
        <w:contextualSpacing/>
        <w:rPr>
          <w:noProof/>
        </w:rPr>
      </w:pPr>
      <w:r>
        <w:rPr>
          <w:noProof/>
        </w:rPr>
        <w:t>100 de milioane EUR pentru Kosovo</w:t>
      </w:r>
    </w:p>
    <w:p>
      <w:pPr>
        <w:pStyle w:val="Bullet1"/>
        <w:spacing w:before="0" w:after="240"/>
        <w:ind w:left="1418"/>
        <w:contextualSpacing/>
        <w:rPr>
          <w:noProof/>
        </w:rPr>
      </w:pPr>
      <w:r>
        <w:rPr>
          <w:noProof/>
        </w:rPr>
        <w:t>100 de milioane EUR pentru Republica Moldova</w:t>
      </w:r>
    </w:p>
    <w:p>
      <w:pPr>
        <w:pStyle w:val="Bullet1"/>
        <w:spacing w:before="0" w:after="240"/>
        <w:ind w:left="1418"/>
        <w:contextualSpacing/>
        <w:rPr>
          <w:noProof/>
        </w:rPr>
      </w:pPr>
      <w:r>
        <w:rPr>
          <w:noProof/>
        </w:rPr>
        <w:t>60 de milioane EUR pentru Muntenegru</w:t>
      </w:r>
    </w:p>
    <w:p>
      <w:pPr>
        <w:pStyle w:val="Bullet1"/>
        <w:spacing w:before="0" w:after="240"/>
        <w:ind w:left="1418"/>
        <w:contextualSpacing/>
        <w:rPr>
          <w:noProof/>
        </w:rPr>
      </w:pPr>
      <w:r>
        <w:rPr>
          <w:noProof/>
        </w:rPr>
        <w:t>160 de milioane EUR pentru Republica Macedonia de Nord</w:t>
      </w:r>
    </w:p>
    <w:p>
      <w:pPr>
        <w:pStyle w:val="Bullet1"/>
        <w:spacing w:before="0" w:after="240"/>
        <w:ind w:left="1418"/>
        <w:contextualSpacing/>
        <w:rPr>
          <w:noProof/>
        </w:rPr>
      </w:pPr>
      <w:r>
        <w:rPr>
          <w:noProof/>
        </w:rPr>
        <w:t>600 de milioane EUR pentru Republica Tunisiană</w:t>
      </w:r>
    </w:p>
    <w:p>
      <w:pPr>
        <w:pStyle w:val="Bullet1"/>
        <w:spacing w:before="0" w:after="240"/>
        <w:ind w:left="1418"/>
        <w:contextualSpacing/>
        <w:rPr>
          <w:noProof/>
        </w:rPr>
      </w:pPr>
      <w:r>
        <w:rPr>
          <w:noProof/>
        </w:rPr>
        <w:t>1,2 miliarde EUR pentru Ucraina</w:t>
      </w:r>
    </w:p>
    <w:p>
      <w:pPr>
        <w:spacing w:before="0" w:after="240"/>
        <w:rPr>
          <w:noProof/>
        </w:rPr>
      </w:pPr>
      <w:r>
        <w:rPr>
          <w:noProof/>
        </w:rPr>
        <w:t xml:space="preserve">Asistența este planificată să fie plătită în două tranșe de împrumut. Plata primei tranșe este prevăzută să aibă loc către mijlocul anului 2020. A doua tranșă ar putea fi plătită în al patrulea </w:t>
      </w:r>
      <w:r>
        <w:rPr>
          <w:noProof/>
        </w:rPr>
        <w:lastRenderedPageBreak/>
        <w:t xml:space="preserve">trimestru al anului 2020 sau în prima jumătate a anului 2021, cu condiția ca măsurile de politică aferente acestei tranșe să fi fost puse în aplicare în timp util. </w:t>
      </w:r>
    </w:p>
    <w:p>
      <w:pPr>
        <w:spacing w:before="0" w:after="240"/>
        <w:rPr>
          <w:noProof/>
        </w:rPr>
      </w:pPr>
      <w:r>
        <w:rPr>
          <w:noProof/>
        </w:rPr>
        <w:t xml:space="preserve">Asistența va fi gestionată de Comisie. Sunt aplicabile dispoziții specifice privind prevenirea fraudei și a altor nereguli, în conformitate cu Regulamentul financiar. </w:t>
      </w:r>
    </w:p>
    <w:p>
      <w:pPr>
        <w:spacing w:before="0" w:after="240"/>
        <w:rPr>
          <w:noProof/>
        </w:rPr>
      </w:pPr>
      <w:r>
        <w:rPr>
          <w:noProof/>
        </w:rPr>
        <w:t>Comisia și autoritățile fiecărui partener vor conveni asupra unui memorandum de înțelegere care va stabili măsurile de reformă asociate operațiunii de asistență macrofinanciară propuse, inclusiv aspectele legate de calendarul și derularea evenimentelor. În plus, așa cum se întâmplă de regulă în cazul asistenței macrofinanciare, plățile vor fi condiționate, printre altele, de progresul satisfăcător al programului FMI și de utilizarea în continuare de către partener a fondurilor FMI.</w:t>
      </w:r>
    </w:p>
    <w:p>
      <w:pPr>
        <w:spacing w:before="0" w:after="240"/>
        <w:rPr>
          <w:noProof/>
        </w:rPr>
      </w:pPr>
      <w:r>
        <w:rPr>
          <w:noProof/>
        </w:rPr>
        <w:t>Propunerea include o clauză de încetare a efectelor. AMF propusă urmează să fie pusă la dispoziție pentru o perioadă de 12 luni începând din prima zi după intrarea în vigoare a memorandumului de înțelegere.</w:t>
      </w:r>
    </w:p>
    <w:p>
      <w:pPr>
        <w:spacing w:before="0" w:after="240"/>
        <w:rPr>
          <w:noProof/>
        </w:rPr>
      </w:pPr>
      <w:r>
        <w:rPr>
          <w:noProof/>
        </w:rPr>
        <w:t xml:space="preserve">Comisia va raporta anual Parlamentului European și Consiliului cu privire la punerea în aplicare a prezentei decizii în anul precedent. În plus, îndeplinirea obiectivelor asistenței va fi evaluată de Comisie, inclusiv în contextul unei evaluări ex-post pe care Comisia o prezintă Parlamentului European și Consiliului în termen de cel mult doi ani de la expirarea perioadei de disponibilitate a asistenței. </w:t>
      </w:r>
    </w:p>
    <w:p>
      <w:pP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2020/0065 (COD)</w:t>
      </w:r>
    </w:p>
    <w:p>
      <w:pPr>
        <w:pStyle w:val="Statut"/>
        <w:rPr>
          <w:noProof/>
        </w:rPr>
      </w:pPr>
      <w:r>
        <w:rPr>
          <w:noProof/>
        </w:rPr>
        <w:t>Propunere de</w:t>
      </w:r>
    </w:p>
    <w:p>
      <w:pPr>
        <w:pStyle w:val="Typedudocument"/>
        <w:rPr>
          <w:noProof/>
        </w:rPr>
      </w:pPr>
      <w:r>
        <w:rPr>
          <w:noProof/>
        </w:rPr>
        <w:t>DECIZIE A PARLAMENTULUI EUROPEAN ŞI A CONSILIULUI</w:t>
      </w:r>
    </w:p>
    <w:p>
      <w:pPr>
        <w:pStyle w:val="Titreobjet"/>
        <w:rPr>
          <w:noProof/>
        </w:rPr>
      </w:pPr>
      <w:r>
        <w:rPr>
          <w:noProof/>
        </w:rPr>
        <w:t xml:space="preserve">privind acordarea de asistență macrofinanciară partenerilor vizați de politica de extindere și de politica de vecinătate în contextul crizei generate de pandemia de COVID-19 </w:t>
      </w:r>
      <w:r>
        <w:rPr>
          <w:noProof/>
        </w:rPr>
        <w:br/>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212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hotărând în conformitate cu procedura legislativă ordinară,</w:t>
      </w:r>
    </w:p>
    <w:p>
      <w:pPr>
        <w:spacing w:before="100" w:beforeAutospacing="1" w:after="100" w:afterAutospacing="1"/>
        <w:rPr>
          <w:noProof/>
        </w:rPr>
      </w:pPr>
      <w:r>
        <w:rPr>
          <w:noProof/>
        </w:rPr>
        <w:t>întrucât:</w:t>
      </w:r>
    </w:p>
    <w:p>
      <w:pPr>
        <w:pStyle w:val="ManualConsidrant"/>
        <w:rPr>
          <w:noProof/>
        </w:rPr>
      </w:pPr>
      <w:r>
        <w:rPr>
          <w:noProof/>
        </w:rPr>
        <w:t>(1)</w:t>
      </w:r>
      <w:r>
        <w:rPr>
          <w:noProof/>
        </w:rPr>
        <w:tab/>
        <w:t>Actuala criză provocată de COVID-19 are efecte devastatoare asupra stabilității economice și financiare din regiunile vizate de politica de extindere și de vecinătate. Partenerii se confruntă în prezent cu o balanță de plăți și o situația bugetară fragile și care se degradează rapid și cu o economie care se îndreaptă spre recesiune. Există argumente solide pentru ca UE să ia măsuri rapide și decisive în sprijinul acestor economii. Prezenta propunere de asistență macrofinanciară din partea Uniunii vizează, prin urmare, zece parteneri: Republica Albania, Bosnia și Herțegovina, Kosovo,</w:t>
      </w:r>
      <w:r>
        <w:rPr>
          <w:rStyle w:val="FootnoteReference"/>
          <w:noProof/>
          <w:lang w:eastAsia="ko-KR"/>
        </w:rPr>
        <w:footnoteReference w:customMarkFollows="1" w:id="5"/>
        <w:t>*</w:t>
      </w:r>
      <w:r>
        <w:rPr>
          <w:noProof/>
        </w:rPr>
        <w:t xml:space="preserve"> Muntenegru, Republica Macedonia de Nord în regiunea vizată de politica de extindere; Georgia, Republica Moldova și Ucraina în vecinătatea estică și Regatul Hașemit al Iordaniei și Republica Tunisiană în vecinătatea sudică (denumiți în continuare „parteneri”).</w:t>
      </w:r>
    </w:p>
    <w:p>
      <w:pPr>
        <w:pStyle w:val="ManualConsidrant"/>
        <w:rPr>
          <w:noProof/>
        </w:rPr>
      </w:pPr>
      <w:r>
        <w:rPr>
          <w:noProof/>
        </w:rPr>
        <w:t>(2)</w:t>
      </w:r>
      <w:r>
        <w:rPr>
          <w:noProof/>
        </w:rPr>
        <w:tab/>
        <w:t xml:space="preserve">Caracterul urgent al asistenței este legat de nevoile imediate ale partenerilor în ceea ce privește fondurile, în plus față de cele care vor fi furnizate prin intermediul altor instrumente ale UE și de către instituțiile financiare internaționale, statele membre ale UE și alți donatori bilaterali, pentru a crea o marjă de manevră politică pe termen scurt astfel încât autoritățile să pună în aplicare măsuri de combatere a efectelor crizei economice provocate de epidemia de COVID-19. </w:t>
      </w:r>
    </w:p>
    <w:p>
      <w:pPr>
        <w:pStyle w:val="ManualConsidrant"/>
        <w:rPr>
          <w:noProof/>
        </w:rPr>
      </w:pPr>
      <w:r>
        <w:rPr>
          <w:noProof/>
        </w:rPr>
        <w:t>(3)</w:t>
      </w:r>
      <w:r>
        <w:rPr>
          <w:noProof/>
        </w:rPr>
        <w:tab/>
        <w:t>Autoritățile fiecărui partener și Fondul Monetar Internațional (FMI) s-au pus de acord sau urmează să se pună de acord în curând cu privire la un program care va fi susținut printr-un acord de finanțare cu FMI.</w:t>
      </w:r>
    </w:p>
    <w:p>
      <w:pPr>
        <w:pStyle w:val="ManualConsidrant"/>
        <w:rPr>
          <w:noProof/>
        </w:rPr>
      </w:pPr>
      <w:r>
        <w:rPr>
          <w:noProof/>
        </w:rPr>
        <w:t>(4)</w:t>
      </w:r>
      <w:r>
        <w:rPr>
          <w:noProof/>
        </w:rPr>
        <w:tab/>
        <w:t xml:space="preserve">Asistența macrofinanciară a Uniunii trebuie să fie un instrument financiar excepțional de sprijin necondiționat și fără o alocare specială pentru balanța de plăți, care vizează </w:t>
      </w:r>
      <w:r>
        <w:rPr>
          <w:noProof/>
        </w:rPr>
        <w:lastRenderedPageBreak/>
        <w:t>satisfacerea nevoilor imediate de finanțare externă ale beneficiarului, în paralel cu un acord de plată cu Fondul Monetar Internațional (FMI), care face obiectul unui program convenit de reforme economice. În contextul crizei provocate de epidemia de COVID-19, asistența macrofinanciară din partea Uniunii trebuie să fie pusă la dispoziția partenerilor care beneficiază de finanțare de urgență din partea FMI, fără acțiuni și/sau condiții prealabile, cum ar fi prin intermediul Instrumentului de finanțare rapidă (IFR). Așadar, această asistență trebuie să fie acordată pentru o durată mai scurtă de timp, să se limiteze la două plăți și să stea la baza punerii în aplicare a unui program de politici care să conțină un set limitat de măsuri de reformă.</w:t>
      </w:r>
    </w:p>
    <w:p>
      <w:pPr>
        <w:pStyle w:val="ManualConsidrant"/>
        <w:rPr>
          <w:noProof/>
        </w:rPr>
      </w:pPr>
      <w:r>
        <w:rPr>
          <w:noProof/>
        </w:rPr>
        <w:t>(5)</w:t>
      </w:r>
      <w:r>
        <w:rPr>
          <w:noProof/>
        </w:rPr>
        <w:tab/>
        <w:t>Sprijinul financiar acordat de Uniune partenerilor este compatibil cu politicile de extindere și de vecinătate ale Uniunii.</w:t>
      </w:r>
    </w:p>
    <w:p>
      <w:pPr>
        <w:pStyle w:val="ManualConsidrant"/>
        <w:rPr>
          <w:noProof/>
        </w:rPr>
      </w:pPr>
      <w:r>
        <w:rPr>
          <w:noProof/>
        </w:rPr>
        <w:t>(6)</w:t>
      </w:r>
      <w:r>
        <w:rPr>
          <w:noProof/>
        </w:rPr>
        <w:tab/>
        <w:t>Având în vedere faptul că partenerii sunt aflați fie în etapa de aderare, fie în etapa de preaderare sau sunt vizați de PEV, aceștia sunt eligibili pentru a primi asistență macrofinanciară din partea Uniunii.</w:t>
      </w:r>
    </w:p>
    <w:p>
      <w:pPr>
        <w:pStyle w:val="ManualConsidrant"/>
        <w:rPr>
          <w:noProof/>
        </w:rPr>
      </w:pPr>
      <w:r>
        <w:rPr>
          <w:noProof/>
        </w:rPr>
        <w:t>(7)</w:t>
      </w:r>
      <w:r>
        <w:rPr>
          <w:noProof/>
        </w:rPr>
        <w:tab/>
        <w:t>Dat fiind faptul că necesitățile din ce în ce mai imperioase de finanțare externă ale partenerilor sunt așteptate să depășească cu mult resursele ce urmează să fie puse la dispoziție de FMI și de alte instituții multilaterale, asistența macrofinanciară furnizată de Uniune partenerilor este considerată, în actualele circumstanțe excepționale, un răspuns adecvat la solicitarea de sprijin a acestora pentru stabilizarea financiară. Asistența macrofinanciară din partea Uniunii ar urma să sprijine stabilizarea economică, completând resursele puse la dispoziție în cadrul acordului financiar cu FMI.</w:t>
      </w:r>
    </w:p>
    <w:p>
      <w:pPr>
        <w:pStyle w:val="ManualConsidrant"/>
        <w:rPr>
          <w:noProof/>
        </w:rPr>
      </w:pPr>
      <w:r>
        <w:rPr>
          <w:noProof/>
        </w:rPr>
        <w:t>(8)</w:t>
      </w:r>
      <w:r>
        <w:rPr>
          <w:noProof/>
        </w:rPr>
        <w:tab/>
        <w:t>Asistența macrofinanciară din partea Uniunii trebuie să aibă drept scop sprijinirea restabilirii unei situații sustenabile în materie de finanțare externă pentru parteneri, ajutând astfel la relansarea dezvoltării economice și sociale.</w:t>
      </w:r>
    </w:p>
    <w:p>
      <w:pPr>
        <w:pStyle w:val="ManualConsidrant"/>
        <w:rPr>
          <w:noProof/>
        </w:rPr>
      </w:pPr>
      <w:r>
        <w:rPr>
          <w:noProof/>
        </w:rPr>
        <w:t>(9)</w:t>
      </w:r>
      <w:r>
        <w:rPr>
          <w:noProof/>
        </w:rPr>
        <w:tab/>
        <w:t xml:space="preserve">Valoarea asistenței macrofinanciare din partea Uniunii se bazează pe o estimare preliminară a nevoilor reziduale de finanțare externă ale fiecărui partener și ține cont de capacitatea acestuia de autofinanțare prin resurse proprii, în special de rezervele internaționale pe care le are dispoziție. Asistența macrofinanciară din partea Uniunii trebuie să completeze programele și resursele furnizate de FMI și Banca Mondială. Stabilirea valorii asistenței ia în considerare și necesitatea de a asigura o partajare echitabilă a contribuției între Uniune și alți donatori, precum și mobilizarea anterioară a celorlalte instrumente de finanțare externă ale Uniunii și valoarea adăugată a implicării Uniunii în general. </w:t>
      </w:r>
    </w:p>
    <w:p>
      <w:pPr>
        <w:pStyle w:val="ManualConsidrant"/>
        <w:rPr>
          <w:noProof/>
        </w:rPr>
      </w:pPr>
      <w:r>
        <w:rPr>
          <w:noProof/>
        </w:rPr>
        <w:t>(10)</w:t>
      </w:r>
      <w:r>
        <w:rPr>
          <w:noProof/>
        </w:rPr>
        <w:tab/>
        <w:t>Comisia trebuie să se asigure că asistența macrofinanciară din partea Uniunii este conformă, din punct de vedere juridic și al conținutului, cu principiile, obiectivele și măsurile-cheie adoptate în cadrul diferitelor domenii de acțiune externă și al altor politici pertinente ale Uniunii.</w:t>
      </w:r>
    </w:p>
    <w:p>
      <w:pPr>
        <w:pStyle w:val="ManualConsidrant"/>
        <w:rPr>
          <w:noProof/>
        </w:rPr>
      </w:pPr>
      <w:r>
        <w:rPr>
          <w:noProof/>
        </w:rPr>
        <w:t>(11)</w:t>
      </w:r>
      <w:r>
        <w:rPr>
          <w:noProof/>
        </w:rPr>
        <w:tab/>
        <w:t xml:space="preserve">Asistența macrofinanciară a Uniunii trebuie să sprijine politica externă a Uniunii față de parteneri. Serviciile Comisiei și Serviciul European de Acțiune Externă trebuie să lucreze în strânsă colaborare pe parcursul operațiunii de asistență macrofinanciară pentru a coordona și a asigura coerența acțiunilor de politică externă ale Uniunii. </w:t>
      </w:r>
    </w:p>
    <w:p>
      <w:pPr>
        <w:pStyle w:val="ManualConsidrant"/>
        <w:rPr>
          <w:noProof/>
        </w:rPr>
      </w:pPr>
      <w:r>
        <w:rPr>
          <w:noProof/>
        </w:rPr>
        <w:t>(12)</w:t>
      </w:r>
      <w:r>
        <w:rPr>
          <w:noProof/>
        </w:rPr>
        <w:tab/>
        <w:t>Asistența macrofinanciară din partea Uniunii trebuie să susțină angajamentul partenerilor față de valorile pe care le au în comun cu Uniunea, printre care democrația, statul de drept, buna guvernanță, respectarea drepturilor omului, dezvoltarea durabilă și reducerea sărăciei, precum și angajamentul față de alte principii privind schimburile comerciale deschise, echitabile și reglementate.</w:t>
      </w:r>
    </w:p>
    <w:p>
      <w:pPr>
        <w:pStyle w:val="ManualConsidrant"/>
        <w:rPr>
          <w:noProof/>
        </w:rPr>
      </w:pPr>
      <w:r>
        <w:rPr>
          <w:noProof/>
        </w:rPr>
        <w:lastRenderedPageBreak/>
        <w:t>(13)</w:t>
      </w:r>
      <w:r>
        <w:rPr>
          <w:noProof/>
        </w:rPr>
        <w:tab/>
        <w:t>O condiție prealabilă pentru acordarea asistenței macrofinanciare din partea Uniunii trebuie să fie ca partenerii să respecte mecanismele democratice, printre care sistemul parlamentar pluripartit și statul de drept, și să garanteze respectarea drepturilor omului. În plus, obiectivele specifice ale asistenței macrofinanciare din partea Uniunii trebuie să consolideze eficiența, transparența și responsabilitatea sistemelor de gestionare a finanțelor publice ale partenerilor și să promoveze reformele structurale având ca scop sprijinirea creșterii sustenabile și consolidarea bugetară. Atât îndeplinirea condițiilor prealabile, cât și realizarea obiectivelor respective trebuie monitorizate periodic de către Comisie și Serviciul European de Acțiune Externă.</w:t>
      </w:r>
    </w:p>
    <w:p>
      <w:pPr>
        <w:pStyle w:val="ManualConsidrant"/>
        <w:rPr>
          <w:noProof/>
        </w:rPr>
      </w:pPr>
      <w:r>
        <w:rPr>
          <w:noProof/>
        </w:rPr>
        <w:t>(14)</w:t>
      </w:r>
      <w:r>
        <w:rPr>
          <w:noProof/>
        </w:rPr>
        <w:tab/>
        <w:t>Pentru a se garanta că interesele financiare ale Uniunii în legătură cu asistența macrofinanciară din partea Uniunii sunt protejate în mod eficient, partenerii trebuie să adopte măsuri corespunzătoare privind prevenirea și combaterea fraudei, a corupției și a altor eventuale nereguli legate de această asistență. În plus, trebuie să se adopte dispoziții care să prevadă efectuarea de verificări de către Comisie și de audituri de către Curtea de Conturi, precum și exercitarea de către Parchetul european a competențelor sale.</w:t>
      </w:r>
    </w:p>
    <w:p>
      <w:pPr>
        <w:pStyle w:val="ManualConsidrant"/>
        <w:rPr>
          <w:noProof/>
        </w:rPr>
      </w:pPr>
      <w:r>
        <w:rPr>
          <w:noProof/>
        </w:rPr>
        <w:t>(15)</w:t>
      </w:r>
      <w:r>
        <w:rPr>
          <w:noProof/>
        </w:rPr>
        <w:tab/>
        <w:t>Punerea la dispoziție a asistenței macrofinanciare din partea Uniunii nu aduce atingere competențelor Parlamentului European și ale Consiliului (în calitate de autoritate bugetară a Uniunii).</w:t>
      </w:r>
    </w:p>
    <w:p>
      <w:pPr>
        <w:pStyle w:val="ManualConsidrant"/>
        <w:rPr>
          <w:noProof/>
        </w:rPr>
      </w:pPr>
      <w:r>
        <w:rPr>
          <w:noProof/>
        </w:rPr>
        <w:t>(16)</w:t>
      </w:r>
      <w:r>
        <w:rPr>
          <w:noProof/>
        </w:rPr>
        <w:tab/>
        <w:t>Sumele provizionului necesar pentru asistența macrofinanciară trebuie să fie în concordanță cu creditele bugetare prevăzute în cadrul financiar multianual.</w:t>
      </w:r>
    </w:p>
    <w:p>
      <w:pPr>
        <w:pStyle w:val="ManualConsidrant"/>
        <w:rPr>
          <w:noProof/>
        </w:rPr>
      </w:pPr>
      <w:r>
        <w:rPr>
          <w:noProof/>
        </w:rPr>
        <w:t>(17)</w:t>
      </w:r>
      <w:r>
        <w:rPr>
          <w:noProof/>
        </w:rPr>
        <w:tab/>
        <w:t>Asistența macrofinanciară din partea Uniunii trebuie gestionată de către Comisie. Pentru a garanta faptul că Parlamentul European și Consiliul pot să urmărească punerea în aplicare a prezentei decizii, Comisia trebuie să le informeze periodic cu privire la evoluțiile înregistrate în ceea ce privește asistența și să le furnizeze documentele relevante.</w:t>
      </w:r>
    </w:p>
    <w:p>
      <w:pPr>
        <w:pStyle w:val="ManualConsidrant"/>
        <w:rPr>
          <w:noProof/>
        </w:rPr>
      </w:pPr>
      <w:r>
        <w:rPr>
          <w:noProof/>
        </w:rPr>
        <w:t>(18)</w:t>
      </w:r>
      <w:r>
        <w:rPr>
          <w:noProof/>
        </w:rPr>
        <w:tab/>
        <w:t>În vederea asigurării unor condiții uniforme pentru punerea în aplicare a prezentei decizii, Comisiei trebuie să i se confere competențe de executare. Respectivele competențe trebuie exercitate în conformitate cu Regulamentul (UE) nr. 182/2011 al Parlamentului European și al Consiliului</w:t>
      </w:r>
      <w:r>
        <w:rPr>
          <w:rStyle w:val="FootnoteReference"/>
          <w:noProof/>
        </w:rPr>
        <w:footnoteReference w:id="6"/>
      </w:r>
      <w:r>
        <w:rPr>
          <w:noProof/>
        </w:rPr>
        <w:t>.</w:t>
      </w:r>
    </w:p>
    <w:p>
      <w:pPr>
        <w:pStyle w:val="ManualConsidrant"/>
        <w:rPr>
          <w:noProof/>
        </w:rPr>
      </w:pPr>
      <w:r>
        <w:rPr>
          <w:noProof/>
        </w:rPr>
        <w:t>(19)</w:t>
      </w:r>
      <w:r>
        <w:rPr>
          <w:noProof/>
        </w:rPr>
        <w:tab/>
        <w:t xml:space="preserve">Asistența macrofinanciară din partea Uniunii trebuie să facă obiectul unor condiții de politică economică, ce urmează a fi stabilite într-un memorandum de înțelegere. Pentru a se asigura condiții de punere în aplicare uniforme și din motive de eficiență, Comisia trebuie să fie abilitată să negocieze aceste condiții cu autoritățile partenerilor, sub supravegherea comitetului reprezentanților statelor membre, în conformitate cu Regulamentul (UE) nr. 182/2011. În conformitate cu acest regulament, procedura de consultare trebuie să se aplice, ca regulă generală, tuturor cazurilor care nu sunt prevăzute în regulamentul respectiv. Având în vedere impactul potențial important al asistenței de peste 90 de milioane EUR, este adecvat să se utilizeze procedura de examinare pentru operațiunile care depășesc acest prag. Având în vedere cuantumul asistenței macrofinanciare a Uniunii acordate fiecărui partener, trebuie să se aplice procedura de consultare pentru adoptarea memorandumului de înțelegere cu Muntenegru, în timp ce procedura de examinare trebuie să se aplice adoptării </w:t>
      </w:r>
      <w:r>
        <w:rPr>
          <w:noProof/>
        </w:rPr>
        <w:lastRenderedPageBreak/>
        <w:t>memorandumului de înțelegere cu ceilalți parteneri vizați de prezenta decizie și, în consecință, oricărei reduceri, suspendări sau anulări a asistenței,</w:t>
      </w:r>
    </w:p>
    <w:p>
      <w:pPr>
        <w:pStyle w:val="Formuledadoption"/>
        <w:spacing w:before="100" w:beforeAutospacing="1" w:after="100" w:afterAutospacing="1"/>
        <w:rPr>
          <w:noProof/>
        </w:rPr>
      </w:pPr>
      <w:r>
        <w:rPr>
          <w:noProof/>
        </w:rPr>
        <w:t xml:space="preserve">ADOPTĂ PREZENTA DECIZIE: </w:t>
      </w:r>
    </w:p>
    <w:p>
      <w:pPr>
        <w:pStyle w:val="Titrearticle"/>
        <w:spacing w:before="100" w:beforeAutospacing="1" w:after="100" w:afterAutospacing="1"/>
        <w:rPr>
          <w:noProof/>
        </w:rPr>
      </w:pPr>
      <w:r>
        <w:rPr>
          <w:noProof/>
        </w:rPr>
        <w:t>Articolul 1</w:t>
      </w:r>
    </w:p>
    <w:p>
      <w:pPr>
        <w:pStyle w:val="ManualNumPar1"/>
        <w:rPr>
          <w:noProof/>
        </w:rPr>
      </w:pPr>
      <w:r>
        <w:t>1.</w:t>
      </w:r>
      <w:r>
        <w:tab/>
      </w:r>
      <w:r>
        <w:rPr>
          <w:noProof/>
        </w:rPr>
        <w:t>Uniunea pune la dispoziția Republicii Albania, a Bosniei și Herțegovinei, a Georgiei, a Regatului Hașemit al Iordaniei, a Kosovo, a Republicii Moldova, a Muntenegrului, a Republicii Macedonia de Nord, a Republicii Tunisiene și a Ucrainei („partenerii)” asistență macrofinanciară („asistența macrofinanciară din partea Uniunii”) în valoare totală maximă de 3 miliarde EUR, pentru a sprijini stabilizarea economică a partenerilor și o agendă consistentă de reforme. Asistența va contribui la acoperirea nevoilor urgente ale partenerilor legate de balanța de plăți, identificate în programul sprijinit de Fondul Monetar Internațional (FMI), și va fi pusă la dispoziție după cum urmează:</w:t>
      </w:r>
    </w:p>
    <w:p>
      <w:pPr>
        <w:pStyle w:val="Point0"/>
        <w:rPr>
          <w:noProof/>
        </w:rPr>
      </w:pPr>
      <w:r>
        <w:t>(a)</w:t>
      </w:r>
      <w:r>
        <w:tab/>
      </w:r>
      <w:r>
        <w:rPr>
          <w:noProof/>
        </w:rPr>
        <w:t>180 de milioane EUR pentru Republica Albania;</w:t>
      </w:r>
    </w:p>
    <w:p>
      <w:pPr>
        <w:pStyle w:val="Point0"/>
        <w:rPr>
          <w:noProof/>
        </w:rPr>
      </w:pPr>
      <w:r>
        <w:t>(b)</w:t>
      </w:r>
      <w:r>
        <w:tab/>
      </w:r>
      <w:r>
        <w:rPr>
          <w:noProof/>
        </w:rPr>
        <w:t>250 de milioane EUR pentru Bosnia-Herțegovina;</w:t>
      </w:r>
    </w:p>
    <w:p>
      <w:pPr>
        <w:pStyle w:val="Point0"/>
        <w:rPr>
          <w:noProof/>
        </w:rPr>
      </w:pPr>
      <w:r>
        <w:t>(c)</w:t>
      </w:r>
      <w:r>
        <w:tab/>
      </w:r>
      <w:r>
        <w:rPr>
          <w:noProof/>
        </w:rPr>
        <w:t>150 de milioane EUR pentru Georgia;</w:t>
      </w:r>
    </w:p>
    <w:p>
      <w:pPr>
        <w:pStyle w:val="Point0"/>
        <w:rPr>
          <w:noProof/>
        </w:rPr>
      </w:pPr>
      <w:r>
        <w:t>(d)</w:t>
      </w:r>
      <w:r>
        <w:tab/>
      </w:r>
      <w:r>
        <w:rPr>
          <w:noProof/>
        </w:rPr>
        <w:t>200 de milioane EUR pentru Regatul Hașemit al Iordaniei;</w:t>
      </w:r>
    </w:p>
    <w:p>
      <w:pPr>
        <w:pStyle w:val="Point0"/>
        <w:rPr>
          <w:noProof/>
        </w:rPr>
      </w:pPr>
      <w:r>
        <w:t>(e)</w:t>
      </w:r>
      <w:r>
        <w:tab/>
      </w:r>
      <w:r>
        <w:rPr>
          <w:noProof/>
        </w:rPr>
        <w:t>100 de milioane EUR pentru Kosovo;</w:t>
      </w:r>
    </w:p>
    <w:p>
      <w:pPr>
        <w:pStyle w:val="Point0"/>
        <w:rPr>
          <w:noProof/>
        </w:rPr>
      </w:pPr>
      <w:r>
        <w:t>(f)</w:t>
      </w:r>
      <w:r>
        <w:tab/>
      </w:r>
      <w:r>
        <w:rPr>
          <w:noProof/>
        </w:rPr>
        <w:t>100 de milioane EUR pentru Republica Moldova;</w:t>
      </w:r>
    </w:p>
    <w:p>
      <w:pPr>
        <w:pStyle w:val="Point0"/>
        <w:rPr>
          <w:noProof/>
        </w:rPr>
      </w:pPr>
      <w:r>
        <w:t>(g)</w:t>
      </w:r>
      <w:r>
        <w:tab/>
      </w:r>
      <w:r>
        <w:rPr>
          <w:noProof/>
        </w:rPr>
        <w:t>60 de milioane EUR pentru Muntenegru;</w:t>
      </w:r>
    </w:p>
    <w:p>
      <w:pPr>
        <w:pStyle w:val="Point0"/>
        <w:rPr>
          <w:noProof/>
        </w:rPr>
      </w:pPr>
      <w:r>
        <w:t>(h)</w:t>
      </w:r>
      <w:r>
        <w:tab/>
      </w:r>
      <w:r>
        <w:rPr>
          <w:noProof/>
        </w:rPr>
        <w:t>160 de milioane EUR pentru Republica Macedonia de Nord;</w:t>
      </w:r>
    </w:p>
    <w:p>
      <w:pPr>
        <w:pStyle w:val="Point0"/>
        <w:rPr>
          <w:noProof/>
        </w:rPr>
      </w:pPr>
      <w:r>
        <w:t>(i)</w:t>
      </w:r>
      <w:r>
        <w:tab/>
      </w:r>
      <w:r>
        <w:rPr>
          <w:noProof/>
        </w:rPr>
        <w:t>600 de milioane EUR pentru Republica Tunisiană;</w:t>
      </w:r>
    </w:p>
    <w:p>
      <w:pPr>
        <w:pStyle w:val="Point0"/>
        <w:rPr>
          <w:noProof/>
        </w:rPr>
      </w:pPr>
      <w:r>
        <w:t>(j)</w:t>
      </w:r>
      <w:r>
        <w:tab/>
      </w:r>
      <w:r>
        <w:rPr>
          <w:noProof/>
        </w:rPr>
        <w:t xml:space="preserve">1,2 miliarde EUR pentru Ucraina. </w:t>
      </w:r>
    </w:p>
    <w:p>
      <w:pPr>
        <w:pStyle w:val="ManualNumPar1"/>
        <w:rPr>
          <w:noProof/>
        </w:rPr>
      </w:pPr>
      <w:r>
        <w:t>2.</w:t>
      </w:r>
      <w:r>
        <w:tab/>
      </w:r>
      <w:r>
        <w:rPr>
          <w:noProof/>
        </w:rPr>
        <w:t>Asistența macrofinanciară din partea Uniunii este furnizată integral fiecărui partener sub formă de împrumuturi. Comisia este împuternicită în numele Uniunii să împrumute fondurile necesare de pe piețele de capital sau de la instituții financiare și să le împrumute mai departe partenerului. Împrumuturile au o scadență medie de maximum 15 ani.</w:t>
      </w:r>
    </w:p>
    <w:p>
      <w:pPr>
        <w:pStyle w:val="ManualNumPar1"/>
        <w:rPr>
          <w:noProof/>
        </w:rPr>
      </w:pPr>
      <w:r>
        <w:t>3.</w:t>
      </w:r>
      <w:r>
        <w:tab/>
      </w:r>
      <w:r>
        <w:rPr>
          <w:noProof/>
        </w:rPr>
        <w:t>Punerea la dispoziție a asistenței macrofinanciare din partea Uniunii este gestionată de Comisie, în conformitate cu acordurile sau înțelegerile convenite între FMI și partener. Comisia informează periodic Parlamentul European și Consiliul cu privire la evoluțiile legate de asistența macrofinanciară a Uniunii, inclusiv în legătură cu plățile din aceasta, și furnizează acestor instituții documentele relevante în timp util.</w:t>
      </w:r>
    </w:p>
    <w:p>
      <w:pPr>
        <w:pStyle w:val="ManualNumPar1"/>
        <w:rPr>
          <w:rFonts w:eastAsia="Times New Roman"/>
          <w:noProof/>
        </w:rPr>
      </w:pPr>
      <w:r>
        <w:t>4.</w:t>
      </w:r>
      <w:r>
        <w:tab/>
      </w:r>
      <w:r>
        <w:rPr>
          <w:noProof/>
        </w:rPr>
        <w:t xml:space="preserve">Asistența macrofinanciară din partea Uniunii se acordă pentru o perioadă de 12 luni începând cu prima zi de la intrarea în vigoare a memorandumului de înțelegere menționat la articolul 3 alineatul (1). </w:t>
      </w:r>
    </w:p>
    <w:p>
      <w:pPr>
        <w:pStyle w:val="ManualNumPar1"/>
        <w:rPr>
          <w:noProof/>
        </w:rPr>
      </w:pPr>
      <w:r>
        <w:t>5.</w:t>
      </w:r>
      <w:r>
        <w:tab/>
      </w:r>
      <w:r>
        <w:rPr>
          <w:noProof/>
        </w:rPr>
        <w:t>În cazul în care nevoile de finanțare ale partenerului se reduc în mod semnificativ comparativ cu proiecțiile inițiale în perioada de plată a asistenței macrofinanciare din partea Uniunii, Comisia, hotărând în conformitate cu procedura de examinare menționată la articolul 7 alineatul (2), reduce valoarea asistenței, o suspendă sau o anulează.</w:t>
      </w:r>
    </w:p>
    <w:p>
      <w:pPr>
        <w:pStyle w:val="Titrearticle"/>
        <w:spacing w:before="100" w:beforeAutospacing="1" w:after="100" w:afterAutospacing="1"/>
        <w:rPr>
          <w:noProof/>
        </w:rPr>
      </w:pPr>
      <w:r>
        <w:rPr>
          <w:noProof/>
        </w:rPr>
        <w:lastRenderedPageBreak/>
        <w:t>Articolul 2</w:t>
      </w:r>
    </w:p>
    <w:p>
      <w:pPr>
        <w:pStyle w:val="ManualNumPar1"/>
        <w:rPr>
          <w:noProof/>
        </w:rPr>
      </w:pPr>
      <w:r>
        <w:t>1.</w:t>
      </w:r>
      <w:r>
        <w:tab/>
      </w:r>
      <w:r>
        <w:rPr>
          <w:noProof/>
        </w:rPr>
        <w:t>O condiție prealabilă pentru acordarea asistenței macrofinanciare din partea Uniunii este ca partenerul să respecte mecanismele democratice, printre care sistemul parlamentar pluripartit, și statul de drept, și să garanteze respectarea drepturilor omului.</w:t>
      </w:r>
    </w:p>
    <w:p>
      <w:pPr>
        <w:pStyle w:val="ManualNumPar1"/>
        <w:rPr>
          <w:noProof/>
        </w:rPr>
      </w:pPr>
      <w:r>
        <w:t>2.</w:t>
      </w:r>
      <w:r>
        <w:tab/>
      </w:r>
      <w:r>
        <w:rPr>
          <w:noProof/>
        </w:rPr>
        <w:t>Comisia și Serviciul European de Acțiune Externă monitorizează îndeplinirea acestei condiții prealabile pe parcursul întregului ciclu de viață al asistenței macrofinanciare din partea Uniunii.</w:t>
      </w:r>
    </w:p>
    <w:p>
      <w:pPr>
        <w:pStyle w:val="ManualNumPar1"/>
        <w:rPr>
          <w:noProof/>
        </w:rPr>
      </w:pPr>
      <w:r>
        <w:t>3.</w:t>
      </w:r>
      <w:r>
        <w:tab/>
      </w:r>
      <w:r>
        <w:rPr>
          <w:noProof/>
        </w:rPr>
        <w:t>Alineatele (1) și (2) de la prezentul articol se aplică în conformitate cu Decizia 2010/427/UE a Consiliului</w:t>
      </w:r>
      <w:r>
        <w:rPr>
          <w:rStyle w:val="FootnoteReference"/>
          <w:noProof/>
        </w:rPr>
        <w:footnoteReference w:id="7"/>
      </w:r>
      <w:r>
        <w:rPr>
          <w:noProof/>
        </w:rPr>
        <w:t>.</w:t>
      </w:r>
    </w:p>
    <w:p>
      <w:pPr>
        <w:pStyle w:val="Titrearticle"/>
        <w:spacing w:before="100" w:beforeAutospacing="1" w:after="100" w:afterAutospacing="1"/>
        <w:rPr>
          <w:noProof/>
        </w:rPr>
      </w:pPr>
      <w:r>
        <w:rPr>
          <w:noProof/>
        </w:rPr>
        <w:t>Articolul 3</w:t>
      </w:r>
    </w:p>
    <w:p>
      <w:pPr>
        <w:pStyle w:val="ManualNumPar1"/>
        <w:rPr>
          <w:noProof/>
        </w:rPr>
      </w:pPr>
      <w:r>
        <w:t>1.</w:t>
      </w:r>
      <w:r>
        <w:tab/>
      </w:r>
      <w:r>
        <w:rPr>
          <w:noProof/>
        </w:rPr>
        <w:t>Comisia, în conformitate cu procedura de examinare menționată la articolul 7 alineatul (2), convine cu autoritățile fiecărui partener asupra unor condiții financiare și de politică economică clar definite, axate pe reforme structurale și pe finanțe publice solide, în funcție de care urmează să fie acordată asistența macrofinanciară din partea Uniunii și care urmează să fie stabilite într-un memorandum de înțelegere (denumit în continuare „memorandumul de înțelegere”), care trebuie să cuprindă un calendar pentru îndeplinirea condițiilor respective. Condițiile financiare și de politică economică prevăzute în memorandumul de înțelegere trebuie să fie coerente cu acordurile sau înțelegerile menționate la articolul 1 alineatul (3), inclusiv cu programele de ajustare macroeconomică și de reformă structurală implementate de către partener, cu sprijinul FMI.</w:t>
      </w:r>
    </w:p>
    <w:p>
      <w:pPr>
        <w:pStyle w:val="ManualNumPar1"/>
        <w:rPr>
          <w:noProof/>
        </w:rPr>
      </w:pPr>
      <w:r>
        <w:t>2.</w:t>
      </w:r>
      <w:r>
        <w:tab/>
      </w:r>
      <w:r>
        <w:rPr>
          <w:noProof/>
        </w:rPr>
        <w:t xml:space="preserve">Condițiile menționate la alineatul (1) trebuie să vizeze, în special, sporirea eficienței, a transparenței și a responsabilității sistemelor de gestionare a finanțelor publice ale partenerilor, inclusiv în ceea ce privește utilizarea asistenței macrofinanciare din partea Uniunii. Progresele înregistrate cu privire la deschiderea reciprocă a piețelor, dezvoltarea schimburilor comerciale echitabile și bazate pe norme, precum și alte priorități în contextul politicii externe a Uniunii trebuie și ele luate în considerare în mod corespunzător în momentul elaborării măsurilor de politică. Progresele înregistrate în atingerea obiectivelor respective sunt monitorizate periodic de către Comisie. </w:t>
      </w:r>
    </w:p>
    <w:p>
      <w:pPr>
        <w:pStyle w:val="ManualNumPar1"/>
        <w:rPr>
          <w:noProof/>
        </w:rPr>
      </w:pPr>
      <w:r>
        <w:t>3.</w:t>
      </w:r>
      <w:r>
        <w:tab/>
      </w:r>
      <w:r>
        <w:rPr>
          <w:noProof/>
        </w:rPr>
        <w:t xml:space="preserve">Condițiile financiare detaliate ale asistenței macrofinanciare din partea Uniunii se stabilesc într-un acord de împrumut care urmează a fi încheiat între Comisie și autoritățile fiecărui partener separat. </w:t>
      </w:r>
    </w:p>
    <w:p>
      <w:pPr>
        <w:pStyle w:val="ManualNumPar1"/>
        <w:rPr>
          <w:noProof/>
        </w:rPr>
      </w:pPr>
      <w:r>
        <w:t>4.</w:t>
      </w:r>
      <w:r>
        <w:tab/>
      </w:r>
      <w:r>
        <w:rPr>
          <w:noProof/>
        </w:rPr>
        <w:t>Comisia verifică periodic îndeplinirea în continuare a condițiilor menționate la articolul 4 alineatul (3), inclusiv conformitatea politicilor economice ale partenerului cu obiectivele asistenței macrofinanciare din partea Uniunii. În cadrul acestor verificări, Comisia acționează în strânsă coordonare cu FMI și cu Banca Mondială și, dacă este necesar, cu Parlamentul European și Consiliul.</w:t>
      </w:r>
    </w:p>
    <w:p>
      <w:pPr>
        <w:pStyle w:val="Titrearticle"/>
        <w:spacing w:before="100" w:beforeAutospacing="1" w:after="100" w:afterAutospacing="1"/>
        <w:rPr>
          <w:noProof/>
        </w:rPr>
      </w:pPr>
      <w:r>
        <w:rPr>
          <w:noProof/>
        </w:rPr>
        <w:lastRenderedPageBreak/>
        <w:t>Articolul 4</w:t>
      </w:r>
    </w:p>
    <w:p>
      <w:pPr>
        <w:pStyle w:val="ManualNumPar1"/>
        <w:rPr>
          <w:noProof/>
        </w:rPr>
      </w:pPr>
      <w:r>
        <w:t>1.</w:t>
      </w:r>
      <w:r>
        <w:tab/>
      </w:r>
      <w:r>
        <w:rPr>
          <w:noProof/>
        </w:rPr>
        <w:t xml:space="preserve">Sub rezerva condițiilor prevăzute la alineatul (3), asistența macrofinanciară din partea Uniunii este pusă la dispoziție de către Comisie în două tranșe de împrumut. Mărimea fiecărei tranșe trebuie stabilită în memorandumul de înțelegere menționat la articolul 3. </w:t>
      </w:r>
    </w:p>
    <w:p>
      <w:pPr>
        <w:pStyle w:val="ManualNumPar1"/>
        <w:rPr>
          <w:noProof/>
        </w:rPr>
      </w:pPr>
      <w:r>
        <w:t>2.</w:t>
      </w:r>
      <w:r>
        <w:tab/>
      </w:r>
      <w:r>
        <w:rPr>
          <w:noProof/>
        </w:rPr>
        <w:t>Sumele reprezentând asistența macrofinanciară din partea Uniunii sunt provizionate, dacă este cazul, în conformitate cu Regulamentul (CE, Euratom) nr. 480/2009 al Consiliului</w:t>
      </w:r>
      <w:r>
        <w:rPr>
          <w:rStyle w:val="FootnoteReference"/>
          <w:noProof/>
        </w:rPr>
        <w:footnoteReference w:id="8"/>
      </w:r>
      <w:r>
        <w:rPr>
          <w:noProof/>
        </w:rPr>
        <w:t xml:space="preserve">. </w:t>
      </w:r>
    </w:p>
    <w:p>
      <w:pPr>
        <w:pStyle w:val="ManualNumPar1"/>
        <w:rPr>
          <w:noProof/>
        </w:rPr>
      </w:pPr>
      <w:r>
        <w:t>3.</w:t>
      </w:r>
      <w:r>
        <w:tab/>
      </w:r>
      <w:r>
        <w:rPr>
          <w:noProof/>
        </w:rPr>
        <w:t>Comisia decide punerea la dispoziție a tranșelor cu condiția îndeplinirii tuturor condițiilor următoare:</w:t>
      </w:r>
    </w:p>
    <w:p>
      <w:pPr>
        <w:pStyle w:val="Point1"/>
        <w:rPr>
          <w:noProof/>
        </w:rPr>
      </w:pPr>
      <w:r>
        <w:t>(a)</w:t>
      </w:r>
      <w:r>
        <w:tab/>
      </w:r>
      <w:r>
        <w:rPr>
          <w:noProof/>
        </w:rPr>
        <w:t>condiția prealabilă prevăzută la articolul 2;</w:t>
      </w:r>
    </w:p>
    <w:p>
      <w:pPr>
        <w:pStyle w:val="Point1"/>
        <w:rPr>
          <w:noProof/>
        </w:rPr>
      </w:pPr>
      <w:r>
        <w:t>(b)</w:t>
      </w:r>
      <w:r>
        <w:tab/>
      </w:r>
      <w:r>
        <w:rPr>
          <w:noProof/>
        </w:rPr>
        <w:t xml:space="preserve">un istoric satisfăcător și continuu de implementare a unui mecanism de creditare al FMI fără caracter prudențial; </w:t>
      </w:r>
    </w:p>
    <w:p>
      <w:pPr>
        <w:pStyle w:val="Point1"/>
        <w:rPr>
          <w:noProof/>
          <w:szCs w:val="24"/>
        </w:rPr>
      </w:pPr>
      <w:r>
        <w:t>(c)</w:t>
      </w:r>
      <w:r>
        <w:tab/>
      </w:r>
      <w:r>
        <w:rPr>
          <w:noProof/>
        </w:rPr>
        <w:t xml:space="preserve">implementarea satisfăcătoare a condițiilor financiare și de politică economică convenite în memorandumul de înțelegere. </w:t>
      </w:r>
    </w:p>
    <w:p>
      <w:pPr>
        <w:pStyle w:val="Text1"/>
        <w:rPr>
          <w:noProof/>
        </w:rPr>
      </w:pPr>
      <w:r>
        <w:rPr>
          <w:noProof/>
        </w:rPr>
        <w:t xml:space="preserve">Eliberarea celei de a doua tranșe nu trebuie să aibă loc, în principiu, mai devreme de trei luni de la punerea la dispoziție a primei tranșe. </w:t>
      </w:r>
    </w:p>
    <w:p>
      <w:pPr>
        <w:pStyle w:val="ManualNumPar1"/>
        <w:rPr>
          <w:noProof/>
        </w:rPr>
      </w:pPr>
      <w:r>
        <w:t>4.</w:t>
      </w:r>
      <w:r>
        <w:tab/>
      </w:r>
      <w:r>
        <w:rPr>
          <w:noProof/>
        </w:rPr>
        <w:t xml:space="preserve">În cazul în care condițiile menționate la alineatul (3) primul paragraf nu sunt îndeplinite, Comisia suspendă temporar sau anulează plata asistenței macrofinanciare din partea Uniunii. În astfel de cazuri, Comisia informează Parlamentul European și Consiliul cu privire la motivele respectivei suspendări sau anulări. </w:t>
      </w:r>
    </w:p>
    <w:p>
      <w:pPr>
        <w:pStyle w:val="ManualNumPar1"/>
        <w:rPr>
          <w:noProof/>
        </w:rPr>
      </w:pPr>
      <w:r>
        <w:t>5.</w:t>
      </w:r>
      <w:r>
        <w:tab/>
      </w:r>
      <w:r>
        <w:rPr>
          <w:noProof/>
        </w:rPr>
        <w:t>Asistența macrofinanciară din partea Uniunii trebuie plătită băncii centrale a partenerului. Sub rezerva dispozițiilor stabilite în memorandumul de înțelegere, care includ o confirmare a nevoilor reziduale de finanțare bugetară, fondurile Uniunii pot fi transferate Ministerului de finanțe în calitate de beneficiar final.</w:t>
      </w:r>
    </w:p>
    <w:p>
      <w:pPr>
        <w:pStyle w:val="Titrearticle"/>
        <w:spacing w:before="100" w:beforeAutospacing="1" w:after="100" w:afterAutospacing="1"/>
        <w:rPr>
          <w:noProof/>
        </w:rPr>
      </w:pPr>
      <w:r>
        <w:rPr>
          <w:noProof/>
        </w:rPr>
        <w:t>Articolul 5</w:t>
      </w:r>
    </w:p>
    <w:p>
      <w:pPr>
        <w:pStyle w:val="ManualNumPar1"/>
        <w:rPr>
          <w:noProof/>
        </w:rPr>
      </w:pPr>
      <w:r>
        <w:t>1.</w:t>
      </w:r>
      <w:r>
        <w:tab/>
      </w:r>
      <w:r>
        <w:rPr>
          <w:noProof/>
        </w:rPr>
        <w:t>Operațiunile de contractare și de acordare a împrumuturilor legate de asistența macrofinanciară din partea Uniunii se efectuează în euro, utilizând aceeași dată a valutei, și nu trebuie să implice Uniunea în transformarea scadențelor sau să o expună la riscuri legate de cursul de schimb sau de rata dobânzii, sau la orice alt tip de risc comercial.</w:t>
      </w:r>
    </w:p>
    <w:p>
      <w:pPr>
        <w:pStyle w:val="ManualNumPar1"/>
        <w:rPr>
          <w:noProof/>
        </w:rPr>
      </w:pPr>
      <w:r>
        <w:t>2.</w:t>
      </w:r>
      <w:r>
        <w:tab/>
      </w:r>
      <w:r>
        <w:rPr>
          <w:noProof/>
        </w:rPr>
        <w:t xml:space="preserve">În cazul în care condițiile permit acest lucru și la solicitarea partenerului, Comisia poate lua măsurile necesare pentru a asigura includerea în termenii și condițiile de acordare a împrumutului a unei clauze de rambursare anticipată, precum și corelarea acestei clauze cu o clauză corespondentă în termenii și condițiile operațiunilor de contractare a împrumutului. </w:t>
      </w:r>
    </w:p>
    <w:p>
      <w:pPr>
        <w:pStyle w:val="ManualNumPar1"/>
        <w:rPr>
          <w:noProof/>
        </w:rPr>
      </w:pPr>
      <w:r>
        <w:t>3.</w:t>
      </w:r>
      <w:r>
        <w:tab/>
      </w:r>
      <w:r>
        <w:rPr>
          <w:noProof/>
        </w:rPr>
        <w:t xml:space="preserve">Dacă circumstanțele permit îmbunătățirea ratei dobânzii împrumutului și dacă partenerul solicită acest lucru, Comisia poate decide refinanțarea integrală sau parțială a împrumuturilor sale contractate inițiale sau poate restructura condițiile </w:t>
      </w:r>
      <w:r>
        <w:rPr>
          <w:noProof/>
        </w:rPr>
        <w:lastRenderedPageBreak/>
        <w:t>financiare aferente. Operațiunile de refinanțare sau restructurare se efectuează în conformitate cu alineatele (1) și (4) și nu trebuie să aibă ca efect prelungirea scadenței respectivelor împrumuturi sau majorarea valorii capitalului restant la data refinanțării sau a restructurării.</w:t>
      </w:r>
    </w:p>
    <w:p>
      <w:pPr>
        <w:pStyle w:val="ManualNumPar1"/>
        <w:rPr>
          <w:noProof/>
        </w:rPr>
      </w:pPr>
      <w:r>
        <w:t>4.</w:t>
      </w:r>
      <w:r>
        <w:tab/>
      </w:r>
      <w:r>
        <w:rPr>
          <w:noProof/>
        </w:rPr>
        <w:t xml:space="preserve">Toate costurile contractate de Uniune care au legătură cu operațiunile de contractare și de acordare a împrumutului prevăzute în prezenta decizie sunt suportate de partener. </w:t>
      </w:r>
    </w:p>
    <w:p>
      <w:pPr>
        <w:pStyle w:val="ManualNumPar1"/>
        <w:rPr>
          <w:noProof/>
        </w:rPr>
      </w:pPr>
      <w:r>
        <w:t>5.</w:t>
      </w:r>
      <w:r>
        <w:tab/>
      </w:r>
      <w:r>
        <w:rPr>
          <w:noProof/>
        </w:rPr>
        <w:t>Comisia informează Parlamentul European și Consiliul cu privire la evoluția operațiunilor menționate la alineatele (2) și (3).</w:t>
      </w:r>
    </w:p>
    <w:p>
      <w:pPr>
        <w:pStyle w:val="Titrearticle"/>
        <w:spacing w:before="100" w:beforeAutospacing="1" w:after="100" w:afterAutospacing="1"/>
        <w:rPr>
          <w:noProof/>
        </w:rPr>
      </w:pPr>
      <w:r>
        <w:rPr>
          <w:noProof/>
        </w:rPr>
        <w:t>Articolul 6</w:t>
      </w:r>
    </w:p>
    <w:p>
      <w:pPr>
        <w:pStyle w:val="ManualNumPar1"/>
        <w:rPr>
          <w:noProof/>
        </w:rPr>
      </w:pPr>
      <w:r>
        <w:t>1.</w:t>
      </w:r>
      <w:r>
        <w:tab/>
      </w:r>
      <w:r>
        <w:rPr>
          <w:noProof/>
        </w:rPr>
        <w:t>Asistența macrofinanciară din partea Uniunii este pusă în aplicare în conformitate cu Regulamentul (UE, Euratom) 2018/1046 al Parlamentului European și al Consiliului</w:t>
      </w:r>
      <w:r>
        <w:rPr>
          <w:rStyle w:val="FootnoteReference"/>
          <w:noProof/>
        </w:rPr>
        <w:footnoteReference w:id="9"/>
      </w:r>
      <w:r>
        <w:rPr>
          <w:noProof/>
        </w:rPr>
        <w:t>.</w:t>
      </w:r>
    </w:p>
    <w:p>
      <w:pPr>
        <w:pStyle w:val="ManualNumPar1"/>
        <w:rPr>
          <w:noProof/>
        </w:rPr>
      </w:pPr>
      <w:r>
        <w:t>2.</w:t>
      </w:r>
      <w:r>
        <w:tab/>
      </w:r>
      <w:r>
        <w:rPr>
          <w:noProof/>
        </w:rPr>
        <w:t>Asistența macrofinanciară din partea Uniunii este implementată prin gestionare directă.</w:t>
      </w:r>
    </w:p>
    <w:p>
      <w:pPr>
        <w:pStyle w:val="ManualNumPar1"/>
        <w:rPr>
          <w:noProof/>
        </w:rPr>
      </w:pPr>
      <w:r>
        <w:t>3.</w:t>
      </w:r>
      <w:r>
        <w:tab/>
      </w:r>
      <w:r>
        <w:rPr>
          <w:noProof/>
        </w:rPr>
        <w:t xml:space="preserve">Acordul de împrumut menționat la articolul 3 alineatul (3) trebuie să conțină dispoziții care: </w:t>
      </w:r>
    </w:p>
    <w:p>
      <w:pPr>
        <w:pStyle w:val="Point1"/>
        <w:rPr>
          <w:noProof/>
        </w:rPr>
      </w:pPr>
      <w:r>
        <w:t>(a)</w:t>
      </w:r>
      <w:r>
        <w:tab/>
      </w:r>
      <w:r>
        <w:rPr>
          <w:noProof/>
        </w:rPr>
        <w:t>să asigure faptul că partenerul verifică periodic dacă finanțarea acordată din bugetul Uniunii a fost utilizată în mod corect, adoptă măsurile corespunzătoare de prevenire a neregulilor și a fraudei și, atunci când este necesar, deschide acțiuni în justiție pentru recuperarea oricăror fonduri furnizate în temeiul prezentei decizii care au fost deturnate;</w:t>
      </w:r>
    </w:p>
    <w:p>
      <w:pPr>
        <w:pStyle w:val="Point1"/>
        <w:rPr>
          <w:noProof/>
        </w:rPr>
      </w:pPr>
      <w:r>
        <w:t>(b)</w:t>
      </w:r>
      <w:r>
        <w:tab/>
      </w:r>
      <w:r>
        <w:rPr>
          <w:noProof/>
        </w:rPr>
        <w:t>să asigure protecția intereselor financiare ale Uniunii, prevăzând îndeosebi măsuri specifice pentru prevenirea și combaterea fraudei, a corupției și a oricăror altor nereguli care afectează asistența macrofinanciară din partea Uniunii, în conformitate cu Regulamentul (CE, Euratom) nr. 2988/95 al Consiliului</w:t>
      </w:r>
      <w:r>
        <w:rPr>
          <w:rStyle w:val="FootnoteReference"/>
          <w:noProof/>
        </w:rPr>
        <w:footnoteReference w:id="10"/>
      </w:r>
      <w:r>
        <w:rPr>
          <w:noProof/>
        </w:rPr>
        <w:t>, cu Regulamentul (CE, Euratom) nr. 2185/96 al Consiliului</w:t>
      </w:r>
      <w:r>
        <w:rPr>
          <w:rStyle w:val="FootnoteReference"/>
          <w:noProof/>
        </w:rPr>
        <w:footnoteReference w:id="11"/>
      </w:r>
      <w:r>
        <w:rPr>
          <w:noProof/>
        </w:rPr>
        <w:t xml:space="preserve"> și cu Regulamentul (UE, Euratom) nr. 883/2013 al Parlamentului European și al Consiliului</w:t>
      </w:r>
      <w:r>
        <w:rPr>
          <w:rStyle w:val="FootnoteReference"/>
          <w:noProof/>
        </w:rPr>
        <w:footnoteReference w:id="12"/>
      </w:r>
      <w:r>
        <w:rPr>
          <w:noProof/>
        </w:rPr>
        <w:t xml:space="preserve">, și, pentru statele membre care participă la cooperarea consolidată în ceea ce privește Parchetul European, cu Regulamentul (UE) 2017/1939 al </w:t>
      </w:r>
      <w:r>
        <w:rPr>
          <w:noProof/>
        </w:rPr>
        <w:lastRenderedPageBreak/>
        <w:t>Consiliului</w:t>
      </w:r>
      <w:r>
        <w:rPr>
          <w:rStyle w:val="FootnoteReference"/>
          <w:noProof/>
        </w:rPr>
        <w:footnoteReference w:id="13"/>
      </w:r>
      <w:r>
        <w:rPr>
          <w:noProof/>
        </w:rPr>
        <w:t xml:space="preserve">. În special, în acest scop, Oficiul European de Luptă Antifraudă (OLAF) este autorizat în mod expres să efectueze investigații, îndeosebi verificări la fața locului și inspecții, inclusiv operațiuni de expertiză criminalistică digitală și interviuri; </w:t>
      </w:r>
    </w:p>
    <w:p>
      <w:pPr>
        <w:pStyle w:val="Point1"/>
        <w:rPr>
          <w:noProof/>
        </w:rPr>
      </w:pPr>
      <w:r>
        <w:t>(c)</w:t>
      </w:r>
      <w:r>
        <w:tab/>
      </w:r>
      <w:r>
        <w:rPr>
          <w:noProof/>
        </w:rPr>
        <w:t xml:space="preserve">să autorizeze în mod expres Comisia sau pe reprezentanții acesteia să efectueze verificări, inclusiv verificări și inspecții la fața locului; </w:t>
      </w:r>
    </w:p>
    <w:p>
      <w:pPr>
        <w:pStyle w:val="Point1"/>
        <w:rPr>
          <w:noProof/>
        </w:rPr>
      </w:pPr>
      <w:r>
        <w:t>(d)</w:t>
      </w:r>
      <w:r>
        <w:tab/>
      </w:r>
      <w:r>
        <w:rPr>
          <w:noProof/>
        </w:rPr>
        <w:t>să autorizeze în mod expres Comisia și Curtea de Conturi să efectueze audituri atât pe parcursul, cât și după încheierea perioadei de disponibilitate a asistenței macrofinanciare din partea Uniunii, inclusiv audituri ale documentelor și audituri la fața locului, cum ar fi evaluările operaționale;</w:t>
      </w:r>
    </w:p>
    <w:p>
      <w:pPr>
        <w:pStyle w:val="Point1"/>
        <w:rPr>
          <w:noProof/>
        </w:rPr>
      </w:pPr>
      <w:r>
        <w:t>(e)</w:t>
      </w:r>
      <w:r>
        <w:tab/>
      </w:r>
      <w:r>
        <w:rPr>
          <w:noProof/>
        </w:rPr>
        <w:t>să asigure faptul că Uniunea are dreptul la rambursarea anticipată a împrumutului atunci când s-a stabilit că, în ceea ce privește gestionarea asistenței macrofinanciare din partea Uniunii, partenerul s-a angajat într-un act de fraudă sau corupție sau într-o altă activitate ilegală care prejudiciază interesele financiare ale Uniunii;</w:t>
      </w:r>
    </w:p>
    <w:p>
      <w:pPr>
        <w:pStyle w:val="Point1"/>
        <w:rPr>
          <w:noProof/>
        </w:rPr>
      </w:pPr>
      <w:r>
        <w:t>(f)</w:t>
      </w:r>
      <w:r>
        <w:tab/>
      </w:r>
      <w:r>
        <w:rPr>
          <w:noProof/>
        </w:rPr>
        <w:t>să asigure faptul că toate costurile înregistrate de Uniune care au legătură cu o asistență financiară sunt suportate de partener.</w:t>
      </w:r>
    </w:p>
    <w:p>
      <w:pPr>
        <w:pStyle w:val="ManualNumPar1"/>
        <w:rPr>
          <w:noProof/>
        </w:rPr>
      </w:pPr>
      <w:r>
        <w:t>4.</w:t>
      </w:r>
      <w:r>
        <w:tab/>
      </w:r>
      <w:r>
        <w:rPr>
          <w:noProof/>
        </w:rPr>
        <w:t>Înainte de punerea în aplicare a asistenței macrofinanciare din partea Uniunii, Comisia evaluează, prin intermediul unei evaluări operaționale, soliditatea mecanismelor financiare, procedurile administrative și mecanismele interne și externe de control ale partenerului care sunt relevante pentru această asistență.</w:t>
      </w:r>
    </w:p>
    <w:p>
      <w:pPr>
        <w:pStyle w:val="Titrearticle"/>
        <w:spacing w:before="100" w:beforeAutospacing="1" w:after="100" w:afterAutospacing="1"/>
        <w:rPr>
          <w:noProof/>
        </w:rPr>
      </w:pPr>
      <w:r>
        <w:rPr>
          <w:noProof/>
        </w:rPr>
        <w:t>Articolul 7</w:t>
      </w:r>
    </w:p>
    <w:p>
      <w:pPr>
        <w:pStyle w:val="ManualNumPar1"/>
        <w:rPr>
          <w:noProof/>
        </w:rPr>
      </w:pPr>
      <w:r>
        <w:t>1.</w:t>
      </w:r>
      <w:r>
        <w:tab/>
      </w:r>
      <w:r>
        <w:rPr>
          <w:noProof/>
        </w:rPr>
        <w:t>Comisia este asistată de un comitet. Respectivul comitet reprezintă un comitet în sensul Regulamentului (UE) nr. 182/2011.</w:t>
      </w:r>
    </w:p>
    <w:p>
      <w:pPr>
        <w:pStyle w:val="ManualNumPar1"/>
        <w:rPr>
          <w:noProof/>
        </w:rPr>
      </w:pPr>
      <w:r>
        <w:t>2.</w:t>
      </w:r>
      <w:r>
        <w:tab/>
      </w:r>
      <w:r>
        <w:rPr>
          <w:noProof/>
        </w:rPr>
        <w:t>Atunci când se face trimitere la prezentul alineat, articolul 4 din Regulamentul (UE) nr. 182/2011 se aplică asistenței macrofinanciare a Uniunii acordate Muntenegrului, în timp ce articolul 5 din Regulamentul (UE) nr. 182/2011 se aplică asistenței macrofinanciare din partea Uniunii pentru ceilalți parteneri vizați de prezenta decizie.</w:t>
      </w:r>
    </w:p>
    <w:p>
      <w:pPr>
        <w:pStyle w:val="Titrearticle"/>
        <w:spacing w:before="100" w:beforeAutospacing="1" w:after="100" w:afterAutospacing="1"/>
        <w:rPr>
          <w:noProof/>
        </w:rPr>
      </w:pPr>
      <w:r>
        <w:rPr>
          <w:noProof/>
        </w:rPr>
        <w:t>Articolul 8</w:t>
      </w:r>
    </w:p>
    <w:p>
      <w:pPr>
        <w:pStyle w:val="ManualNumPar1"/>
        <w:rPr>
          <w:noProof/>
        </w:rPr>
      </w:pPr>
      <w:r>
        <w:t>1.</w:t>
      </w:r>
      <w:r>
        <w:tab/>
      </w:r>
      <w:r>
        <w:rPr>
          <w:noProof/>
        </w:rPr>
        <w:t>Până la data de 30 iunie a fiecărui an, Comisia înaintează Parlamentului European și Consiliului un raport privind punerea în aplicare a prezentei decizii în anul anterior, inclusiv o evaluare a punerii în aplicare. Raportul trebuie:</w:t>
      </w:r>
    </w:p>
    <w:p>
      <w:pPr>
        <w:pStyle w:val="Point1"/>
        <w:rPr>
          <w:noProof/>
        </w:rPr>
      </w:pPr>
      <w:r>
        <w:t>(a)</w:t>
      </w:r>
      <w:r>
        <w:tab/>
      </w:r>
      <w:r>
        <w:rPr>
          <w:noProof/>
        </w:rPr>
        <w:tab/>
        <w:t>să examineze progresele înregistrate în punerea în aplicare a asistenței macrofinanciare din partea Uniunii;</w:t>
      </w:r>
    </w:p>
    <w:p>
      <w:pPr>
        <w:pStyle w:val="Point1"/>
        <w:rPr>
          <w:noProof/>
        </w:rPr>
      </w:pPr>
      <w:r>
        <w:t>(b)</w:t>
      </w:r>
      <w:r>
        <w:tab/>
      </w:r>
      <w:r>
        <w:rPr>
          <w:noProof/>
        </w:rPr>
        <w:tab/>
        <w:t>să evalueze situația și perspectivele economice ale partenerilor, precum și progresele înregistrate în punerea în aplicare a măsurilor de politică menționate la articolul 3 alineatul (1);</w:t>
      </w:r>
    </w:p>
    <w:p>
      <w:pPr>
        <w:pStyle w:val="Point1"/>
        <w:rPr>
          <w:noProof/>
        </w:rPr>
      </w:pPr>
      <w:r>
        <w:lastRenderedPageBreak/>
        <w:t>(c)</w:t>
      </w:r>
      <w:r>
        <w:tab/>
      </w:r>
      <w:r>
        <w:rPr>
          <w:noProof/>
        </w:rPr>
        <w:t>să indice legătura dintre condițiile de politică economică prevăzute în memorandumul de înțelegere, performanțele economice și bugetare ale partenerilor la acea dată și deciziile Comisiei de a pune la dispoziție tranșele asistenței macrofinanciare din partea Uniunii.</w:t>
      </w:r>
    </w:p>
    <w:p>
      <w:pPr>
        <w:pStyle w:val="ManualNumPar1"/>
        <w:rPr>
          <w:noProof/>
        </w:rPr>
      </w:pPr>
      <w:r>
        <w:t>2.</w:t>
      </w:r>
      <w:r>
        <w:tab/>
      </w:r>
      <w:r>
        <w:rPr>
          <w:noProof/>
        </w:rPr>
        <w:t>În cel mult doi ani de la expirarea perioadei de disponibilitate menționate la articolul 1 alineatul (4), Comisia prezintă Parlamentului European și Consiliului un raport de evaluare ex-post, care analizează rezultatele și eficiența asistenței macrofinanciare acordate deja de Uniune și măsura în care aceasta a contribuit la obiectivele asistenței.</w:t>
      </w:r>
    </w:p>
    <w:p>
      <w:pPr>
        <w:pStyle w:val="Titrearticle"/>
        <w:spacing w:before="100" w:beforeAutospacing="1" w:after="100" w:afterAutospacing="1"/>
        <w:rPr>
          <w:noProof/>
        </w:rPr>
      </w:pPr>
      <w:r>
        <w:rPr>
          <w:noProof/>
        </w:rPr>
        <w:t>Articolul 9</w:t>
      </w:r>
    </w:p>
    <w:p>
      <w:pPr>
        <w:keepNext/>
        <w:keepLines/>
        <w:spacing w:before="100" w:beforeAutospacing="1" w:after="100" w:afterAutospacing="1"/>
        <w:rPr>
          <w:noProof/>
        </w:rPr>
      </w:pPr>
      <w:r>
        <w:rPr>
          <w:noProof/>
        </w:rPr>
        <w:t xml:space="preserve">Prezenta decizie intră în vigoare la data publicării în </w:t>
      </w:r>
      <w:r>
        <w:rPr>
          <w:i/>
          <w:noProof/>
        </w:rPr>
        <w:t>Jurnalul Oficial al Uniunii Europene</w:t>
      </w:r>
      <w:r>
        <w:rPr>
          <w:noProof/>
        </w:rPr>
        <w:t>.</w:t>
      </w:r>
    </w:p>
    <w:p>
      <w:pPr>
        <w:pStyle w:val="Fait"/>
        <w:rPr>
          <w:noProof/>
        </w:rPr>
      </w:pPr>
      <w: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FIȘĂ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Denumirea propunerii/inițiativei </w:t>
      </w:r>
    </w:p>
    <w:p>
      <w:pPr>
        <w:pStyle w:val="ManualHeading2"/>
        <w:rPr>
          <w:b w:val="0"/>
          <w:noProof/>
        </w:rPr>
      </w:pPr>
      <w:r>
        <w:rPr>
          <w:noProof/>
        </w:rPr>
        <w:tab/>
      </w:r>
      <w:r>
        <w:rPr>
          <w:b w:val="0"/>
          <w:noProof/>
        </w:rPr>
        <w:t>1.2.</w:t>
      </w:r>
      <w:r>
        <w:rPr>
          <w:noProof/>
        </w:rPr>
        <w:tab/>
      </w:r>
      <w:r>
        <w:rPr>
          <w:b w:val="0"/>
          <w:noProof/>
        </w:rPr>
        <w:t>Domeniul (domeniile) de politică vizat(e) în structura ABM/ABB</w:t>
      </w:r>
    </w:p>
    <w:p>
      <w:pPr>
        <w:pStyle w:val="ManualHeading2"/>
        <w:rPr>
          <w:b w:val="0"/>
          <w:noProof/>
        </w:rPr>
      </w:pPr>
      <w:r>
        <w:rPr>
          <w:noProof/>
        </w:rPr>
        <w:tab/>
      </w:r>
      <w:r>
        <w:rPr>
          <w:b w:val="0"/>
          <w:noProof/>
        </w:rPr>
        <w:t>1.3.</w:t>
      </w:r>
      <w:r>
        <w:rPr>
          <w:noProof/>
        </w:rPr>
        <w:tab/>
      </w:r>
      <w:r>
        <w:rPr>
          <w:b w:val="0"/>
          <w:noProof/>
        </w:rPr>
        <w:t xml:space="preserve">Natura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2"/>
        <w:rPr>
          <w:b w:val="0"/>
          <w:noProof/>
        </w:rPr>
      </w:pPr>
      <w:r>
        <w:rPr>
          <w:noProof/>
        </w:rPr>
        <w:tab/>
      </w:r>
      <w:r>
        <w:rPr>
          <w:b w:val="0"/>
          <w:noProof/>
        </w:rPr>
        <w:t>1.6.</w:t>
      </w:r>
      <w:r>
        <w:rPr>
          <w:noProof/>
        </w:rPr>
        <w:tab/>
      </w:r>
      <w:r>
        <w:rPr>
          <w:b w:val="0"/>
          <w:noProof/>
        </w:rPr>
        <w:t xml:space="preserve">Durata și impactul financiar </w:t>
      </w:r>
    </w:p>
    <w:p>
      <w:pPr>
        <w:pStyle w:val="ManualHeading2"/>
        <w:rPr>
          <w:b w:val="0"/>
          <w:noProof/>
        </w:rPr>
      </w:pPr>
      <w:r>
        <w:rPr>
          <w:noProof/>
        </w:rPr>
        <w:tab/>
      </w:r>
      <w:r>
        <w:rPr>
          <w:b w:val="0"/>
          <w:noProof/>
        </w:rPr>
        <w:t>1.7.</w:t>
      </w:r>
      <w:r>
        <w:rPr>
          <w:noProof/>
        </w:rPr>
        <w:tab/>
      </w:r>
      <w:r>
        <w:rPr>
          <w:b w:val="0"/>
          <w:noProof/>
        </w:rPr>
        <w:t xml:space="preserve">Modul (modurile) de gestiune preconizat(e) </w:t>
      </w:r>
    </w:p>
    <w:p>
      <w:pPr>
        <w:pStyle w:val="ManualHeading1"/>
        <w:rPr>
          <w:noProof/>
        </w:rPr>
      </w:pPr>
      <w:r>
        <w:rPr>
          <w:noProof/>
        </w:rPr>
        <w:t>2.</w:t>
      </w:r>
      <w:r>
        <w:rPr>
          <w:noProof/>
        </w:rPr>
        <w:tab/>
        <w:t xml:space="preserve">MĂSURI DE GESTIUNE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 xml:space="preserve">Sistemul (sistemele) de gestiune și de control </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pPr>
        <w:pStyle w:val="ManualHeading3"/>
        <w:rPr>
          <w:noProof/>
        </w:rPr>
      </w:pPr>
      <w:r>
        <w:rPr>
          <w:noProof/>
        </w:rPr>
        <w:tab/>
        <w:t>3.2.1.</w:t>
      </w:r>
      <w:r>
        <w:rPr>
          <w:noProof/>
        </w:rPr>
        <w:tab/>
        <w:t xml:space="preserve">Sinteza impactului estimat asupra cheltuielilor </w:t>
      </w:r>
    </w:p>
    <w:p>
      <w:pPr>
        <w:pStyle w:val="ManualHeading3"/>
        <w:rPr>
          <w:noProof/>
        </w:rPr>
      </w:pPr>
      <w:r>
        <w:rPr>
          <w:noProof/>
        </w:rPr>
        <w:tab/>
        <w:t>3.2.2.</w:t>
      </w:r>
      <w:r>
        <w:rPr>
          <w:noProof/>
        </w:rPr>
        <w:tab/>
        <w:t xml:space="preserve">Impactul estimat asupra creditelor operaționale </w:t>
      </w:r>
    </w:p>
    <w:p>
      <w:pPr>
        <w:pStyle w:val="ManualHeading3"/>
        <w:rPr>
          <w:noProof/>
        </w:rPr>
      </w:pPr>
      <w:r>
        <w:rPr>
          <w:noProof/>
        </w:rPr>
        <w:tab/>
        <w:t>3.2.3.</w:t>
      </w:r>
      <w:r>
        <w:rPr>
          <w:noProof/>
        </w:rPr>
        <w:tab/>
        <w:t>Impactul estimat asupra creditelor cu caracter administrativ</w:t>
      </w:r>
    </w:p>
    <w:p>
      <w:pPr>
        <w:pStyle w:val="ManualHeading3"/>
        <w:rPr>
          <w:noProof/>
        </w:rPr>
      </w:pPr>
      <w:r>
        <w:rPr>
          <w:noProof/>
        </w:rPr>
        <w:tab/>
        <w:t>3.2.4.</w:t>
      </w:r>
      <w:r>
        <w:rPr>
          <w:noProof/>
        </w:rPr>
        <w:tab/>
        <w:t>Compatibilitatea cu cadrul financiar multianual actual</w:t>
      </w:r>
    </w:p>
    <w:p>
      <w:pPr>
        <w:pStyle w:val="ManualHeading3"/>
        <w:rPr>
          <w:noProof/>
        </w:rPr>
      </w:pPr>
      <w:r>
        <w:rPr>
          <w:noProof/>
        </w:rPr>
        <w:tab/>
        <w:t>3.2.5.</w:t>
      </w:r>
      <w:r>
        <w:rPr>
          <w:noProof/>
        </w:rPr>
        <w:tab/>
        <w:t xml:space="preserve">Contribuțiile terților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pPr>
        <w:jc w:val="center"/>
        <w:rPr>
          <w:noProof/>
        </w:rPr>
      </w:pPr>
      <w:r>
        <w:rPr>
          <w:b/>
          <w:noProof/>
          <w:u w:val="single"/>
        </w:rPr>
        <w:t>FIȘĂ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Denumirea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Asistență macrofinanciară pentru </w:t>
      </w:r>
      <w:r>
        <w:rPr>
          <w:noProof/>
          <w:color w:val="000000" w:themeColor="text1"/>
        </w:rPr>
        <w:t>partenerii vizați de politica de extindere și de vecinătate în contextul crizei generate de pandemia de COVID-19</w:t>
      </w:r>
    </w:p>
    <w:p>
      <w:pPr>
        <w:pStyle w:val="ManualHeading2"/>
        <w:rPr>
          <w:noProof/>
        </w:rPr>
      </w:pPr>
      <w:r>
        <w:t>1.2.</w:t>
      </w:r>
      <w:r>
        <w:tab/>
      </w:r>
      <w:r>
        <w:rPr>
          <w:noProof/>
        </w:rPr>
        <w:t>Domeniul (domeniile) de politică vizat(e) în structura ABM/ABB</w:t>
      </w:r>
      <w:r>
        <w:rPr>
          <w:rStyle w:val="FootnoteReference"/>
          <w:noProof/>
        </w:rPr>
        <w:footnoteReference w:id="14"/>
      </w:r>
      <w:r>
        <w:rPr>
          <w:i/>
          <w:iCs/>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Domeniul de politică:</w:t>
      </w:r>
      <w:r>
        <w:rPr>
          <w:noProof/>
        </w:rPr>
        <w:tab/>
        <w:t>Afaceri economice și financiare</w:t>
      </w:r>
    </w:p>
    <w:p>
      <w:pPr>
        <w:pStyle w:val="Text1"/>
        <w:pBdr>
          <w:top w:val="single" w:sz="4" w:space="1" w:color="auto"/>
          <w:left w:val="single" w:sz="4" w:space="4" w:color="auto"/>
          <w:bottom w:val="single" w:sz="4" w:space="1" w:color="auto"/>
          <w:right w:val="single" w:sz="4" w:space="4" w:color="auto"/>
        </w:pBdr>
        <w:rPr>
          <w:noProof/>
        </w:rPr>
      </w:pPr>
      <w:r>
        <w:rPr>
          <w:noProof/>
        </w:rPr>
        <w:t>Activitatea:</w:t>
      </w:r>
      <w:r>
        <w:rPr>
          <w:noProof/>
        </w:rPr>
        <w:tab/>
        <w:t>Afaceri economice și financiare internaționale</w:t>
      </w:r>
    </w:p>
    <w:p>
      <w:pPr>
        <w:pStyle w:val="ManualHeading2"/>
        <w:rPr>
          <w:bCs/>
          <w:noProof/>
          <w:szCs w:val="24"/>
        </w:rPr>
      </w:pPr>
      <w:r>
        <w:t>1.3.</w:t>
      </w:r>
      <w:r>
        <w:tab/>
      </w:r>
      <w:r>
        <w:rPr>
          <w:noProof/>
        </w:rPr>
        <w:t xml:space="preserve">Natura propunerii/inițiativei </w:t>
      </w:r>
    </w:p>
    <w:p>
      <w:pPr>
        <w:pStyle w:val="Text1"/>
        <w:rPr>
          <w:b/>
          <w:noProof/>
          <w:sz w:val="22"/>
        </w:rPr>
      </w:pPr>
      <w:r>
        <w:rPr>
          <w:b/>
          <w:noProof/>
        </w:rPr>
        <w:t>X</w:t>
      </w:r>
      <w:r>
        <w:rPr>
          <w:noProof/>
        </w:rPr>
        <w:t xml:space="preserve"> Propunerea/inițiativa se referă la o </w:t>
      </w:r>
      <w:r>
        <w:rPr>
          <w:b/>
          <w:noProof/>
        </w:rPr>
        <w:t>acțiune nouă</w:t>
      </w:r>
      <w:r>
        <w:rPr>
          <w:b/>
          <w:noProof/>
          <w:sz w:val="22"/>
        </w:rPr>
        <w:t xml:space="preserve"> </w:t>
      </w:r>
    </w:p>
    <w:p>
      <w:pPr>
        <w:pStyle w:val="Text1"/>
        <w:rPr>
          <w:noProof/>
        </w:rPr>
      </w:pPr>
      <w:r>
        <w:rPr>
          <w:noProof/>
          <w:sz w:val="22"/>
        </w:rPr>
        <w:sym w:font="Wingdings" w:char="F0A8"/>
      </w:r>
      <w:r>
        <w:rPr>
          <w:i/>
          <w:iCs/>
          <w:noProof/>
          <w:sz w:val="22"/>
        </w:rPr>
        <w:t xml:space="preserve"> </w:t>
      </w:r>
      <w:r>
        <w:rPr>
          <w:noProof/>
        </w:rPr>
        <w:t xml:space="preserve">Obiectul propunerii/inițiativei este o </w:t>
      </w:r>
      <w:r>
        <w:rPr>
          <w:b/>
          <w:bCs/>
          <w:noProof/>
        </w:rPr>
        <w:t>acțiune nouă întreprinsă ca urmare a unui proiect-pilot/a unei acțiuni pregătitoare</w:t>
      </w:r>
      <w:r>
        <w:rPr>
          <w:rStyle w:val="FootnoteReference"/>
          <w:b/>
          <w:bCs/>
          <w:noProof/>
        </w:rPr>
        <w:footnoteReference w:id="15"/>
      </w:r>
      <w:r>
        <w:rPr>
          <w:noProof/>
          <w:sz w:val="22"/>
        </w:rPr>
        <w:t xml:space="preserve"> </w:t>
      </w:r>
    </w:p>
    <w:p>
      <w:pPr>
        <w:pStyle w:val="Text1"/>
        <w:rPr>
          <w:noProof/>
          <w:sz w:val="22"/>
        </w:rPr>
      </w:pPr>
      <w:r>
        <w:rPr>
          <w:b/>
          <w:noProof/>
        </w:rPr>
        <w:t>X</w:t>
      </w:r>
      <w:r>
        <w:rPr>
          <w:noProof/>
        </w:rPr>
        <w:t xml:space="preserve"> Propunerea/inițiativa se referă la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Obiectul propunerii/inițiativei este o </w:t>
      </w:r>
      <w:r>
        <w:rPr>
          <w:b/>
          <w:noProof/>
        </w:rPr>
        <w:t>acțiune redirecționată către o acțiune nouă</w:t>
      </w:r>
      <w:r>
        <w:rPr>
          <w:noProof/>
        </w:rPr>
        <w:t xml:space="preserve"> </w:t>
      </w:r>
    </w:p>
    <w:p>
      <w:pPr>
        <w:pStyle w:val="ManualHeading2"/>
        <w:rPr>
          <w:bCs/>
          <w:noProof/>
          <w:szCs w:val="24"/>
        </w:rPr>
      </w:pPr>
      <w:r>
        <w:t>1.4.</w:t>
      </w:r>
      <w:r>
        <w:tab/>
      </w:r>
      <w:r>
        <w:rPr>
          <w:noProof/>
        </w:rPr>
        <w:t>Obiectiv(e)</w:t>
      </w:r>
    </w:p>
    <w:p>
      <w:pPr>
        <w:pStyle w:val="ManualHeading3"/>
        <w:rPr>
          <w:noProof/>
        </w:rPr>
      </w:pPr>
      <w:r>
        <w:t>1.4.1.</w:t>
      </w:r>
      <w:r>
        <w:tab/>
      </w:r>
      <w:r>
        <w:rPr>
          <w:noProof/>
        </w:rPr>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„Un nou impuls pentru locuri de muncă, investiții și creștere: promovarea prosperității dincolo de granițele Uniunii Europene”</w:t>
      </w:r>
    </w:p>
    <w:p>
      <w:pPr>
        <w:pStyle w:val="ManualHeading3"/>
        <w:rPr>
          <w:bCs/>
          <w:noProof/>
          <w:szCs w:val="24"/>
        </w:rPr>
      </w:pPr>
      <w:r>
        <w:t>1.4.2.</w:t>
      </w:r>
      <w:r>
        <w:tab/>
      </w:r>
      <w:r>
        <w:rPr>
          <w:noProof/>
        </w:rPr>
        <w:t xml:space="preserve">Obiectiv(e) specific(e) și activitate (activități) ABM/ABB vizate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„Promovarea prosperității dincolo de granițele Uniunii Europene”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 (activități) ABM/ABB vizat(e)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Domeniile de activitate ale DG ECFIN în acest sector sunt următoarele: </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 xml:space="preserve">sprijinirea stabilității macrofinanciare și promovarea reformelor de stimulare a creșterii în afara UE, inclusiv prin dialoguri economice periodice cu principalii parteneri și prin acordarea de asistență macrofinanciară; precum și </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sprijinirea procesului de extindere și punerea în aplicare a politicilor de extindere și de vecinătate ale UE și alte altor priorități ale UE la nivelul partenerilor prin efectuarea de analize economice și furnizarea de evaluări ale politicilor și consultanță.</w:t>
      </w:r>
    </w:p>
    <w:p>
      <w:pPr>
        <w:pStyle w:val="ManualHeading3"/>
        <w:rPr>
          <w:bCs/>
          <w:noProof/>
          <w:szCs w:val="24"/>
        </w:rPr>
      </w:pPr>
      <w:r>
        <w:rPr>
          <w:noProof/>
        </w:rPr>
        <w:br w:type="page"/>
      </w:r>
      <w:r>
        <w:t>1.4.3.</w:t>
      </w:r>
      <w:r>
        <w:tab/>
      </w:r>
      <w:r>
        <w:rPr>
          <w:noProof/>
        </w:rPr>
        <w:t>Rezultatul (rezultatele) și impactul preconizate</w:t>
      </w:r>
    </w:p>
    <w:p>
      <w:pPr>
        <w:pStyle w:val="Text1"/>
        <w:rPr>
          <w:i/>
          <w:noProof/>
          <w:sz w:val="20"/>
        </w:rPr>
      </w:pPr>
      <w:r>
        <w:rPr>
          <w:i/>
          <w:noProof/>
          <w:sz w:val="20"/>
        </w:rPr>
        <w:t>A se preciza efectele pe care propunerea/inițiativa ar trebui să le aibă asupra beneficiarilor vizați/grupurilor vizate.</w:t>
      </w:r>
    </w:p>
    <w:p>
      <w:pPr>
        <w:pStyle w:val="Bullet1"/>
        <w:rPr>
          <w:noProof/>
        </w:rPr>
      </w:pPr>
      <w:r>
        <w:rPr>
          <w:noProof/>
        </w:rPr>
        <w:t xml:space="preserve">Să contribuie la acoperirea nevoilor de finanțare externă ale partenerului în contextul unei deteriorări semnificative a conturilor externe cauzate de criza actuală declanșată de epidemia de COVID-19. </w:t>
      </w:r>
    </w:p>
    <w:p>
      <w:pPr>
        <w:pStyle w:val="Bullet1"/>
        <w:rPr>
          <w:noProof/>
        </w:rPr>
      </w:pPr>
      <w:r>
        <w:rPr>
          <w:noProof/>
        </w:rPr>
        <w:t>Să reducă nevoile de finanțare bugetară ale partenerului.</w:t>
      </w:r>
    </w:p>
    <w:p>
      <w:pPr>
        <w:pStyle w:val="Bullet1"/>
        <w:rPr>
          <w:noProof/>
        </w:rPr>
      </w:pPr>
      <w:r>
        <w:rPr>
          <w:noProof/>
        </w:rPr>
        <w:t>Să sprijine efortul de consolidare bugetară și stabilizarea externă în contextul programului FMI prevăzut.</w:t>
      </w:r>
    </w:p>
    <w:p>
      <w:pPr>
        <w:pStyle w:val="Bullet1"/>
        <w:rPr>
          <w:noProof/>
        </w:rPr>
      </w:pPr>
      <w:r>
        <w:rPr>
          <w:noProof/>
        </w:rPr>
        <w:t>Să sprijine reformele structurale menite să îmbunătățească gestionarea macroeconomică globală, să consolideze guvernanța economică și transparența și să amelioreze condițiile necesare creșterii sustenabile.</w:t>
      </w:r>
    </w:p>
    <w:p>
      <w:pPr>
        <w:pStyle w:val="ManualHeading3"/>
        <w:rPr>
          <w:bCs/>
          <w:noProof/>
          <w:szCs w:val="24"/>
        </w:rPr>
      </w:pPr>
      <w:r>
        <w:t>1.4.4.</w:t>
      </w:r>
      <w:r>
        <w:tab/>
      </w:r>
      <w:r>
        <w:rPr>
          <w:noProof/>
        </w:rPr>
        <w:t xml:space="preserve">Indicatori de rezultate și impact </w:t>
      </w:r>
    </w:p>
    <w:p>
      <w:pPr>
        <w:pStyle w:val="Text1"/>
        <w:rPr>
          <w:i/>
          <w:noProof/>
          <w:sz w:val="20"/>
        </w:rPr>
      </w:pPr>
      <w:r>
        <w:rPr>
          <w:i/>
          <w:noProof/>
          <w:sz w:val="20"/>
        </w:rPr>
        <w:t>A se preciza indicatorii pentru monitorizarea punerii în aplicare a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 xml:space="preserve">Autoritățile partenerilor vor trebui să transmită periodic serviciilor Comisiei rapoarte cu privire la o serie de indicatori economici și să prezinte un raport complet asupra îndeplinirii condițiilor de politică convenite înainte de plata tranșelor asistenței.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Serviciile Comisiei vor continua să monitorizeze gestionarea finanțelor publice, în urma evaluării operaționale a circuitelor financiare și a procedurilor administrative ale partenerilor, acolo unde este necesar. Delegația UE în țările partenere va prezenta, de asemenea, rapoarte periodice pe teme relevante pentru monitorizarea asistenței. Serviciile Comisiei vor rămâne în contact permanent cu FMI și cu Banca Mondială, pentru a beneficia de informațiile desprinse din activitățile curente ale acestora în țara parteneră respectivă. </w:t>
      </w:r>
    </w:p>
    <w:p>
      <w:pPr>
        <w:pStyle w:val="Text1"/>
        <w:pBdr>
          <w:top w:val="single" w:sz="4" w:space="1" w:color="auto"/>
          <w:left w:val="single" w:sz="4" w:space="4" w:color="auto"/>
          <w:bottom w:val="single" w:sz="4" w:space="1" w:color="auto"/>
          <w:right w:val="single" w:sz="4" w:space="4" w:color="auto"/>
        </w:pBdr>
        <w:rPr>
          <w:noProof/>
        </w:rPr>
      </w:pPr>
      <w:r>
        <w:rPr>
          <w:noProof/>
        </w:rPr>
        <w:t>Propunerea de decizie prevede un raport anual către Consiliu și Parlamentul European, care include o evaluare a implementării acestei operațiuni. În termen de doi ani de la expirarea perioadei de punere în aplicare, se va efectua o evaluare ex-post independentă a asistenței.</w:t>
      </w:r>
    </w:p>
    <w:p>
      <w:pPr>
        <w:pStyle w:val="ManualHeading2"/>
        <w:rPr>
          <w:bCs/>
          <w:noProof/>
          <w:szCs w:val="24"/>
        </w:rPr>
      </w:pPr>
      <w:r>
        <w:t>1.5.</w:t>
      </w:r>
      <w:r>
        <w:tab/>
      </w:r>
      <w:r>
        <w:rPr>
          <w:noProof/>
        </w:rPr>
        <w:t xml:space="preserve">Motivele propunerii/inițiativei </w:t>
      </w:r>
    </w:p>
    <w:p>
      <w:pPr>
        <w:pStyle w:val="ManualHeading3"/>
        <w:rPr>
          <w:noProof/>
        </w:rPr>
      </w:pPr>
      <w:r>
        <w:t>1.5.1.</w:t>
      </w:r>
      <w:r>
        <w:tab/>
      </w:r>
      <w:r>
        <w:rPr>
          <w:noProof/>
        </w:rPr>
        <w:t xml:space="preserve">Cerința (cerințele) care trebuie îndeplinită (îndeplinite) pe termen scurt sau lung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Plata asistenței va depinde de îndeplinirea condițiilor politice prealabile și de existența unui istoric satisfăcător în implementarea unui acord de finanțare între partener și FMI. În plus, Comisia și autoritățile partenerului trebuie să convină asupra unor condiții de politică specifice, enumerate într-un memorandum de înțelegere. </w:t>
      </w:r>
    </w:p>
    <w:p>
      <w:pPr>
        <w:pStyle w:val="Text1"/>
        <w:pBdr>
          <w:top w:val="single" w:sz="4" w:space="1" w:color="auto"/>
          <w:left w:val="single" w:sz="4" w:space="4" w:color="auto"/>
          <w:bottom w:val="single" w:sz="4" w:space="1" w:color="auto"/>
          <w:right w:val="single" w:sz="4" w:space="4" w:color="auto"/>
        </w:pBdr>
        <w:rPr>
          <w:noProof/>
        </w:rPr>
      </w:pPr>
      <w:r>
        <w:rPr>
          <w:noProof/>
        </w:rPr>
        <w:t>Asistența este planificată să fie plătită în două tranșe de împrumut. Plata primei tranșe este prevăzută să aibă loc la mijlocul anului 2020. A doua tranșă ar putea fi plătită în al patrulea trimestru al anului 2020 sau în prima jumătate a anului 2021, cu condiția ca măsurile de politică aferente fiecărei tranșe să fi fost puse în aplicare în timp util.</w:t>
      </w:r>
    </w:p>
    <w:p>
      <w:pPr>
        <w:pStyle w:val="ManualHeading3"/>
        <w:rPr>
          <w:bCs/>
          <w:noProof/>
          <w:szCs w:val="24"/>
        </w:rPr>
      </w:pPr>
      <w:r>
        <w:t>1.5.2.</w:t>
      </w:r>
      <w:r>
        <w:tab/>
      </w:r>
      <w:r>
        <w:rPr>
          <w:noProof/>
        </w:rPr>
        <w:t>Valoarea adăugată a intervenției Uniunii</w:t>
      </w:r>
    </w:p>
    <w:p>
      <w:pPr>
        <w:pStyle w:val="Text1"/>
        <w:pBdr>
          <w:top w:val="single" w:sz="4" w:space="1" w:color="auto"/>
          <w:left w:val="single" w:sz="4" w:space="4" w:color="auto"/>
          <w:bottom w:val="single" w:sz="4" w:space="1" w:color="auto"/>
          <w:right w:val="single" w:sz="4" w:space="4" w:color="auto"/>
        </w:pBdr>
        <w:rPr>
          <w:noProof/>
        </w:rPr>
      </w:pPr>
      <w:r>
        <w:rPr>
          <w:noProof/>
        </w:rPr>
        <w:t>Instrumentul de asistență macrofinanciară este un instrument bazat pe politici care are drept scop să reducă nevoile de finanțare externă pe termen scurt și mediu. În contextul actualei crize declanșate de COVID-19, AMF va contribui la asigurarea unui spațiu de manevră pentru politica economică, astfel încât autoritățile să ofere un răspuns economic eficace la criză. Ajutând partenerii să depășească dificultățile economice agravate de criza generată de epidemia de COVID-19, asistența macrofinanciară propusă va contribui la promovarea stabilității macroeconomice și politice a acestora. AMF va completa resursele puse la dispoziție de instituțiile financiare internaționale, de donatorii bilaterali și de alte instituții financiare ale UE. Astfel, aceasta va contribui la eficacitatea globală a sprijinului financiar oferit de comunitatea internațională, precum și a altor tipuri de asistență financiară din partea UE, inclusiv a operațiunilor de sprijin bugetar.</w:t>
      </w:r>
    </w:p>
    <w:p>
      <w:pPr>
        <w:pStyle w:val="Text1"/>
        <w:pBdr>
          <w:top w:val="single" w:sz="4" w:space="1" w:color="auto"/>
          <w:left w:val="single" w:sz="4" w:space="4" w:color="auto"/>
          <w:bottom w:val="single" w:sz="4" w:space="1" w:color="auto"/>
          <w:right w:val="single" w:sz="4" w:space="4" w:color="auto"/>
        </w:pBdr>
        <w:rPr>
          <w:noProof/>
        </w:rPr>
      </w:pPr>
      <w:r>
        <w:rPr>
          <w:noProof/>
        </w:rPr>
        <w:t>Pe lângă impactul financiar al AMF, programul propus va consolida angajamentul guvernelor în materie de reformă și aspirația acestora către relații mai strânse cu UE. Acest rezultat va fi atins, printre altele, prin impunerea unor condiții adecvate pentru plata asistenței. Într-un context mai larg, programul va semnala faptul că UE este pregătită să-și sprijine partenerii în momente de dificultăți economice.</w:t>
      </w:r>
    </w:p>
    <w:p>
      <w:pPr>
        <w:pStyle w:val="ManualHeading3"/>
        <w:rPr>
          <w:noProof/>
        </w:rPr>
      </w:pPr>
      <w:r>
        <w:t>1.5.3.</w:t>
      </w:r>
      <w:r>
        <w:tab/>
      </w:r>
      <w:r>
        <w:rPr>
          <w:noProof/>
        </w:rPr>
        <w:t xml:space="preserve"> Învățăminte desprinse din experiențele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Operațiunile de asistență macrofinanciară ale partenerilor sunt supuse unei evaluări ex-post. Evaluările efectuate până în prezent (cu privire la programele FMI încheiate) concluzionează că operațiunile de asistență macrofinanciară contribuie, deși uneori modest și indirect, la îmbunătățirea sustenabilității externe, la stabilitatea macroeconomică și la realizarea reformelor structurale ale partenerului. În majoritatea cazurilor, operațiunile de asistență macrofinanciară au avut un efect pozitiv asupra balanței de plăți a partenerului și au contribuit la relaxarea constrângerilor bugetare ale acestuia. De asemenea, aceste operațiuni au condus la o creștere economică ceva mai însemnată.</w:t>
      </w:r>
    </w:p>
    <w:p>
      <w:pPr>
        <w:pStyle w:val="ManualHeading3"/>
        <w:rPr>
          <w:bCs/>
          <w:noProof/>
          <w:szCs w:val="24"/>
        </w:rPr>
      </w:pPr>
      <w:r>
        <w:t>1.5.4.</w:t>
      </w:r>
      <w:r>
        <w:tab/>
      </w:r>
      <w:r>
        <w:rPr>
          <w:noProof/>
        </w:rPr>
        <w:t>Compatibilitatea și posibilele sinergii cu alte instrumente corespunzătoare</w:t>
      </w:r>
    </w:p>
    <w:p>
      <w:pPr>
        <w:pStyle w:val="Text1"/>
        <w:pBdr>
          <w:top w:val="single" w:sz="4" w:space="1" w:color="auto"/>
          <w:left w:val="single" w:sz="4" w:space="4" w:color="auto"/>
          <w:bottom w:val="single" w:sz="4" w:space="0" w:color="auto"/>
          <w:right w:val="single" w:sz="4" w:space="4" w:color="auto"/>
        </w:pBdr>
        <w:rPr>
          <w:noProof/>
        </w:rPr>
      </w:pPr>
      <w:r>
        <w:rPr>
          <w:noProof/>
        </w:rPr>
        <w:t xml:space="preserve">UE se numără printre principalii donatori pentru Balcanii de Vest, vecinătatea sudică și cea estică, sprijinind reformele economice, structurale și instituționale, precum și societatea civilă din aceste regiuni. În acest context, AMF completează alte acțiuni sau instrumente externe ale UE utilizate pentru a sprijini partenerii. De asemenea, este alinată la cadrul unic de sprijin care definește domeniile vizate de ajutorul bilateral în cadrul Instrumentului european de vecinătate și al Instrumentului de asistență pentru preaderare pentru perioada 2014-2020. </w:t>
      </w:r>
    </w:p>
    <w:p>
      <w:pPr>
        <w:pStyle w:val="Text1"/>
        <w:pBdr>
          <w:top w:val="single" w:sz="4" w:space="1" w:color="auto"/>
          <w:left w:val="single" w:sz="4" w:space="4" w:color="auto"/>
          <w:bottom w:val="single" w:sz="4" w:space="0" w:color="auto"/>
          <w:right w:val="single" w:sz="4" w:space="4" w:color="auto"/>
        </w:pBdr>
        <w:rPr>
          <w:noProof/>
        </w:rPr>
      </w:pPr>
      <w:r>
        <w:rPr>
          <w:noProof/>
        </w:rPr>
        <w:t xml:space="preserve">Principala valoare adăugată a AMF, comparativ cu alte instrumente ale UE, ar fi contribuția la crearea unui cadru macroeconomic stabil, inclusiv prin promovarea unei balanțe de plăți și a unei situații bugetare sustenabile, precum și instituirea unui cadru adecvat pentru promovarea reformelor structurale. AMF nu constituie un sprijin financiar regulat și trebuie întreruptă de îndată ce situația finanțării externe a partenerului redevine sustenabilă. </w:t>
      </w:r>
    </w:p>
    <w:p>
      <w:pPr>
        <w:pStyle w:val="Text1"/>
        <w:pBdr>
          <w:top w:val="single" w:sz="4" w:space="1" w:color="auto"/>
          <w:left w:val="single" w:sz="4" w:space="4" w:color="auto"/>
          <w:bottom w:val="single" w:sz="4" w:space="0" w:color="auto"/>
          <w:right w:val="single" w:sz="4" w:space="4" w:color="auto"/>
        </w:pBdr>
        <w:rPr>
          <w:noProof/>
        </w:rPr>
      </w:pPr>
      <w:r>
        <w:rPr>
          <w:noProof/>
        </w:rPr>
        <w:t>AMF ar veni totodată în completarea intervențiilor avute în vedere de comunitatea internațională, în special a programelor de ajustare și de reformă susținute de FMI și de Banca Mondială.</w:t>
      </w:r>
    </w:p>
    <w:p>
      <w:pPr>
        <w:pStyle w:val="ManualHeading2"/>
        <w:rPr>
          <w:bCs/>
          <w:noProof/>
          <w:szCs w:val="24"/>
        </w:rPr>
      </w:pPr>
      <w:r>
        <w:rPr>
          <w:noProof/>
        </w:rPr>
        <w:br w:type="page"/>
      </w:r>
      <w:r>
        <w:t>1.6.</w:t>
      </w:r>
      <w:r>
        <w:tab/>
      </w:r>
      <w:r>
        <w:rPr>
          <w:noProof/>
        </w:rPr>
        <w:t xml:space="preserve">Durata și impactul financiar </w:t>
      </w:r>
    </w:p>
    <w:p>
      <w:pPr>
        <w:pStyle w:val="Text1"/>
        <w:rPr>
          <w:noProof/>
        </w:rPr>
      </w:pPr>
      <w:r>
        <w:rPr>
          <w:b/>
          <w:noProof/>
        </w:rPr>
        <w:t>X</w:t>
      </w:r>
      <w:r>
        <w:rPr>
          <w:noProof/>
        </w:rPr>
        <w:t xml:space="preserve"> Propunere/inițiativă cu </w:t>
      </w:r>
      <w:r>
        <w:rPr>
          <w:b/>
          <w:noProof/>
        </w:rPr>
        <w:t xml:space="preserve">durată limitată </w:t>
      </w:r>
    </w:p>
    <w:p>
      <w:pPr>
        <w:pStyle w:val="ListDash2"/>
        <w:rPr>
          <w:noProof/>
        </w:rPr>
      </w:pPr>
      <w:r>
        <w:rPr>
          <w:noProof/>
        </w:rPr>
        <w:sym w:font="Wingdings" w:char="F0A8"/>
      </w:r>
      <w:r>
        <w:rPr>
          <w:noProof/>
        </w:rPr>
        <w:tab/>
        <w:t xml:space="preserve">Propunere/inițiativă în vigoare din iunie 2020 până în mai 2021 </w:t>
      </w:r>
    </w:p>
    <w:p>
      <w:pPr>
        <w:pStyle w:val="ListDash2"/>
        <w:rPr>
          <w:noProof/>
        </w:rPr>
      </w:pPr>
      <w:r>
        <w:rPr>
          <w:noProof/>
        </w:rPr>
        <w:sym w:font="Wingdings" w:char="F0A8"/>
      </w:r>
      <w:r>
        <w:rPr>
          <w:noProof/>
        </w:rPr>
        <w:tab/>
        <w:t xml:space="preserve">Impact financiar din 2022 până în 2023 </w:t>
      </w:r>
    </w:p>
    <w:p>
      <w:pPr>
        <w:pStyle w:val="Text1"/>
        <w:rPr>
          <w:noProof/>
        </w:rPr>
      </w:pPr>
      <w:r>
        <w:rPr>
          <w:noProof/>
        </w:rPr>
        <w:sym w:font="Wingdings" w:char="F0A8"/>
      </w:r>
      <w:r>
        <w:rPr>
          <w:b/>
          <w:i/>
          <w:noProof/>
        </w:rPr>
        <w:t xml:space="preserve"> </w:t>
      </w:r>
      <w:r>
        <w:rPr>
          <w:noProof/>
        </w:rPr>
        <w:t xml:space="preserve">Propunere/inițiativă cu </w:t>
      </w:r>
      <w:r>
        <w:rPr>
          <w:b/>
          <w:noProof/>
        </w:rPr>
        <w:t>durată nelimitată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la capacitate maximă.</w:t>
      </w:r>
    </w:p>
    <w:p>
      <w:pPr>
        <w:pStyle w:val="ManualHeading2"/>
        <w:rPr>
          <w:noProof/>
        </w:rPr>
      </w:pPr>
      <w:r>
        <w:t>1.7.</w:t>
      </w:r>
      <w:r>
        <w:tab/>
      </w:r>
      <w:r>
        <w:rPr>
          <w:noProof/>
        </w:rPr>
        <w:t>Modul (modurile) de gestiune preconizat(e)</w:t>
      </w:r>
      <w:r>
        <w:rPr>
          <w:rStyle w:val="FootnoteReference"/>
          <w:noProof/>
        </w:rPr>
        <w:footnoteReference w:id="16"/>
      </w:r>
      <w:r>
        <w:rPr>
          <w:rStyle w:val="FootnoteReference"/>
          <w:noProof/>
        </w:rPr>
        <w:t xml:space="preserve"> </w:t>
      </w:r>
    </w:p>
    <w:p>
      <w:pPr>
        <w:pStyle w:val="Text1"/>
        <w:rPr>
          <w:noProof/>
        </w:rPr>
      </w:pPr>
      <w:r>
        <w:rPr>
          <w:b/>
          <w:noProof/>
        </w:rPr>
        <w:t>X</w:t>
      </w:r>
      <w:r>
        <w:rPr>
          <w:noProof/>
        </w:rPr>
        <w:t xml:space="preserve"> </w:t>
      </w:r>
      <w:r>
        <w:rPr>
          <w:b/>
          <w:noProof/>
        </w:rPr>
        <w:t>Gestionare directă</w:t>
      </w:r>
      <w:r>
        <w:rPr>
          <w:noProof/>
        </w:rPr>
        <w:t xml:space="preserve"> asigurată de către Comisie</w:t>
      </w:r>
    </w:p>
    <w:p>
      <w:pPr>
        <w:pStyle w:val="ListDash2"/>
        <w:rPr>
          <w:rFonts w:cs="EUAlbertina"/>
          <w:noProof/>
        </w:rPr>
      </w:pPr>
      <w:r>
        <w:rPr>
          <w:noProof/>
        </w:rPr>
        <w:sym w:font="Wingdings" w:char="F0A8"/>
      </w:r>
      <w:r>
        <w:rPr>
          <w:noProof/>
        </w:rPr>
        <w:t xml:space="preserve">prin intermediul departamentelor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A8"/>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A8"/>
      </w:r>
      <w:r>
        <w:rPr>
          <w:noProof/>
        </w:rPr>
        <w:t xml:space="preserve"> organismelor menționate la articolele 208 și 209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MĂSURI DE GESTIUNE </w:t>
      </w:r>
    </w:p>
    <w:p>
      <w:pPr>
        <w:pStyle w:val="ManualHeading2"/>
        <w:rPr>
          <w:noProof/>
        </w:rPr>
      </w:pPr>
      <w:r>
        <w:t>2.1.</w:t>
      </w:r>
      <w:r>
        <w:tab/>
      </w:r>
      <w:r>
        <w:rPr>
          <w:noProof/>
        </w:rPr>
        <w:t xml:space="preserve">Dispoziții în materie de monitorizare și de raportare </w:t>
      </w:r>
    </w:p>
    <w:p>
      <w:pPr>
        <w:pStyle w:val="Text1"/>
        <w:rPr>
          <w:i/>
          <w:noProof/>
          <w:sz w:val="20"/>
          <w:u w:val="single"/>
        </w:rPr>
      </w:pPr>
      <w:r>
        <w:rPr>
          <w:i/>
          <w:noProof/>
          <w:sz w:val="20"/>
        </w:rPr>
        <w:t>A se preciza frecvența și condițiile aferente monitorizării și raportării.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Acțiunile care urmează să fie finanțate în temeiul prezentei decizii vor fi puse în aplicare în mod direct de către Comisie de la sediu și cu sprijinul delegațiilor Uniunii.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Asistența are caracter macroeconomic și este concepută pentru a fi compatibilă cu programul sprijinit de FMI. Serviciile Comisiei vor monitoriza acțiunea pe baza progreselor înregistrate în implementarea acordului cu FMI și a măsurilor de reformă specifice care urmează a fi convenite cu autoritățile partenerilor într-un memorandum de înțelegere cu o frecvență care este în concordanță cu numărul tranșelor (a se vedea și punctul 1.4.4). </w:t>
      </w:r>
    </w:p>
    <w:p>
      <w:pPr>
        <w:pStyle w:val="ManualHeading2"/>
        <w:rPr>
          <w:bCs/>
          <w:noProof/>
          <w:szCs w:val="24"/>
        </w:rPr>
      </w:pPr>
      <w:r>
        <w:t>2.2.</w:t>
      </w:r>
      <w:r>
        <w:tab/>
      </w:r>
      <w:r>
        <w:rPr>
          <w:noProof/>
        </w:rPr>
        <w:t xml:space="preserve">Sistemul de gestiune și de control </w:t>
      </w:r>
    </w:p>
    <w:p>
      <w:pPr>
        <w:pStyle w:val="ManualHeading3"/>
        <w:rPr>
          <w:noProof/>
        </w:rPr>
      </w:pPr>
      <w:r>
        <w:t>2.2.1.</w:t>
      </w:r>
      <w:r>
        <w:tab/>
      </w:r>
      <w:r>
        <w:rPr>
          <w:noProof/>
        </w:rPr>
        <w:t xml:space="preserve">Risc(uri) identificat(e)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ceea ce privește operațiunile de acordare a asistenței macrofinanciare propuse, există riscuri fiduciare, riscuri legate de politicile aplicate și riscuri legate de situația politică în general. </w:t>
      </w:r>
    </w:p>
    <w:p>
      <w:pPr>
        <w:pStyle w:val="Text1"/>
        <w:pBdr>
          <w:top w:val="single" w:sz="4" w:space="1" w:color="auto"/>
          <w:left w:val="single" w:sz="4" w:space="4" w:color="auto"/>
          <w:bottom w:val="single" w:sz="4" w:space="1" w:color="auto"/>
          <w:right w:val="single" w:sz="4" w:space="4" w:color="auto"/>
        </w:pBdr>
        <w:rPr>
          <w:noProof/>
        </w:rPr>
      </w:pPr>
      <w:r>
        <w:rPr>
          <w:noProof/>
        </w:rPr>
        <w:t>Există riscul ca AMF să fie utilizată în mod fraudulos. Întrucât AMF nu este destinată unor cheltuieli specifice (spre deosebire, de exemplu, de finanțarea proiectelor), acest risc este legat de factori precum calitatea generală a sistemelor de gestionare ale băncii centrale și ale Ministerului Finanțelor partenerului, a procedurilor administrative, a funcțiilor de control și supraveghere și a securității sistemelor IT, dar și de gradul de adecvare a capacităților de audit intern și extern.</w:t>
      </w:r>
    </w:p>
    <w:p>
      <w:pPr>
        <w:pStyle w:val="Text1"/>
        <w:pBdr>
          <w:top w:val="single" w:sz="4" w:space="1" w:color="auto"/>
          <w:left w:val="single" w:sz="4" w:space="4" w:color="auto"/>
          <w:bottom w:val="single" w:sz="4" w:space="1" w:color="auto"/>
          <w:right w:val="single" w:sz="4" w:space="4" w:color="auto"/>
        </w:pBdr>
        <w:rPr>
          <w:noProof/>
        </w:rPr>
      </w:pPr>
      <w:r>
        <w:rPr>
          <w:noProof/>
        </w:rPr>
        <w:t>Un al doilea risc rezultă din posibilitatea ca partenerul să nu poată asigura serviciul datoriilor financiare față de UE care decurg din împrumuturile AMF propuse (risc de nerambursare sau risc de credit); acesta ar putea fi cauzat, de exemplu, de o deteriorare suplimentară semnificativă a balanței de plăți și a situației bugetare a partenerului.</w:t>
      </w:r>
    </w:p>
    <w:p>
      <w:pPr>
        <w:pStyle w:val="ManualHeading3"/>
        <w:rPr>
          <w:bCs/>
          <w:noProof/>
          <w:szCs w:val="24"/>
        </w:rPr>
      </w:pPr>
      <w:r>
        <w:t>2.2.2.</w:t>
      </w:r>
      <w:r>
        <w:tab/>
      </w:r>
      <w:r>
        <w:rPr>
          <w:noProof/>
        </w:rPr>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rPr>
      </w:pPr>
      <w:r>
        <w:rPr>
          <w:noProof/>
        </w:rPr>
        <w:t>Asistența macrofinanciară va face obiectul procedurilor de verificare, control și audit aflate în sarcina Comisiei, inclusiv a Oficiului de Luptă Antifraudă (OLAF), și a Curții de Conturi Europene, astfel cum se prevede la articolul 129 din Regulamentul financiar</w:t>
      </w:r>
    </w:p>
    <w:p>
      <w:pPr>
        <w:pStyle w:val="Text1"/>
        <w:pBdr>
          <w:top w:val="single" w:sz="4" w:space="1" w:color="auto"/>
          <w:left w:val="single" w:sz="4" w:space="4" w:color="auto"/>
          <w:bottom w:val="single" w:sz="4" w:space="1" w:color="auto"/>
          <w:right w:val="single" w:sz="4" w:space="4" w:color="auto"/>
        </w:pBdr>
        <w:rPr>
          <w:noProof/>
        </w:rPr>
      </w:pPr>
      <w:r>
        <w:rPr>
          <w:noProof/>
        </w:rPr>
        <w:t>Ex-ante: Evaluarea de către Comisie a sistemelor de gestionare și de control ale partenerilor. Pentru fiecare partener, Comisia efectuează o evaluare operațională ex ante a circuitelor financiare și a mediului de control, cu sprijinul tehnic al consultanților dacă este necesar. În vederea asigurării unui nivel rezonabil al bunei gestionări financiare, se realizează o analiză a procedurilor contabile, separarea atribuțiilor și auditul intern/extern al Băncii Centrale și al Ministerului Finanțelor. În cazul în care se identifică deficiențe, acestea sunt transpuse în condiții care trebuie puse în aplicare înainte de plata asistenței. De asemenea, atunci când este necesar, sunt instituite acorduri specifice pentru plăți (de exemplu, conturi dedicate).</w:t>
      </w:r>
    </w:p>
    <w:p>
      <w:pPr>
        <w:pStyle w:val="Text1"/>
        <w:pBdr>
          <w:top w:val="single" w:sz="4" w:space="1" w:color="auto"/>
          <w:left w:val="single" w:sz="4" w:space="4" w:color="auto"/>
          <w:bottom w:val="single" w:sz="4" w:space="1" w:color="auto"/>
          <w:right w:val="single" w:sz="4" w:space="4" w:color="auto"/>
        </w:pBdr>
        <w:rPr>
          <w:noProof/>
        </w:rPr>
      </w:pPr>
      <w:r>
        <w:rPr>
          <w:noProof/>
        </w:rPr>
        <w:t>Pe durata punerii în aplicare: verificările efectuate de Comisie în ceea ce privește declarațiile periodice ale partenerului. Plata este supusă (1) monitorizării de către personalul DG ECFIN, în strânsă coordonare cu delegațiile UE și cu părțile interesate externe, precum FMI, a punerii în aplicare a condițiilor convenite și (2) procedurii normale de control prevăzute pentru circuitul financiar (modelul 2) utilizat în cadrul DG ECFIN, inclusiv verificării de către unitatea financiară a îndeplinirii condițiilor aferente plății ajutorului menționat anterior. Plata aferentă operațiunilor de AMF poate face obiectul unor verificări independente suplimentare (de documente și/sau la fața locului) efectuate de funcționarii din cadrul echipei de control ex-post a DG. Aceste verificări pot fi inițiate, de asemenea, la solicitarea ordonatorului de credite subdelegat responsabil. Întreruperi și suspendări ale plăților, corecții financiare (puse în aplicare de Comisie) și recuperări pot fi practicate atunci când este necesar (nu s-a întâmplat acest lucru până în prezent) și sunt prevăzute în mod explicit în acordurile de finanțare cu partenerii.</w:t>
      </w:r>
    </w:p>
    <w:p>
      <w:pPr>
        <w:pStyle w:val="ManualHeading3"/>
        <w:rPr>
          <w:noProof/>
        </w:rPr>
      </w:pPr>
      <w:r>
        <w:t>2.2.3.</w:t>
      </w:r>
      <w:r>
        <w:tab/>
      </w:r>
      <w:r>
        <w:rPr>
          <w:noProof/>
        </w:rPr>
        <w:t xml:space="preserve">Estimarea costurilor și a beneficiilor controalelor și evaluarea nivelului prevăzut de risc de eroare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Sistemele de control instituite, cum ar fi evaluările operaționale ex ante sau evaluările ex post, au asigurat o rată de eroare efectivă pentru plățile AMF de 0%. Nu se cunosc cazuri de fraudă, corupție sau activitate ilegală. Operațiunile de AMF au o logică de intervenție clară, care permite Comisiei să evalueze impactul acestora. Controalele permit confirmarea asigurării și atingerii obiectivelor de politică și a priorităților. </w:t>
      </w:r>
    </w:p>
    <w:p>
      <w:pPr>
        <w:pStyle w:val="ManualHeading2"/>
        <w:rPr>
          <w:noProof/>
        </w:rPr>
      </w:pPr>
      <w:r>
        <w:t>2.3.</w:t>
      </w:r>
      <w:r>
        <w:tab/>
      </w:r>
      <w:r>
        <w:rPr>
          <w:noProof/>
        </w:rPr>
        <w:t>Măsuri de prevenire a fraudelor și a neregulilor</w:t>
      </w:r>
    </w:p>
    <w:p>
      <w:pPr>
        <w:pStyle w:val="Text1"/>
        <w:rPr>
          <w:i/>
          <w:noProof/>
          <w:sz w:val="20"/>
        </w:rPr>
      </w:pPr>
      <w:r>
        <w:rPr>
          <w:i/>
          <w:noProof/>
          <w:sz w:val="20"/>
        </w:rPr>
        <w:t>A se preciza măsurile de prevenire și de protecție existente sau preconizate.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Pentru a atenua riscurile de utilizare frauduloasă s-au luat și se vor lua mai multe măsuri: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primul rând, acordul de împrumut va include o serie de dispoziții privind inspecțiile, prevenirea fraudei, auditurile, precum și recuperarea fondurilor în caz de fraudă sau de corupție. Se mai preconizează că programul de asistență va include o serie de condiții de politică specifice, inclusiv în domeniul gestionării finanțelor publice, care vor viza sporirea eficienței, a transparenței și a responsabilității. De asemenea, asistența va fi plătită într-un cont special al băncii centrale a partenerului. </w:t>
      </w:r>
    </w:p>
    <w:p>
      <w:pPr>
        <w:pStyle w:val="Text1"/>
        <w:pBdr>
          <w:top w:val="single" w:sz="4" w:space="1" w:color="auto"/>
          <w:left w:val="single" w:sz="4" w:space="4" w:color="auto"/>
          <w:bottom w:val="single" w:sz="4" w:space="1" w:color="auto"/>
          <w:right w:val="single" w:sz="4" w:space="4" w:color="auto"/>
        </w:pBdr>
        <w:rPr>
          <w:noProof/>
        </w:rPr>
      </w:pPr>
      <w:r>
        <w:rPr>
          <w:noProof/>
        </w:rPr>
        <w:t>Pe lângă aceasta, în conformitate cu cerințele Regulamentului financiar, dacă este necesar, serviciile Comisiei vor efectua o evaluare operațională a circuitelor financiare și administrative ale partenerului, pentru a se asigura că procedurile instituite pentru gestionarea programului de asistență, inclusiv a asistenței macrofinanciare, oferă garanții adecvate. Evaluarea va acoperi domenii precum elaborarea și execuția bugetului, controlul intern al finanțelor publice, auditul intern și extern, achizițiile publice, gestionarea numerarului și a datoriei publice, precum și independența băncii centrale. Evoluțiile din domeniile respective vor continua să fie monitorizate îndeaproape de delegația UE din respectiva țară parteneră. Comisia utilizează totodată asistența pentru sprijin bugetar, pentru a ajuta autoritățile partenerilor respectivi să-și îmbunătățească sistemele de gestionare a finanțelor publice, iar aceste eforturi se bucură de un sprijin puternic din partea altor donatori.</w:t>
      </w:r>
    </w:p>
    <w:p>
      <w:pPr>
        <w:pStyle w:val="Text1"/>
        <w:pBdr>
          <w:top w:val="single" w:sz="4" w:space="1" w:color="auto"/>
          <w:left w:val="single" w:sz="4" w:space="4" w:color="auto"/>
          <w:bottom w:val="single" w:sz="4" w:space="1" w:color="auto"/>
          <w:right w:val="single" w:sz="4" w:space="4" w:color="auto"/>
        </w:pBdr>
        <w:rPr>
          <w:noProof/>
        </w:rPr>
      </w:pPr>
      <w:r>
        <w:rPr>
          <w:noProof/>
        </w:rPr>
        <w:t>În fine, asistența va face obiectul procedurilor de verificare, control și audit aflate în sarcina Comisiei, inclusiv a Oficiului de Luptă Antifraudă (OLAF), și a Curții de Conturi Europene, astfel cum se prevede la articolul 129 din Regulamentul financiar.</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(rubricile) din cadrul financiar multianual și linia (liniile) bugetară (bugetare) de cheltuieli afectată (afectate) </w:t>
      </w:r>
    </w:p>
    <w:p>
      <w:pPr>
        <w:pStyle w:val="ListBullet1"/>
        <w:tabs>
          <w:tab w:val="clear" w:pos="1134"/>
          <w:tab w:val="num" w:pos="425"/>
        </w:tabs>
        <w:ind w:left="425"/>
        <w:rPr>
          <w:noProof/>
        </w:rPr>
      </w:pPr>
      <w:r>
        <w:rPr>
          <w:noProof/>
        </w:rPr>
        <w:t xml:space="preserve">Linii bugetare existente </w:t>
      </w:r>
    </w:p>
    <w:p>
      <w:pPr>
        <w:pStyle w:val="Text1"/>
        <w:rPr>
          <w:noProof/>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rPr>
            </w:pPr>
            <w:r>
              <w:rPr>
                <w:noProof/>
                <w:sz w:val="18"/>
              </w:rPr>
              <w:t>Rubrica din cadrul financiar multianual</w:t>
            </w:r>
          </w:p>
          <w:p>
            <w:pPr>
              <w:spacing w:before="60" w:after="60"/>
              <w:jc w:val="center"/>
              <w:rPr>
                <w:b/>
                <w:bCs/>
                <w:noProof/>
                <w:sz w:val="22"/>
              </w:rPr>
            </w:pPr>
            <w:r>
              <w:rPr>
                <w:b/>
                <w:bCs/>
                <w:noProof/>
                <w:sz w:val="18"/>
                <w:szCs w:val="18"/>
              </w:rPr>
              <w:t>2014-2020</w:t>
            </w:r>
          </w:p>
        </w:tc>
        <w:tc>
          <w:tcPr>
            <w:tcW w:w="3960" w:type="dxa"/>
            <w:vAlign w:val="center"/>
          </w:tcPr>
          <w:p>
            <w:pPr>
              <w:spacing w:before="60" w:after="60"/>
              <w:jc w:val="center"/>
              <w:rPr>
                <w:noProof/>
                <w:sz w:val="22"/>
              </w:rPr>
            </w:pPr>
            <w:r>
              <w:rPr>
                <w:noProof/>
                <w:sz w:val="20"/>
              </w:rPr>
              <w:t>Linia bugetară</w:t>
            </w:r>
          </w:p>
        </w:tc>
        <w:tc>
          <w:tcPr>
            <w:tcW w:w="1080" w:type="dxa"/>
            <w:vAlign w:val="center"/>
          </w:tcPr>
          <w:p>
            <w:pPr>
              <w:spacing w:before="60" w:after="60"/>
              <w:jc w:val="center"/>
              <w:rPr>
                <w:noProof/>
                <w:sz w:val="22"/>
              </w:rPr>
            </w:pPr>
            <w:r>
              <w:rPr>
                <w:noProof/>
                <w:sz w:val="18"/>
              </w:rPr>
              <w:t xml:space="preserve">Tipul de </w:t>
            </w:r>
            <w:r>
              <w:rPr>
                <w:noProof/>
              </w:rPr>
              <w:br/>
            </w:r>
            <w:r>
              <w:rPr>
                <w:noProof/>
                <w:sz w:val="18"/>
              </w:rPr>
              <w:t>cheltuieli</w:t>
            </w:r>
          </w:p>
        </w:tc>
        <w:tc>
          <w:tcPr>
            <w:tcW w:w="4440" w:type="dxa"/>
            <w:gridSpan w:val="4"/>
            <w:vAlign w:val="center"/>
          </w:tcPr>
          <w:p>
            <w:pPr>
              <w:spacing w:before="60" w:after="60"/>
              <w:jc w:val="center"/>
              <w:rPr>
                <w:noProof/>
                <w:sz w:val="22"/>
              </w:rPr>
            </w:pPr>
            <w:r>
              <w:rPr>
                <w:noProof/>
                <w:sz w:val="20"/>
              </w:rPr>
              <w:t xml:space="preserve">Contribuție </w:t>
            </w:r>
          </w:p>
        </w:tc>
      </w:tr>
      <w:tr>
        <w:tc>
          <w:tcPr>
            <w:tcW w:w="1080" w:type="dxa"/>
            <w:vMerge/>
            <w:vAlign w:val="center"/>
          </w:tcPr>
          <w:p>
            <w:pPr>
              <w:jc w:val="center"/>
              <w:rPr>
                <w:noProof/>
                <w:sz w:val="22"/>
              </w:rPr>
            </w:pPr>
          </w:p>
        </w:tc>
        <w:tc>
          <w:tcPr>
            <w:tcW w:w="3960" w:type="dxa"/>
            <w:vAlign w:val="center"/>
          </w:tcPr>
          <w:p>
            <w:pPr>
              <w:rPr>
                <w:noProof/>
                <w:sz w:val="22"/>
              </w:rPr>
            </w:pPr>
          </w:p>
        </w:tc>
        <w:tc>
          <w:tcPr>
            <w:tcW w:w="1080" w:type="dxa"/>
            <w:vAlign w:val="center"/>
          </w:tcPr>
          <w:p>
            <w:pPr>
              <w:jc w:val="center"/>
              <w:rPr>
                <w:noProof/>
                <w:sz w:val="22"/>
              </w:rPr>
            </w:pPr>
            <w:r>
              <w:rPr>
                <w:noProof/>
                <w:sz w:val="18"/>
                <w:szCs w:val="18"/>
              </w:rPr>
              <w:t>Dif./Nedif</w:t>
            </w:r>
            <w:r>
              <w:rPr>
                <w:rStyle w:val="FootnoteReference"/>
                <w:noProof/>
                <w:sz w:val="18"/>
                <w:szCs w:val="18"/>
              </w:rPr>
              <w:footnoteReference w:id="17"/>
            </w:r>
            <w:r>
              <w:rPr>
                <w:noProof/>
              </w:rPr>
              <w:t>.</w:t>
            </w:r>
          </w:p>
        </w:tc>
        <w:tc>
          <w:tcPr>
            <w:tcW w:w="956" w:type="dxa"/>
            <w:vAlign w:val="center"/>
          </w:tcPr>
          <w:p>
            <w:pPr>
              <w:jc w:val="center"/>
              <w:rPr>
                <w:noProof/>
                <w:sz w:val="22"/>
              </w:rPr>
            </w:pPr>
            <w:r>
              <w:rPr>
                <w:noProof/>
                <w:sz w:val="18"/>
                <w:szCs w:val="18"/>
              </w:rPr>
              <w:t>din partea țărilor AELS</w:t>
            </w:r>
            <w:r>
              <w:rPr>
                <w:rStyle w:val="FootnoteReference"/>
                <w:noProof/>
                <w:sz w:val="18"/>
                <w:szCs w:val="18"/>
              </w:rPr>
              <w:footnoteReference w:id="18"/>
            </w:r>
          </w:p>
          <w:p>
            <w:pPr>
              <w:spacing w:before="0" w:after="0"/>
              <w:jc w:val="center"/>
              <w:rPr>
                <w:b/>
                <w:noProof/>
                <w:sz w:val="18"/>
              </w:rPr>
            </w:pPr>
          </w:p>
        </w:tc>
        <w:tc>
          <w:tcPr>
            <w:tcW w:w="1080" w:type="dxa"/>
            <w:vAlign w:val="center"/>
          </w:tcPr>
          <w:p>
            <w:pPr>
              <w:jc w:val="center"/>
              <w:rPr>
                <w:noProof/>
                <w:sz w:val="22"/>
              </w:rPr>
            </w:pPr>
            <w:r>
              <w:rPr>
                <w:noProof/>
                <w:sz w:val="18"/>
                <w:szCs w:val="18"/>
              </w:rPr>
              <w:t>din partea țărilor candidate</w:t>
            </w:r>
            <w:r>
              <w:rPr>
                <w:rStyle w:val="FootnoteReference"/>
                <w:noProof/>
                <w:sz w:val="18"/>
                <w:szCs w:val="18"/>
              </w:rPr>
              <w:footnoteReference w:id="19"/>
            </w:r>
          </w:p>
          <w:p>
            <w:pPr>
              <w:spacing w:before="0" w:after="0"/>
              <w:jc w:val="center"/>
              <w:rPr>
                <w:noProof/>
                <w:sz w:val="18"/>
              </w:rPr>
            </w:pPr>
          </w:p>
        </w:tc>
        <w:tc>
          <w:tcPr>
            <w:tcW w:w="956" w:type="dxa"/>
            <w:vAlign w:val="center"/>
          </w:tcPr>
          <w:p>
            <w:pPr>
              <w:jc w:val="center"/>
              <w:rPr>
                <w:noProof/>
                <w:sz w:val="18"/>
              </w:rPr>
            </w:pPr>
            <w:r>
              <w:rPr>
                <w:noProof/>
                <w:sz w:val="18"/>
              </w:rPr>
              <w:t>din partea țărilor terțe</w:t>
            </w:r>
          </w:p>
        </w:tc>
        <w:tc>
          <w:tcPr>
            <w:tcW w:w="1448" w:type="dxa"/>
            <w:vAlign w:val="center"/>
          </w:tcPr>
          <w:p>
            <w:pPr>
              <w:jc w:val="center"/>
              <w:rPr>
                <w:noProof/>
                <w:sz w:val="22"/>
              </w:rPr>
            </w:pPr>
            <w:r>
              <w:rPr>
                <w:noProof/>
                <w:sz w:val="16"/>
              </w:rPr>
              <w:t xml:space="preserve">în sensul articolului 21 alineatul (2) litera (a) din Regulamentul financiar </w:t>
            </w:r>
          </w:p>
        </w:tc>
      </w:tr>
      <w:tr>
        <w:tc>
          <w:tcPr>
            <w:tcW w:w="1080" w:type="dxa"/>
          </w:tcPr>
          <w:p>
            <w:pPr>
              <w:jc w:val="center"/>
              <w:rPr>
                <w:noProof/>
                <w:color w:val="0000FF"/>
                <w:sz w:val="22"/>
              </w:rPr>
            </w:pPr>
            <w:r>
              <w:rPr>
                <w:noProof/>
                <w:color w:val="0000FF"/>
                <w:sz w:val="22"/>
              </w:rPr>
              <w:t>4</w:t>
            </w:r>
          </w:p>
        </w:tc>
        <w:tc>
          <w:tcPr>
            <w:tcW w:w="3960" w:type="dxa"/>
          </w:tcPr>
          <w:p>
            <w:pPr>
              <w:autoSpaceDE w:val="0"/>
              <w:autoSpaceDN w:val="0"/>
              <w:adjustRightInd w:val="0"/>
              <w:spacing w:before="0"/>
              <w:jc w:val="left"/>
              <w:rPr>
                <w:noProof/>
                <w:sz w:val="23"/>
                <w:szCs w:val="23"/>
              </w:rPr>
            </w:pPr>
            <w:r>
              <w:rPr>
                <w:noProof/>
                <w:sz w:val="23"/>
                <w:szCs w:val="23"/>
              </w:rPr>
              <w:t>01 03 02</w:t>
            </w:r>
          </w:p>
          <w:p>
            <w:pPr>
              <w:spacing w:before="60"/>
              <w:rPr>
                <w:noProof/>
                <w:sz w:val="22"/>
              </w:rPr>
            </w:pPr>
            <w:r>
              <w:rPr>
                <w:noProof/>
                <w:sz w:val="23"/>
                <w:szCs w:val="23"/>
              </w:rPr>
              <w:t>Asistență macrofinanciară</w:t>
            </w:r>
            <w:r>
              <w:rPr>
                <w:noProof/>
              </w:rPr>
              <w:t xml:space="preserve"> </w:t>
            </w:r>
          </w:p>
        </w:tc>
        <w:tc>
          <w:tcPr>
            <w:tcW w:w="1080" w:type="dxa"/>
          </w:tcPr>
          <w:p>
            <w:pPr>
              <w:jc w:val="center"/>
              <w:rPr>
                <w:noProof/>
                <w:color w:val="0000FF"/>
                <w:sz w:val="22"/>
              </w:rPr>
            </w:pPr>
            <w:r>
              <w:rPr>
                <w:noProof/>
                <w:sz w:val="22"/>
              </w:rPr>
              <w:t>Dif.</w:t>
            </w:r>
          </w:p>
        </w:tc>
        <w:tc>
          <w:tcPr>
            <w:tcW w:w="956" w:type="dxa"/>
          </w:tcPr>
          <w:p>
            <w:pPr>
              <w:jc w:val="center"/>
              <w:rPr>
                <w:noProof/>
                <w:sz w:val="22"/>
              </w:rPr>
            </w:pPr>
            <w:r>
              <w:rPr>
                <w:noProof/>
                <w:sz w:val="22"/>
              </w:rPr>
              <w:t>NU</w:t>
            </w:r>
          </w:p>
        </w:tc>
        <w:tc>
          <w:tcPr>
            <w:tcW w:w="1080" w:type="dxa"/>
          </w:tcPr>
          <w:p>
            <w:pPr>
              <w:jc w:val="center"/>
              <w:rPr>
                <w:noProof/>
                <w:sz w:val="22"/>
              </w:rPr>
            </w:pPr>
            <w:r>
              <w:rPr>
                <w:noProof/>
                <w:sz w:val="22"/>
              </w:rPr>
              <w:t>NU</w:t>
            </w:r>
          </w:p>
        </w:tc>
        <w:tc>
          <w:tcPr>
            <w:tcW w:w="956" w:type="dxa"/>
          </w:tcPr>
          <w:p>
            <w:pPr>
              <w:jc w:val="center"/>
              <w:rPr>
                <w:noProof/>
                <w:sz w:val="22"/>
              </w:rPr>
            </w:pPr>
            <w:r>
              <w:rPr>
                <w:noProof/>
                <w:sz w:val="22"/>
              </w:rPr>
              <w:t>NU</w:t>
            </w:r>
          </w:p>
        </w:tc>
        <w:tc>
          <w:tcPr>
            <w:tcW w:w="1448" w:type="dxa"/>
          </w:tcPr>
          <w:p>
            <w:pPr>
              <w:jc w:val="center"/>
              <w:rPr>
                <w:noProof/>
                <w:sz w:val="22"/>
              </w:rPr>
            </w:pPr>
            <w:r>
              <w:rPr>
                <w:noProof/>
                <w:sz w:val="22"/>
              </w:rPr>
              <w:t>NU</w:t>
            </w:r>
          </w:p>
        </w:tc>
      </w:tr>
      <w:tr>
        <w:tc>
          <w:tcPr>
            <w:tcW w:w="1080" w:type="dxa"/>
          </w:tcPr>
          <w:p>
            <w:pPr>
              <w:jc w:val="center"/>
              <w:rPr>
                <w:noProof/>
                <w:color w:val="0000FF"/>
                <w:sz w:val="22"/>
              </w:rPr>
            </w:pPr>
            <w:r>
              <w:rPr>
                <w:noProof/>
                <w:color w:val="0000FF"/>
                <w:sz w:val="22"/>
              </w:rPr>
              <w:t>4</w:t>
            </w:r>
          </w:p>
        </w:tc>
        <w:tc>
          <w:tcPr>
            <w:tcW w:w="3960" w:type="dxa"/>
          </w:tcPr>
          <w:p>
            <w:pPr>
              <w:autoSpaceDE w:val="0"/>
              <w:autoSpaceDN w:val="0"/>
              <w:adjustRightInd w:val="0"/>
              <w:spacing w:before="0"/>
              <w:jc w:val="left"/>
              <w:rPr>
                <w:noProof/>
                <w:sz w:val="23"/>
                <w:szCs w:val="23"/>
              </w:rPr>
            </w:pPr>
            <w:r>
              <w:rPr>
                <w:noProof/>
                <w:sz w:val="23"/>
                <w:szCs w:val="23"/>
              </w:rPr>
              <w:t>01 03 06</w:t>
            </w:r>
          </w:p>
          <w:p>
            <w:pPr>
              <w:autoSpaceDE w:val="0"/>
              <w:autoSpaceDN w:val="0"/>
              <w:adjustRightInd w:val="0"/>
              <w:spacing w:before="0"/>
              <w:jc w:val="left"/>
              <w:rPr>
                <w:noProof/>
              </w:rPr>
            </w:pPr>
            <w:r>
              <w:rPr>
                <w:noProof/>
                <w:sz w:val="23"/>
                <w:szCs w:val="23"/>
              </w:rPr>
              <w:t>Provizionarea Fondului de garantare</w:t>
            </w:r>
            <w:r>
              <w:rPr>
                <w:noProof/>
              </w:rPr>
              <w:t xml:space="preserve"> </w:t>
            </w:r>
          </w:p>
        </w:tc>
        <w:tc>
          <w:tcPr>
            <w:tcW w:w="1080" w:type="dxa"/>
          </w:tcPr>
          <w:p>
            <w:pPr>
              <w:jc w:val="center"/>
              <w:rPr>
                <w:noProof/>
                <w:sz w:val="22"/>
              </w:rPr>
            </w:pPr>
            <w:r>
              <w:rPr>
                <w:noProof/>
                <w:sz w:val="22"/>
              </w:rPr>
              <w:t>Nedif.</w:t>
            </w:r>
          </w:p>
        </w:tc>
        <w:tc>
          <w:tcPr>
            <w:tcW w:w="956" w:type="dxa"/>
          </w:tcPr>
          <w:p>
            <w:pPr>
              <w:jc w:val="center"/>
              <w:rPr>
                <w:noProof/>
                <w:sz w:val="22"/>
              </w:rPr>
            </w:pPr>
            <w:r>
              <w:rPr>
                <w:noProof/>
                <w:sz w:val="22"/>
              </w:rPr>
              <w:t>NU</w:t>
            </w:r>
          </w:p>
        </w:tc>
        <w:tc>
          <w:tcPr>
            <w:tcW w:w="1080" w:type="dxa"/>
          </w:tcPr>
          <w:p>
            <w:pPr>
              <w:jc w:val="center"/>
              <w:rPr>
                <w:noProof/>
                <w:sz w:val="22"/>
              </w:rPr>
            </w:pPr>
            <w:r>
              <w:rPr>
                <w:noProof/>
                <w:sz w:val="22"/>
              </w:rPr>
              <w:t>NU</w:t>
            </w:r>
          </w:p>
        </w:tc>
        <w:tc>
          <w:tcPr>
            <w:tcW w:w="956" w:type="dxa"/>
          </w:tcPr>
          <w:p>
            <w:pPr>
              <w:jc w:val="center"/>
              <w:rPr>
                <w:noProof/>
                <w:sz w:val="22"/>
              </w:rPr>
            </w:pPr>
            <w:r>
              <w:rPr>
                <w:noProof/>
                <w:sz w:val="22"/>
              </w:rPr>
              <w:t>NU</w:t>
            </w:r>
          </w:p>
        </w:tc>
        <w:tc>
          <w:tcPr>
            <w:tcW w:w="1448" w:type="dxa"/>
          </w:tcPr>
          <w:p>
            <w:pPr>
              <w:jc w:val="center"/>
              <w:rPr>
                <w:noProof/>
                <w:sz w:val="22"/>
              </w:rPr>
            </w:pPr>
            <w:r>
              <w:rPr>
                <w:noProof/>
                <w:sz w:val="22"/>
              </w:rPr>
              <w:t>NU</w:t>
            </w:r>
          </w:p>
        </w:tc>
      </w:tr>
    </w:tbl>
    <w:p>
      <w:pPr>
        <w:pStyle w:val="ListBullet1"/>
        <w:tabs>
          <w:tab w:val="clear" w:pos="1134"/>
          <w:tab w:val="num" w:pos="425"/>
        </w:tabs>
        <w:ind w:left="425"/>
        <w:rPr>
          <w:noProof/>
        </w:rPr>
      </w:pPr>
      <w:r>
        <w:rPr>
          <w:noProof/>
        </w:rPr>
        <w:t>01 03 06 – Conform propunerii Comisiei, Fondul de garantare pentru acțiuni externe va fi provizionat în conformitate cu Regulamentul nr. 480/2009 privind Fondul de garantare, utilizându-se fondurile aferente liniei bugetare 01 03 06 („Provizionarea Fondului de garantare”), la o rată de 9 % din totalul obligațiilor de capital neachitate. Suma provizionului se calculează la începutul anului „n” ca diferența dintre suma țintă și activele nete ale fondului la finalul anului „n-1”. Cuantumul provizionului este introdus în anul „n” în proiectul de buget pentru anul „n+1” și este plătit efectiv într-o singură tranzacție la începutul anului „n+1” din linia bugetară „Provizionarea Fondului de garantare” (linia bugetară 01 03 06). Prin urmare, un procent de 9 % din suma plătită efectiv se va lua în considerare în suma țintă la sfârșitul anului „n-1” pentru calcularea provizionării fondului.</w:t>
      </w:r>
    </w:p>
    <w:p>
      <w:pPr>
        <w:pStyle w:val="ListBullet1"/>
        <w:tabs>
          <w:tab w:val="clear" w:pos="1134"/>
          <w:tab w:val="num" w:pos="425"/>
        </w:tabs>
        <w:ind w:left="425"/>
        <w:rPr>
          <w:noProof/>
        </w:rPr>
      </w:pPr>
      <w:r>
        <w:rPr>
          <w:noProof/>
        </w:rPr>
        <w:t>N.B. În conformitate cu noul CFM pentru perioada 2021-2027, va exista o nouă nomenclatură bugetară, care nu a fost încă adoptată. Prin urmare, impactul bugetar va fi resimțit în noile linii bugetare.</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Impactul estimat asupra cheltuielilor </w:t>
      </w:r>
    </w:p>
    <w:p>
      <w:pPr>
        <w:pStyle w:val="ManualHeading3"/>
        <w:rPr>
          <w:noProof/>
          <w:u w:val="single"/>
        </w:rPr>
      </w:pPr>
      <w:r>
        <w:t>3.2.1.</w:t>
      </w:r>
      <w:r>
        <w:tab/>
      </w:r>
      <w:r>
        <w:rPr>
          <w:noProof/>
        </w:rPr>
        <w:t xml:space="preserve">Sinteza impactului estimat asupra cheltuielilor </w:t>
      </w:r>
    </w:p>
    <w:p>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clear" w:color="auto" w:fill="auto"/>
            <w:vAlign w:val="center"/>
          </w:tcPr>
          <w:p>
            <w:pPr>
              <w:spacing w:before="60" w:after="60"/>
              <w:jc w:val="center"/>
              <w:rPr>
                <w:b/>
                <w:noProof/>
                <w:sz w:val="22"/>
              </w:rPr>
            </w:pPr>
            <w:r>
              <w:rPr>
                <w:b/>
                <w:noProof/>
                <w:sz w:val="22"/>
              </w:rPr>
              <w:t>Rubrica</w:t>
            </w:r>
            <w:r>
              <w:rPr>
                <w:noProof/>
              </w:rPr>
              <w:t xml:space="preserve"> </w:t>
            </w:r>
            <w:r>
              <w:rPr>
                <w:b/>
                <w:noProof/>
                <w:sz w:val="22"/>
              </w:rPr>
              <w:t xml:space="preserve">din cadrul financiar multianual </w:t>
            </w:r>
          </w:p>
        </w:tc>
        <w:tc>
          <w:tcPr>
            <w:tcW w:w="1080" w:type="dxa"/>
            <w:vAlign w:val="center"/>
          </w:tcPr>
          <w:p>
            <w:pPr>
              <w:spacing w:before="60" w:after="60"/>
              <w:jc w:val="center"/>
              <w:rPr>
                <w:noProof/>
                <w:sz w:val="22"/>
              </w:rPr>
            </w:pPr>
            <w:r>
              <w:rPr>
                <w:noProof/>
                <w:sz w:val="22"/>
              </w:rPr>
              <w:t>4</w:t>
            </w:r>
          </w:p>
        </w:tc>
        <w:tc>
          <w:tcPr>
            <w:tcW w:w="7817" w:type="dxa"/>
            <w:vAlign w:val="center"/>
          </w:tcPr>
          <w:p>
            <w:pPr>
              <w:spacing w:before="60" w:after="60"/>
              <w:rPr>
                <w:noProof/>
                <w:sz w:val="22"/>
              </w:rPr>
            </w:pPr>
            <w:r>
              <w:rPr>
                <w:noProof/>
              </w:rPr>
              <w:t>UE ca partener global</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1777"/>
      </w:tblGrid>
      <w:tr>
        <w:tc>
          <w:tcPr>
            <w:tcW w:w="3960" w:type="dxa"/>
            <w:vAlign w:val="center"/>
          </w:tcPr>
          <w:p>
            <w:pPr>
              <w:jc w:val="center"/>
              <w:rPr>
                <w:noProof/>
                <w:sz w:val="22"/>
              </w:rPr>
            </w:pPr>
            <w:r>
              <w:rPr>
                <w:noProof/>
                <w:sz w:val="22"/>
              </w:rPr>
              <w:t>DG: DG ECFIN</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szCs w:val="20"/>
              </w:rPr>
              <w:t>2020</w:t>
            </w:r>
          </w:p>
        </w:tc>
        <w:tc>
          <w:tcPr>
            <w:tcW w:w="868" w:type="dxa"/>
            <w:vAlign w:val="center"/>
          </w:tcPr>
          <w:p>
            <w:pPr>
              <w:jc w:val="center"/>
              <w:rPr>
                <w:noProof/>
                <w:sz w:val="20"/>
                <w:szCs w:val="20"/>
              </w:rPr>
            </w:pPr>
            <w:r>
              <w:rPr>
                <w:noProof/>
                <w:sz w:val="20"/>
                <w:szCs w:val="20"/>
              </w:rPr>
              <w:t>2021</w:t>
            </w:r>
          </w:p>
        </w:tc>
        <w:tc>
          <w:tcPr>
            <w:tcW w:w="868" w:type="dxa"/>
            <w:vAlign w:val="center"/>
          </w:tcPr>
          <w:p>
            <w:pPr>
              <w:jc w:val="center"/>
              <w:rPr>
                <w:noProof/>
                <w:sz w:val="20"/>
                <w:szCs w:val="20"/>
              </w:rPr>
            </w:pPr>
            <w:r>
              <w:rPr>
                <w:noProof/>
                <w:sz w:val="20"/>
                <w:szCs w:val="20"/>
              </w:rPr>
              <w:t>2022</w:t>
            </w:r>
          </w:p>
        </w:tc>
        <w:tc>
          <w:tcPr>
            <w:tcW w:w="868" w:type="dxa"/>
            <w:vAlign w:val="center"/>
          </w:tcPr>
          <w:p>
            <w:pPr>
              <w:jc w:val="center"/>
              <w:rPr>
                <w:noProof/>
                <w:sz w:val="20"/>
                <w:szCs w:val="20"/>
              </w:rPr>
            </w:pPr>
            <w:r>
              <w:rPr>
                <w:noProof/>
                <w:sz w:val="20"/>
                <w:szCs w:val="20"/>
              </w:rPr>
              <w:t>2023</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b/>
                <w:noProof/>
                <w:sz w:val="21"/>
              </w:rPr>
            </w:pPr>
            <w:r>
              <w:rPr>
                <w:b/>
                <w:noProof/>
                <w:sz w:val="21"/>
              </w:rPr>
              <w:sym w:font="Wingdings" w:char="F09F"/>
            </w:r>
            <w:r>
              <w:rPr>
                <w:b/>
                <w:noProof/>
                <w:sz w:val="21"/>
              </w:rPr>
              <w:t xml:space="preserve">Credite operaționale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szCs w:val="20"/>
              </w:rPr>
              <w:t>Linia bugetară 01 03 06 Provizionarea Fondului de garantare</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270,0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270,0</w:t>
            </w:r>
          </w:p>
        </w:tc>
      </w:tr>
      <w:tr>
        <w:tc>
          <w:tcPr>
            <w:tcW w:w="3960" w:type="dxa"/>
            <w:vMerge w:val="restart"/>
            <w:vAlign w:val="center"/>
          </w:tcPr>
          <w:p>
            <w:pPr>
              <w:rPr>
                <w:noProof/>
                <w:sz w:val="22"/>
              </w:rPr>
            </w:pPr>
            <w:r>
              <w:rPr>
                <w:noProof/>
                <w:sz w:val="20"/>
                <w:szCs w:val="20"/>
              </w:rPr>
              <w:t>Linia bugetară 01 03 02 Asistență macrofinanciară (</w:t>
            </w:r>
            <w:r>
              <w:rPr>
                <w:noProof/>
                <w:sz w:val="21"/>
                <w:szCs w:val="21"/>
              </w:rPr>
              <w:t>evaluare operațională și evaluare ex-post</w:t>
            </w:r>
            <w:r>
              <w:rPr>
                <w:noProof/>
              </w:rPr>
              <w:t>)</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(3a)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0,800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(4a)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0,800</w:t>
            </w:r>
          </w:p>
        </w:tc>
      </w:tr>
      <w:tr>
        <w:trPr>
          <w:trHeight w:val="231"/>
        </w:trPr>
        <w:tc>
          <w:tcPr>
            <w:tcW w:w="6054" w:type="dxa"/>
            <w:gridSpan w:val="4"/>
            <w:vAlign w:val="center"/>
          </w:tcPr>
          <w:p>
            <w:pPr>
              <w:spacing w:before="20" w:after="20"/>
              <w:rPr>
                <w:b/>
                <w:bCs/>
                <w:noProof/>
                <w:sz w:val="22"/>
              </w:rPr>
            </w:pPr>
            <w:r>
              <w:rPr>
                <w:b/>
                <w:bCs/>
                <w:noProof/>
                <w:sz w:val="21"/>
                <w:szCs w:val="21"/>
              </w:rPr>
              <w:t>Credite cu caracter administrativ finanțate din bugetul unor programe specifice</w:t>
            </w:r>
            <w:r>
              <w:rPr>
                <w:rStyle w:val="FootnoteReference"/>
                <w:b/>
                <w:bCs/>
                <w:noProof/>
                <w:sz w:val="21"/>
                <w:szCs w:val="21"/>
              </w:rPr>
              <w:footnoteReference w:id="20"/>
            </w:r>
            <w:r>
              <w:rPr>
                <w:b/>
                <w:bCs/>
                <w:noProof/>
                <w:sz w:val="21"/>
                <w:szCs w:val="21"/>
              </w:rPr>
              <w:t xml:space="preserve"> </w:t>
            </w:r>
          </w:p>
          <w:p>
            <w:pPr>
              <w:spacing w:before="0" w:after="0"/>
              <w:rPr>
                <w:noProof/>
                <w:sz w:val="22"/>
              </w:rPr>
            </w:pP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868" w:type="dxa"/>
            <w:vAlign w:val="center"/>
          </w:tcPr>
          <w:p>
            <w:pPr>
              <w:jc w:val="center"/>
              <w:rPr>
                <w:b/>
                <w:bCs/>
                <w:noProof/>
                <w:sz w:val="20"/>
                <w:szCs w:val="20"/>
              </w:rPr>
            </w:pPr>
            <w:r>
              <w:rPr>
                <w:b/>
                <w:bCs/>
                <w:noProof/>
                <w:sz w:val="20"/>
                <w:szCs w:val="20"/>
              </w:rPr>
              <w:t>-</w:t>
            </w:r>
          </w:p>
        </w:tc>
        <w:tc>
          <w:tcPr>
            <w:tcW w:w="1777" w:type="dxa"/>
            <w:vAlign w:val="center"/>
          </w:tcPr>
          <w:p>
            <w:pPr>
              <w:rPr>
                <w:b/>
                <w:noProof/>
                <w:sz w:val="20"/>
              </w:rPr>
            </w:pPr>
          </w:p>
        </w:tc>
      </w:tr>
      <w:tr>
        <w:tc>
          <w:tcPr>
            <w:tcW w:w="3960" w:type="dxa"/>
            <w:vMerge w:val="restart"/>
            <w:shd w:val="clear" w:color="auto" w:fill="auto"/>
            <w:vAlign w:val="center"/>
          </w:tcPr>
          <w:p>
            <w:pPr>
              <w:jc w:val="center"/>
              <w:rPr>
                <w:b/>
                <w:bCs/>
                <w:noProof/>
                <w:sz w:val="22"/>
              </w:rPr>
            </w:pPr>
            <w:r>
              <w:rPr>
                <w:b/>
                <w:bCs/>
                <w:noProof/>
                <w:sz w:val="22"/>
              </w:rPr>
              <w:t>TOTAL credite</w:t>
            </w:r>
            <w:r>
              <w:rPr>
                <w:noProof/>
              </w:rPr>
              <w:t xml:space="preserve"> </w:t>
            </w:r>
            <w:r>
              <w:rPr>
                <w:noProof/>
              </w:rPr>
              <w:br/>
            </w:r>
            <w:r>
              <w:rPr>
                <w:b/>
                <w:bCs/>
                <w:noProof/>
                <w:sz w:val="22"/>
              </w:rPr>
              <w:t>la RUBRICA 4</w:t>
            </w:r>
            <w:r>
              <w:rPr>
                <w:noProof/>
              </w:rPr>
              <w:t xml:space="preserve"> </w:t>
            </w:r>
            <w:r>
              <w:rPr>
                <w:noProof/>
              </w:rPr>
              <w:br/>
            </w:r>
            <w:r>
              <w:rPr>
                <w:noProof/>
                <w:sz w:val="22"/>
              </w:rPr>
              <w:t>din cadrul financiar multianual</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270,8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=2+4</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270,0</w:t>
            </w:r>
          </w:p>
        </w:tc>
        <w:tc>
          <w:tcPr>
            <w:tcW w:w="868" w:type="dxa"/>
            <w:vAlign w:val="center"/>
          </w:tcPr>
          <w:p>
            <w:pPr>
              <w:spacing w:before="20" w:after="20"/>
              <w:jc w:val="right"/>
              <w:rPr>
                <w:noProof/>
                <w:sz w:val="20"/>
              </w:rPr>
            </w:pPr>
            <w:r>
              <w:rPr>
                <w:noProof/>
                <w:sz w:val="20"/>
              </w:rPr>
              <w:t>0,450</w:t>
            </w:r>
          </w:p>
        </w:tc>
        <w:tc>
          <w:tcPr>
            <w:tcW w:w="1777" w:type="dxa"/>
            <w:vAlign w:val="center"/>
          </w:tcPr>
          <w:p>
            <w:pPr>
              <w:spacing w:before="20" w:after="20"/>
              <w:jc w:val="right"/>
              <w:rPr>
                <w:b/>
                <w:noProof/>
                <w:sz w:val="20"/>
              </w:rPr>
            </w:pPr>
            <w:r>
              <w:rPr>
                <w:b/>
                <w:noProof/>
                <w:sz w:val="20"/>
              </w:rPr>
              <w:t>270,8</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Rubrica din cadrul financiar multianual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„Cheltuieli administrative”</w:t>
            </w: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2020</w:t>
            </w:r>
          </w:p>
        </w:tc>
        <w:tc>
          <w:tcPr>
            <w:tcW w:w="868" w:type="dxa"/>
            <w:vAlign w:val="center"/>
          </w:tcPr>
          <w:p>
            <w:pPr>
              <w:jc w:val="center"/>
              <w:rPr>
                <w:noProof/>
                <w:sz w:val="20"/>
                <w:szCs w:val="20"/>
              </w:rPr>
            </w:pPr>
            <w:r>
              <w:rPr>
                <w:noProof/>
                <w:sz w:val="20"/>
                <w:szCs w:val="20"/>
              </w:rPr>
              <w:t>2021</w:t>
            </w:r>
          </w:p>
        </w:tc>
        <w:tc>
          <w:tcPr>
            <w:tcW w:w="868" w:type="dxa"/>
            <w:vAlign w:val="center"/>
          </w:tcPr>
          <w:p>
            <w:pPr>
              <w:jc w:val="center"/>
              <w:rPr>
                <w:noProof/>
                <w:sz w:val="20"/>
                <w:szCs w:val="20"/>
              </w:rPr>
            </w:pPr>
            <w:r>
              <w:rPr>
                <w:noProof/>
                <w:sz w:val="20"/>
                <w:szCs w:val="20"/>
              </w:rPr>
              <w:t>2022</w:t>
            </w:r>
          </w:p>
        </w:tc>
        <w:tc>
          <w:tcPr>
            <w:tcW w:w="868" w:type="dxa"/>
            <w:vAlign w:val="center"/>
          </w:tcPr>
          <w:p>
            <w:pPr>
              <w:jc w:val="center"/>
              <w:rPr>
                <w:noProof/>
                <w:sz w:val="20"/>
                <w:szCs w:val="20"/>
              </w:rPr>
            </w:pPr>
            <w:r>
              <w:rPr>
                <w:noProof/>
                <w:sz w:val="20"/>
                <w:szCs w:val="20"/>
              </w:rPr>
              <w:t>2023</w:t>
            </w:r>
          </w:p>
        </w:tc>
        <w:tc>
          <w:tcPr>
            <w:tcW w:w="1777" w:type="dxa"/>
            <w:vAlign w:val="center"/>
          </w:tcPr>
          <w:p>
            <w:pPr>
              <w:jc w:val="center"/>
              <w:rPr>
                <w:b/>
                <w:noProof/>
                <w:sz w:val="20"/>
              </w:rPr>
            </w:pPr>
            <w:r>
              <w:rPr>
                <w:b/>
                <w:noProof/>
                <w:sz w:val="20"/>
              </w:rPr>
              <w:t>TOTAL</w:t>
            </w:r>
          </w:p>
        </w:tc>
      </w:tr>
      <w:tr>
        <w:trPr>
          <w:gridAfter w:val="7"/>
          <w:wAfter w:w="7343" w:type="dxa"/>
        </w:trPr>
        <w:tc>
          <w:tcPr>
            <w:tcW w:w="3960" w:type="dxa"/>
            <w:vAlign w:val="center"/>
          </w:tcPr>
          <w:p>
            <w:pPr>
              <w:spacing w:before="60" w:after="60"/>
              <w:jc w:val="center"/>
              <w:rPr>
                <w:noProof/>
                <w:sz w:val="22"/>
              </w:rPr>
            </w:pPr>
            <w:r>
              <w:rPr>
                <w:noProof/>
                <w:sz w:val="22"/>
              </w:rPr>
              <w:t>DG: DG ECFIN</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Resurse umane </w:t>
            </w:r>
          </w:p>
        </w:tc>
        <w:tc>
          <w:tcPr>
            <w:tcW w:w="868" w:type="dxa"/>
            <w:vAlign w:val="center"/>
          </w:tcPr>
          <w:p>
            <w:pPr>
              <w:spacing w:before="20" w:after="20"/>
              <w:jc w:val="center"/>
              <w:rPr>
                <w:noProof/>
                <w:sz w:val="18"/>
                <w:szCs w:val="18"/>
              </w:rPr>
            </w:pPr>
            <w:r>
              <w:rPr>
                <w:noProof/>
                <w:sz w:val="18"/>
                <w:szCs w:val="18"/>
              </w:rPr>
              <w:t>1,614</w:t>
            </w:r>
          </w:p>
        </w:tc>
        <w:tc>
          <w:tcPr>
            <w:tcW w:w="868" w:type="dxa"/>
            <w:vAlign w:val="center"/>
          </w:tcPr>
          <w:p>
            <w:pPr>
              <w:spacing w:before="20" w:after="20"/>
              <w:jc w:val="center"/>
              <w:rPr>
                <w:noProof/>
                <w:sz w:val="18"/>
                <w:szCs w:val="18"/>
              </w:rPr>
            </w:pPr>
            <w:r>
              <w:rPr>
                <w:noProof/>
                <w:sz w:val="18"/>
                <w:szCs w:val="18"/>
              </w:rPr>
              <w:t>-</w:t>
            </w:r>
          </w:p>
        </w:tc>
        <w:tc>
          <w:tcPr>
            <w:tcW w:w="868" w:type="dxa"/>
            <w:vAlign w:val="center"/>
          </w:tcPr>
          <w:p>
            <w:pPr>
              <w:spacing w:before="20" w:after="20"/>
              <w:jc w:val="center"/>
              <w:rPr>
                <w:noProof/>
                <w:sz w:val="18"/>
                <w:szCs w:val="18"/>
              </w:rPr>
            </w:pPr>
            <w:r>
              <w:rPr>
                <w:noProof/>
                <w:sz w:val="18"/>
                <w:szCs w:val="18"/>
              </w:rPr>
              <w:t>0,007</w:t>
            </w:r>
          </w:p>
        </w:tc>
        <w:tc>
          <w:tcPr>
            <w:tcW w:w="868" w:type="dxa"/>
            <w:vAlign w:val="center"/>
          </w:tcPr>
          <w:p>
            <w:pPr>
              <w:spacing w:before="20" w:after="20"/>
              <w:jc w:val="center"/>
              <w:rPr>
                <w:noProof/>
                <w:sz w:val="18"/>
                <w:szCs w:val="18"/>
              </w:rPr>
            </w:pPr>
            <w:r>
              <w:rPr>
                <w:noProof/>
                <w:sz w:val="18"/>
                <w:szCs w:val="18"/>
              </w:rPr>
              <w:t>0,009</w:t>
            </w:r>
          </w:p>
        </w:tc>
        <w:tc>
          <w:tcPr>
            <w:tcW w:w="1777" w:type="dxa"/>
            <w:vAlign w:val="center"/>
          </w:tcPr>
          <w:p>
            <w:pPr>
              <w:spacing w:before="20" w:after="20"/>
              <w:jc w:val="center"/>
              <w:rPr>
                <w:b/>
                <w:noProof/>
                <w:sz w:val="18"/>
                <w:szCs w:val="18"/>
              </w:rPr>
            </w:pPr>
            <w:r>
              <w:rPr>
                <w:b/>
                <w:bCs/>
                <w:noProof/>
                <w:sz w:val="18"/>
                <w:szCs w:val="18"/>
              </w:rPr>
              <w:t>1,630</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Alte cheltuieli administrative </w:t>
            </w:r>
          </w:p>
        </w:tc>
        <w:tc>
          <w:tcPr>
            <w:tcW w:w="868" w:type="dxa"/>
            <w:vAlign w:val="center"/>
          </w:tcPr>
          <w:p>
            <w:pPr>
              <w:spacing w:before="20" w:after="20"/>
              <w:jc w:val="center"/>
              <w:rPr>
                <w:noProof/>
                <w:sz w:val="18"/>
                <w:szCs w:val="18"/>
              </w:rPr>
            </w:pPr>
            <w:r>
              <w:rPr>
                <w:noProof/>
                <w:sz w:val="18"/>
                <w:szCs w:val="18"/>
              </w:rPr>
              <w:t>0,240</w:t>
            </w:r>
          </w:p>
        </w:tc>
        <w:tc>
          <w:tcPr>
            <w:tcW w:w="868" w:type="dxa"/>
            <w:vAlign w:val="center"/>
          </w:tcPr>
          <w:p>
            <w:pPr>
              <w:spacing w:before="20" w:after="20"/>
              <w:jc w:val="center"/>
              <w:rPr>
                <w:noProof/>
                <w:sz w:val="18"/>
              </w:rPr>
            </w:pPr>
            <w:r>
              <w:rPr>
                <w:noProof/>
                <w:sz w:val="18"/>
              </w:rPr>
              <w:t>-</w:t>
            </w:r>
          </w:p>
        </w:tc>
        <w:tc>
          <w:tcPr>
            <w:tcW w:w="868" w:type="dxa"/>
            <w:vAlign w:val="center"/>
          </w:tcPr>
          <w:p>
            <w:pPr>
              <w:spacing w:before="20" w:after="20"/>
              <w:jc w:val="center"/>
              <w:rPr>
                <w:noProof/>
                <w:sz w:val="18"/>
              </w:rPr>
            </w:pPr>
            <w:r>
              <w:rPr>
                <w:noProof/>
                <w:sz w:val="18"/>
              </w:rPr>
              <w:t>-</w:t>
            </w:r>
          </w:p>
        </w:tc>
        <w:tc>
          <w:tcPr>
            <w:tcW w:w="868" w:type="dxa"/>
            <w:vAlign w:val="center"/>
          </w:tcPr>
          <w:p>
            <w:pPr>
              <w:spacing w:before="20" w:after="20"/>
              <w:jc w:val="center"/>
              <w:rPr>
                <w:noProof/>
                <w:sz w:val="18"/>
              </w:rPr>
            </w:pPr>
            <w:r>
              <w:rPr>
                <w:noProof/>
                <w:sz w:val="18"/>
              </w:rPr>
              <w:t>-</w:t>
            </w:r>
          </w:p>
        </w:tc>
        <w:tc>
          <w:tcPr>
            <w:tcW w:w="1777" w:type="dxa"/>
            <w:vAlign w:val="center"/>
          </w:tcPr>
          <w:p>
            <w:pPr>
              <w:spacing w:before="20" w:after="20"/>
              <w:jc w:val="center"/>
              <w:rPr>
                <w:b/>
                <w:noProof/>
                <w:sz w:val="18"/>
                <w:szCs w:val="18"/>
              </w:rPr>
            </w:pPr>
            <w:r>
              <w:rPr>
                <w:b/>
                <w:bCs/>
                <w:noProof/>
                <w:sz w:val="18"/>
                <w:szCs w:val="18"/>
              </w:rPr>
              <w:t>0,240</w:t>
            </w:r>
          </w:p>
        </w:tc>
      </w:tr>
      <w:tr>
        <w:tc>
          <w:tcPr>
            <w:tcW w:w="3960" w:type="dxa"/>
            <w:vAlign w:val="center"/>
          </w:tcPr>
          <w:p>
            <w:pPr>
              <w:jc w:val="center"/>
              <w:rPr>
                <w:b/>
                <w:noProof/>
                <w:sz w:val="22"/>
              </w:rPr>
            </w:pPr>
            <w:r>
              <w:rPr>
                <w:b/>
                <w:bCs/>
                <w:noProof/>
                <w:sz w:val="22"/>
              </w:rPr>
              <w:t>TOTAL pentru DG ECFIN</w:t>
            </w:r>
          </w:p>
        </w:tc>
        <w:tc>
          <w:tcPr>
            <w:tcW w:w="2094" w:type="dxa"/>
            <w:gridSpan w:val="2"/>
            <w:vAlign w:val="center"/>
          </w:tcPr>
          <w:p>
            <w:pPr>
              <w:rPr>
                <w:noProof/>
                <w:sz w:val="14"/>
              </w:rPr>
            </w:pPr>
            <w:r>
              <w:rPr>
                <w:noProof/>
                <w:sz w:val="18"/>
              </w:rPr>
              <w:t xml:space="preserve">Credite </w:t>
            </w:r>
          </w:p>
        </w:tc>
        <w:tc>
          <w:tcPr>
            <w:tcW w:w="868" w:type="dxa"/>
            <w:vAlign w:val="center"/>
          </w:tcPr>
          <w:p>
            <w:pPr>
              <w:spacing w:before="60" w:after="60"/>
              <w:jc w:val="center"/>
              <w:rPr>
                <w:noProof/>
                <w:sz w:val="18"/>
                <w:szCs w:val="18"/>
              </w:rPr>
            </w:pPr>
            <w:r>
              <w:rPr>
                <w:noProof/>
                <w:sz w:val="18"/>
                <w:szCs w:val="18"/>
              </w:rPr>
              <w:t>1,854</w:t>
            </w:r>
          </w:p>
        </w:tc>
        <w:tc>
          <w:tcPr>
            <w:tcW w:w="868" w:type="dxa"/>
            <w:vAlign w:val="center"/>
          </w:tcPr>
          <w:p>
            <w:pPr>
              <w:spacing w:before="20" w:after="20"/>
              <w:jc w:val="center"/>
              <w:rPr>
                <w:noProof/>
                <w:sz w:val="18"/>
                <w:szCs w:val="18"/>
              </w:rPr>
            </w:pPr>
            <w:r>
              <w:rPr>
                <w:noProof/>
                <w:sz w:val="18"/>
                <w:szCs w:val="18"/>
              </w:rPr>
              <w:t>-</w:t>
            </w:r>
          </w:p>
        </w:tc>
        <w:tc>
          <w:tcPr>
            <w:tcW w:w="868" w:type="dxa"/>
            <w:vAlign w:val="center"/>
          </w:tcPr>
          <w:p>
            <w:pPr>
              <w:spacing w:before="20" w:after="20"/>
              <w:jc w:val="center"/>
              <w:rPr>
                <w:noProof/>
                <w:sz w:val="18"/>
                <w:szCs w:val="18"/>
              </w:rPr>
            </w:pPr>
            <w:r>
              <w:rPr>
                <w:noProof/>
                <w:sz w:val="18"/>
                <w:szCs w:val="18"/>
              </w:rPr>
              <w:t>0,007</w:t>
            </w:r>
          </w:p>
        </w:tc>
        <w:tc>
          <w:tcPr>
            <w:tcW w:w="868" w:type="dxa"/>
            <w:vAlign w:val="center"/>
          </w:tcPr>
          <w:p>
            <w:pPr>
              <w:spacing w:before="20" w:after="20"/>
              <w:jc w:val="center"/>
              <w:rPr>
                <w:noProof/>
                <w:sz w:val="18"/>
                <w:szCs w:val="18"/>
              </w:rPr>
            </w:pPr>
            <w:r>
              <w:rPr>
                <w:noProof/>
                <w:sz w:val="18"/>
                <w:szCs w:val="18"/>
              </w:rPr>
              <w:t>0,009</w:t>
            </w:r>
          </w:p>
        </w:tc>
        <w:tc>
          <w:tcPr>
            <w:tcW w:w="1777" w:type="dxa"/>
            <w:vAlign w:val="center"/>
          </w:tcPr>
          <w:p>
            <w:pPr>
              <w:spacing w:before="20" w:after="20"/>
              <w:jc w:val="center"/>
              <w:rPr>
                <w:b/>
                <w:bCs/>
                <w:noProof/>
                <w:sz w:val="18"/>
                <w:szCs w:val="18"/>
              </w:rPr>
            </w:pPr>
            <w:r>
              <w:rPr>
                <w:b/>
                <w:bCs/>
                <w:noProof/>
                <w:sz w:val="18"/>
                <w:szCs w:val="18"/>
              </w:rPr>
              <w:t>1,870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 credite</w:t>
            </w:r>
            <w:r>
              <w:rPr>
                <w:noProof/>
              </w:rPr>
              <w:t xml:space="preserve"> </w:t>
            </w:r>
            <w:r>
              <w:rPr>
                <w:noProof/>
              </w:rPr>
              <w:br/>
            </w:r>
            <w:r>
              <w:rPr>
                <w:b/>
                <w:noProof/>
                <w:sz w:val="22"/>
              </w:rPr>
              <w:t>la RUBRICA 5</w:t>
            </w:r>
            <w:r>
              <w:rPr>
                <w:noProof/>
              </w:rPr>
              <w:t xml:space="preserve"> </w:t>
            </w:r>
            <w:r>
              <w:rPr>
                <w:noProof/>
              </w:rPr>
              <w:br/>
            </w:r>
            <w:r>
              <w:rPr>
                <w:noProof/>
                <w:sz w:val="22"/>
              </w:rPr>
              <w:t>din cadrul financiar multianual</w:t>
            </w:r>
            <w:r>
              <w:rPr>
                <w:b/>
                <w:noProof/>
                <w:sz w:val="22"/>
              </w:rPr>
              <w:t xml:space="preserve"> </w:t>
            </w:r>
          </w:p>
        </w:tc>
        <w:tc>
          <w:tcPr>
            <w:tcW w:w="2094" w:type="dxa"/>
            <w:vAlign w:val="center"/>
          </w:tcPr>
          <w:p>
            <w:pPr>
              <w:spacing w:before="40" w:after="40"/>
              <w:rPr>
                <w:noProof/>
                <w:sz w:val="22"/>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1452"/>
        <w:gridCol w:w="890"/>
        <w:gridCol w:w="851"/>
        <w:gridCol w:w="850"/>
        <w:gridCol w:w="851"/>
        <w:gridCol w:w="850"/>
        <w:gridCol w:w="1843"/>
      </w:tblGrid>
      <w:tr>
        <w:trPr>
          <w:trHeight w:val="458"/>
        </w:trPr>
        <w:tc>
          <w:tcPr>
            <w:tcW w:w="3688" w:type="dxa"/>
            <w:tcBorders>
              <w:top w:val="nil"/>
              <w:left w:val="nil"/>
              <w:right w:val="nil"/>
            </w:tcBorders>
            <w:vAlign w:val="center"/>
          </w:tcPr>
          <w:p>
            <w:pPr>
              <w:jc w:val="center"/>
              <w:rPr>
                <w:noProof/>
                <w:sz w:val="22"/>
              </w:rPr>
            </w:pPr>
          </w:p>
        </w:tc>
        <w:tc>
          <w:tcPr>
            <w:tcW w:w="1452" w:type="dxa"/>
            <w:tcBorders>
              <w:top w:val="nil"/>
              <w:left w:val="nil"/>
              <w:right w:val="nil"/>
            </w:tcBorders>
          </w:tcPr>
          <w:p>
            <w:pPr>
              <w:rPr>
                <w:noProof/>
                <w:sz w:val="20"/>
              </w:rPr>
            </w:pPr>
          </w:p>
        </w:tc>
        <w:tc>
          <w:tcPr>
            <w:tcW w:w="890" w:type="dxa"/>
            <w:tcBorders>
              <w:top w:val="nil"/>
              <w:left w:val="nil"/>
            </w:tcBorders>
          </w:tcPr>
          <w:p>
            <w:pPr>
              <w:jc w:val="center"/>
              <w:rPr>
                <w:noProof/>
                <w:sz w:val="20"/>
              </w:rPr>
            </w:pPr>
          </w:p>
        </w:tc>
        <w:tc>
          <w:tcPr>
            <w:tcW w:w="851" w:type="dxa"/>
            <w:vAlign w:val="center"/>
          </w:tcPr>
          <w:p>
            <w:pPr>
              <w:jc w:val="center"/>
              <w:rPr>
                <w:noProof/>
                <w:sz w:val="20"/>
                <w:szCs w:val="20"/>
              </w:rPr>
            </w:pPr>
            <w:r>
              <w:rPr>
                <w:noProof/>
                <w:sz w:val="20"/>
                <w:szCs w:val="20"/>
              </w:rPr>
              <w:t>2020</w:t>
            </w:r>
          </w:p>
        </w:tc>
        <w:tc>
          <w:tcPr>
            <w:tcW w:w="850" w:type="dxa"/>
            <w:vAlign w:val="center"/>
          </w:tcPr>
          <w:p>
            <w:pPr>
              <w:jc w:val="center"/>
              <w:rPr>
                <w:noProof/>
                <w:sz w:val="20"/>
                <w:szCs w:val="20"/>
              </w:rPr>
            </w:pPr>
            <w:r>
              <w:rPr>
                <w:noProof/>
                <w:sz w:val="20"/>
                <w:szCs w:val="20"/>
              </w:rPr>
              <w:t>2021</w:t>
            </w:r>
          </w:p>
        </w:tc>
        <w:tc>
          <w:tcPr>
            <w:tcW w:w="851" w:type="dxa"/>
            <w:vAlign w:val="center"/>
          </w:tcPr>
          <w:p>
            <w:pPr>
              <w:jc w:val="center"/>
              <w:rPr>
                <w:noProof/>
                <w:sz w:val="20"/>
                <w:szCs w:val="20"/>
              </w:rPr>
            </w:pPr>
            <w:r>
              <w:rPr>
                <w:noProof/>
                <w:sz w:val="20"/>
                <w:szCs w:val="20"/>
              </w:rPr>
              <w:t>2022</w:t>
            </w:r>
          </w:p>
        </w:tc>
        <w:tc>
          <w:tcPr>
            <w:tcW w:w="850" w:type="dxa"/>
            <w:vAlign w:val="center"/>
          </w:tcPr>
          <w:p>
            <w:pPr>
              <w:jc w:val="center"/>
              <w:rPr>
                <w:noProof/>
                <w:sz w:val="20"/>
                <w:szCs w:val="20"/>
              </w:rPr>
            </w:pPr>
            <w:r>
              <w:rPr>
                <w:noProof/>
                <w:sz w:val="20"/>
                <w:szCs w:val="20"/>
              </w:rPr>
              <w:t>2023</w:t>
            </w:r>
          </w:p>
        </w:tc>
        <w:tc>
          <w:tcPr>
            <w:tcW w:w="1843" w:type="dxa"/>
            <w:vAlign w:val="center"/>
          </w:tcPr>
          <w:p>
            <w:pPr>
              <w:jc w:val="center"/>
              <w:rPr>
                <w:b/>
                <w:noProof/>
                <w:sz w:val="20"/>
              </w:rPr>
            </w:pPr>
            <w:r>
              <w:rPr>
                <w:b/>
                <w:noProof/>
                <w:sz w:val="20"/>
              </w:rPr>
              <w:t>TOTAL</w:t>
            </w:r>
          </w:p>
        </w:tc>
      </w:tr>
      <w:tr>
        <w:trPr>
          <w:trHeight w:val="406"/>
        </w:trPr>
        <w:tc>
          <w:tcPr>
            <w:tcW w:w="3688" w:type="dxa"/>
            <w:vMerge w:val="restart"/>
            <w:shd w:val="clear" w:color="auto" w:fill="C0C0C0"/>
            <w:vAlign w:val="center"/>
          </w:tcPr>
          <w:p>
            <w:pPr>
              <w:jc w:val="center"/>
              <w:rPr>
                <w:b/>
                <w:noProof/>
                <w:sz w:val="22"/>
              </w:rPr>
            </w:pPr>
            <w:r>
              <w:rPr>
                <w:b/>
                <w:noProof/>
                <w:sz w:val="22"/>
              </w:rPr>
              <w:t>TOTAL credite</w:t>
            </w:r>
            <w:r>
              <w:rPr>
                <w:noProof/>
              </w:rPr>
              <w:t xml:space="preserve"> </w:t>
            </w:r>
            <w:r>
              <w:rPr>
                <w:noProof/>
              </w:rPr>
              <w:br/>
            </w:r>
            <w:r>
              <w:rPr>
                <w:b/>
                <w:noProof/>
                <w:sz w:val="22"/>
              </w:rPr>
              <w:t>la RUBRICILE 1-5</w:t>
            </w:r>
            <w:r>
              <w:rPr>
                <w:noProof/>
              </w:rPr>
              <w:t xml:space="preserve"> </w:t>
            </w:r>
            <w:r>
              <w:rPr>
                <w:noProof/>
              </w:rPr>
              <w:br/>
            </w:r>
            <w:r>
              <w:rPr>
                <w:noProof/>
                <w:sz w:val="22"/>
              </w:rPr>
              <w:t>din cadrul financiar multianual</w:t>
            </w:r>
            <w:r>
              <w:rPr>
                <w:b/>
                <w:noProof/>
                <w:sz w:val="22"/>
              </w:rPr>
              <w:t xml:space="preserve"> </w:t>
            </w:r>
          </w:p>
        </w:tc>
        <w:tc>
          <w:tcPr>
            <w:tcW w:w="2342" w:type="dxa"/>
            <w:gridSpan w:val="2"/>
            <w:vAlign w:val="center"/>
          </w:tcPr>
          <w:p>
            <w:pPr>
              <w:rPr>
                <w:noProof/>
                <w:sz w:val="14"/>
              </w:rPr>
            </w:pPr>
            <w:r>
              <w:rPr>
                <w:noProof/>
                <w:sz w:val="18"/>
              </w:rPr>
              <w:t>Angajamente</w:t>
            </w:r>
          </w:p>
        </w:tc>
        <w:tc>
          <w:tcPr>
            <w:tcW w:w="851" w:type="dxa"/>
            <w:vAlign w:val="center"/>
          </w:tcPr>
          <w:p>
            <w:pPr>
              <w:spacing w:before="60" w:after="60"/>
              <w:jc w:val="right"/>
              <w:rPr>
                <w:noProof/>
                <w:sz w:val="18"/>
              </w:rPr>
            </w:pPr>
            <w:r>
              <w:rPr>
                <w:noProof/>
                <w:sz w:val="18"/>
                <w:szCs w:val="18"/>
              </w:rPr>
              <w:t>2,204</w:t>
            </w:r>
          </w:p>
        </w:tc>
        <w:tc>
          <w:tcPr>
            <w:tcW w:w="850" w:type="dxa"/>
            <w:vAlign w:val="center"/>
          </w:tcPr>
          <w:p>
            <w:pPr>
              <w:spacing w:before="60" w:after="60"/>
              <w:jc w:val="right"/>
              <w:rPr>
                <w:noProof/>
                <w:sz w:val="18"/>
              </w:rPr>
            </w:pPr>
          </w:p>
        </w:tc>
        <w:tc>
          <w:tcPr>
            <w:tcW w:w="851" w:type="dxa"/>
            <w:vAlign w:val="center"/>
          </w:tcPr>
          <w:p>
            <w:pPr>
              <w:spacing w:before="60" w:after="60"/>
              <w:jc w:val="right"/>
              <w:rPr>
                <w:noProof/>
                <w:sz w:val="18"/>
              </w:rPr>
            </w:pPr>
            <w:r>
              <w:rPr>
                <w:noProof/>
                <w:sz w:val="18"/>
                <w:szCs w:val="18"/>
              </w:rPr>
              <w:t>270,007</w:t>
            </w:r>
          </w:p>
        </w:tc>
        <w:tc>
          <w:tcPr>
            <w:tcW w:w="850" w:type="dxa"/>
            <w:vAlign w:val="center"/>
          </w:tcPr>
          <w:p>
            <w:pPr>
              <w:spacing w:before="60" w:after="60"/>
              <w:jc w:val="right"/>
              <w:rPr>
                <w:noProof/>
                <w:sz w:val="18"/>
              </w:rPr>
            </w:pPr>
            <w:r>
              <w:rPr>
                <w:noProof/>
                <w:sz w:val="18"/>
                <w:szCs w:val="18"/>
              </w:rPr>
              <w:t>0,459</w:t>
            </w:r>
          </w:p>
        </w:tc>
        <w:tc>
          <w:tcPr>
            <w:tcW w:w="1843" w:type="dxa"/>
            <w:vAlign w:val="center"/>
          </w:tcPr>
          <w:p>
            <w:pPr>
              <w:spacing w:before="60" w:after="60"/>
              <w:jc w:val="right"/>
              <w:rPr>
                <w:noProof/>
                <w:sz w:val="18"/>
                <w:szCs w:val="18"/>
              </w:rPr>
            </w:pPr>
            <w:r>
              <w:rPr>
                <w:noProof/>
                <w:sz w:val="18"/>
                <w:szCs w:val="18"/>
              </w:rPr>
              <w:t>272,670</w:t>
            </w:r>
          </w:p>
        </w:tc>
      </w:tr>
      <w:tr>
        <w:trPr>
          <w:trHeight w:val="512"/>
        </w:trPr>
        <w:tc>
          <w:tcPr>
            <w:tcW w:w="3688" w:type="dxa"/>
            <w:vMerge/>
            <w:shd w:val="clear" w:color="auto" w:fill="C0C0C0"/>
          </w:tcPr>
          <w:p>
            <w:pPr>
              <w:rPr>
                <w:noProof/>
                <w:sz w:val="20"/>
              </w:rPr>
            </w:pPr>
          </w:p>
        </w:tc>
        <w:tc>
          <w:tcPr>
            <w:tcW w:w="2342" w:type="dxa"/>
            <w:gridSpan w:val="2"/>
            <w:vAlign w:val="center"/>
          </w:tcPr>
          <w:p>
            <w:pPr>
              <w:rPr>
                <w:noProof/>
                <w:sz w:val="14"/>
              </w:rPr>
            </w:pPr>
            <w:r>
              <w:rPr>
                <w:noProof/>
                <w:sz w:val="18"/>
              </w:rPr>
              <w:t>Plăți</w:t>
            </w:r>
          </w:p>
        </w:tc>
        <w:tc>
          <w:tcPr>
            <w:tcW w:w="851" w:type="dxa"/>
            <w:vAlign w:val="center"/>
          </w:tcPr>
          <w:p>
            <w:pPr>
              <w:spacing w:before="60" w:after="60"/>
              <w:jc w:val="right"/>
              <w:rPr>
                <w:noProof/>
                <w:sz w:val="18"/>
              </w:rPr>
            </w:pPr>
            <w:r>
              <w:rPr>
                <w:noProof/>
                <w:sz w:val="18"/>
                <w:szCs w:val="18"/>
              </w:rPr>
              <w:t>2,204</w:t>
            </w:r>
          </w:p>
        </w:tc>
        <w:tc>
          <w:tcPr>
            <w:tcW w:w="850" w:type="dxa"/>
            <w:vAlign w:val="center"/>
          </w:tcPr>
          <w:p>
            <w:pPr>
              <w:spacing w:before="60" w:after="60"/>
              <w:jc w:val="right"/>
              <w:rPr>
                <w:noProof/>
                <w:sz w:val="18"/>
              </w:rPr>
            </w:pPr>
          </w:p>
        </w:tc>
        <w:tc>
          <w:tcPr>
            <w:tcW w:w="851" w:type="dxa"/>
            <w:vAlign w:val="center"/>
          </w:tcPr>
          <w:p>
            <w:pPr>
              <w:spacing w:before="60" w:after="60"/>
              <w:jc w:val="right"/>
              <w:rPr>
                <w:noProof/>
                <w:sz w:val="18"/>
              </w:rPr>
            </w:pPr>
            <w:r>
              <w:rPr>
                <w:noProof/>
                <w:sz w:val="18"/>
                <w:szCs w:val="18"/>
              </w:rPr>
              <w:t>270,007</w:t>
            </w:r>
          </w:p>
        </w:tc>
        <w:tc>
          <w:tcPr>
            <w:tcW w:w="850" w:type="dxa"/>
            <w:vAlign w:val="center"/>
          </w:tcPr>
          <w:p>
            <w:pPr>
              <w:spacing w:before="60" w:after="60"/>
              <w:jc w:val="right"/>
              <w:rPr>
                <w:noProof/>
                <w:sz w:val="18"/>
              </w:rPr>
            </w:pPr>
            <w:r>
              <w:rPr>
                <w:noProof/>
                <w:sz w:val="18"/>
                <w:szCs w:val="18"/>
              </w:rPr>
              <w:t>0,459</w:t>
            </w:r>
          </w:p>
        </w:tc>
        <w:tc>
          <w:tcPr>
            <w:tcW w:w="1843" w:type="dxa"/>
            <w:vAlign w:val="center"/>
          </w:tcPr>
          <w:p>
            <w:pPr>
              <w:spacing w:before="60" w:after="60"/>
              <w:jc w:val="right"/>
              <w:rPr>
                <w:noProof/>
                <w:sz w:val="18"/>
                <w:szCs w:val="18"/>
              </w:rPr>
            </w:pPr>
            <w:r>
              <w:rPr>
                <w:noProof/>
                <w:sz w:val="18"/>
                <w:szCs w:val="18"/>
              </w:rPr>
              <w:t>272,670</w:t>
            </w:r>
          </w:p>
        </w:tc>
      </w:tr>
    </w:tbl>
    <w:p>
      <w:pPr>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Impactul estimat asupra creditelor operaționale </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b/>
          <w:noProof/>
        </w:rPr>
        <w:t>X</w:t>
      </w:r>
      <w:r>
        <w:rPr>
          <w:noProof/>
        </w:rPr>
        <w:tab/>
        <w:t>Propunerea/inițiativa implică utilizarea de credite operaționale, conform explicațiilor de mai jos:</w:t>
      </w:r>
    </w:p>
    <w:p>
      <w:pPr>
        <w:jc w:val="right"/>
        <w:rPr>
          <w:noProof/>
          <w:sz w:val="20"/>
        </w:rPr>
      </w:pPr>
      <w:r>
        <w:rPr>
          <w:noProof/>
          <w:sz w:val="20"/>
        </w:rPr>
        <w:t>Credite de angajament în milioane EUR (cu trei zecimale)</w:t>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011"/>
        <w:gridCol w:w="339"/>
        <w:gridCol w:w="484"/>
        <w:gridCol w:w="685"/>
        <w:gridCol w:w="518"/>
        <w:gridCol w:w="685"/>
        <w:gridCol w:w="685"/>
        <w:gridCol w:w="685"/>
        <w:gridCol w:w="852"/>
        <w:gridCol w:w="685"/>
        <w:gridCol w:w="518"/>
        <w:gridCol w:w="174"/>
        <w:gridCol w:w="444"/>
        <w:gridCol w:w="418"/>
        <w:gridCol w:w="685"/>
        <w:gridCol w:w="518"/>
        <w:gridCol w:w="685"/>
        <w:gridCol w:w="685"/>
        <w:gridCol w:w="236"/>
        <w:gridCol w:w="616"/>
      </w:tblGrid>
      <w:tr>
        <w:trPr>
          <w:gridAfter w:val="6"/>
          <w:wAfter w:w="2936" w:type="dxa"/>
          <w:jc w:val="center"/>
        </w:trPr>
        <w:tc>
          <w:tcPr>
            <w:tcW w:w="1423" w:type="dxa"/>
            <w:vMerge w:val="restart"/>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1073" w:type="dxa"/>
            <w:vAlign w:val="center"/>
          </w:tcPr>
          <w:p>
            <w:pPr>
              <w:ind w:right="-29"/>
              <w:jc w:val="center"/>
              <w:rPr>
                <w:noProof/>
                <w:sz w:val="18"/>
                <w:szCs w:val="18"/>
              </w:rPr>
            </w:pPr>
          </w:p>
        </w:tc>
        <w:tc>
          <w:tcPr>
            <w:tcW w:w="348" w:type="dxa"/>
            <w:vAlign w:val="center"/>
          </w:tcPr>
          <w:p>
            <w:pPr>
              <w:ind w:right="-29"/>
              <w:jc w:val="center"/>
              <w:rPr>
                <w:noProof/>
                <w:sz w:val="18"/>
                <w:szCs w:val="18"/>
              </w:rPr>
            </w:pPr>
          </w:p>
        </w:tc>
        <w:tc>
          <w:tcPr>
            <w:tcW w:w="1224" w:type="dxa"/>
            <w:gridSpan w:val="2"/>
            <w:tcBorders>
              <w:left w:val="nil"/>
            </w:tcBorders>
            <w:vAlign w:val="center"/>
          </w:tcPr>
          <w:p>
            <w:pPr>
              <w:ind w:right="-29"/>
              <w:jc w:val="center"/>
              <w:rPr>
                <w:b/>
                <w:bCs/>
                <w:noProof/>
                <w:sz w:val="18"/>
                <w:szCs w:val="18"/>
              </w:rPr>
            </w:pPr>
            <w:r>
              <w:rPr>
                <w:b/>
                <w:bCs/>
                <w:noProof/>
                <w:sz w:val="18"/>
                <w:szCs w:val="18"/>
              </w:rPr>
              <w:t>2020</w:t>
            </w:r>
          </w:p>
        </w:tc>
        <w:tc>
          <w:tcPr>
            <w:tcW w:w="1260" w:type="dxa"/>
            <w:gridSpan w:val="2"/>
            <w:vAlign w:val="center"/>
          </w:tcPr>
          <w:p>
            <w:pPr>
              <w:ind w:right="-29"/>
              <w:jc w:val="center"/>
              <w:rPr>
                <w:b/>
                <w:bCs/>
                <w:noProof/>
                <w:sz w:val="18"/>
                <w:szCs w:val="18"/>
              </w:rPr>
            </w:pPr>
            <w:r>
              <w:rPr>
                <w:b/>
                <w:bCs/>
                <w:noProof/>
                <w:sz w:val="18"/>
                <w:szCs w:val="18"/>
              </w:rPr>
              <w:t>2021</w:t>
            </w:r>
          </w:p>
        </w:tc>
        <w:tc>
          <w:tcPr>
            <w:tcW w:w="1440" w:type="dxa"/>
            <w:gridSpan w:val="2"/>
            <w:vAlign w:val="center"/>
          </w:tcPr>
          <w:p>
            <w:pPr>
              <w:ind w:right="-29"/>
              <w:jc w:val="center"/>
              <w:rPr>
                <w:b/>
                <w:bCs/>
                <w:noProof/>
                <w:sz w:val="18"/>
                <w:szCs w:val="18"/>
              </w:rPr>
            </w:pPr>
            <w:r>
              <w:rPr>
                <w:b/>
                <w:bCs/>
                <w:noProof/>
                <w:sz w:val="18"/>
                <w:szCs w:val="18"/>
              </w:rPr>
              <w:t>2022</w:t>
            </w:r>
          </w:p>
        </w:tc>
        <w:tc>
          <w:tcPr>
            <w:tcW w:w="1620" w:type="dxa"/>
            <w:gridSpan w:val="2"/>
            <w:vAlign w:val="center"/>
          </w:tcPr>
          <w:p>
            <w:pPr>
              <w:ind w:right="-29"/>
              <w:jc w:val="center"/>
              <w:rPr>
                <w:b/>
                <w:bCs/>
                <w:noProof/>
                <w:sz w:val="18"/>
                <w:szCs w:val="18"/>
              </w:rPr>
            </w:pPr>
            <w:r>
              <w:rPr>
                <w:b/>
                <w:bCs/>
                <w:noProof/>
                <w:sz w:val="18"/>
                <w:szCs w:val="18"/>
              </w:rPr>
              <w:t>2023</w:t>
            </w:r>
          </w:p>
        </w:tc>
        <w:tc>
          <w:tcPr>
            <w:tcW w:w="1620" w:type="dxa"/>
            <w:gridSpan w:val="4"/>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20"/>
            <w:tcBorders>
              <w:top w:val="single" w:sz="4" w:space="0" w:color="auto"/>
              <w:left w:val="single" w:sz="4" w:space="0" w:color="auto"/>
              <w:bottom w:val="single" w:sz="4" w:space="0" w:color="auto"/>
              <w:right w:val="single" w:sz="4" w:space="0" w:color="auto"/>
            </w:tcBorders>
            <w:vAlign w:val="center"/>
          </w:tcPr>
          <w:p>
            <w:pPr>
              <w:spacing w:before="60" w:after="60"/>
              <w:ind w:right="-29"/>
              <w:jc w:val="center"/>
              <w:rPr>
                <w:noProof/>
                <w:sz w:val="18"/>
                <w:szCs w:val="18"/>
              </w:rPr>
            </w:pPr>
            <w:r>
              <w:rPr>
                <w:b/>
                <w:noProof/>
                <w:sz w:val="18"/>
              </w:rPr>
              <w:t>REALIZĂRI</w:t>
            </w:r>
          </w:p>
        </w:tc>
      </w:tr>
      <w:tr>
        <w:trPr>
          <w:gridAfter w:val="6"/>
          <w:wAfter w:w="2936" w:type="dxa"/>
          <w:cantSplit/>
          <w:trHeight w:val="2122"/>
          <w:jc w:val="center"/>
        </w:trPr>
        <w:tc>
          <w:tcPr>
            <w:tcW w:w="1423" w:type="dxa"/>
            <w:vMerge/>
            <w:vAlign w:val="center"/>
          </w:tcPr>
          <w:p>
            <w:pPr>
              <w:rPr>
                <w:noProof/>
                <w:sz w:val="18"/>
                <w:szCs w:val="18"/>
              </w:rPr>
            </w:pPr>
          </w:p>
        </w:tc>
        <w:tc>
          <w:tcPr>
            <w:tcW w:w="1073" w:type="dxa"/>
            <w:tcBorders>
              <w:top w:val="single" w:sz="4" w:space="0" w:color="auto"/>
              <w:left w:val="single" w:sz="4" w:space="0" w:color="auto"/>
              <w:bottom w:val="single" w:sz="4" w:space="0" w:color="auto"/>
              <w:right w:val="single" w:sz="4" w:space="0" w:color="auto"/>
            </w:tcBorders>
            <w:vAlign w:val="center"/>
          </w:tcPr>
          <w:p>
            <w:pPr>
              <w:jc w:val="center"/>
              <w:rPr>
                <w:noProof/>
                <w:sz w:val="18"/>
                <w:szCs w:val="18"/>
              </w:rPr>
            </w:pPr>
            <w:r>
              <w:rPr>
                <w:noProof/>
                <w:sz w:val="18"/>
                <w:szCs w:val="18"/>
              </w:rPr>
              <w:t>Tip</w:t>
            </w:r>
            <w:r>
              <w:rPr>
                <w:rStyle w:val="FootnoteReference"/>
                <w:noProof/>
                <w:sz w:val="18"/>
                <w:szCs w:val="18"/>
              </w:rPr>
              <w:footnoteReference w:id="21"/>
            </w:r>
          </w:p>
          <w:p>
            <w:pPr>
              <w:spacing w:before="0" w:after="0"/>
              <w:jc w:val="center"/>
              <w:rPr>
                <w:noProof/>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pPr>
              <w:jc w:val="center"/>
              <w:rPr>
                <w:noProof/>
                <w:sz w:val="18"/>
                <w:szCs w:val="18"/>
              </w:rPr>
            </w:pPr>
            <w:r>
              <w:rPr>
                <w:noProof/>
                <w:sz w:val="18"/>
              </w:rPr>
              <w:t>Costuri medii</w:t>
            </w:r>
          </w:p>
        </w:tc>
        <w:tc>
          <w:tcPr>
            <w:tcW w:w="504" w:type="dxa"/>
            <w:tcBorders>
              <w:top w:val="single" w:sz="4" w:space="0" w:color="auto"/>
              <w:left w:val="nil"/>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Nr.</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Costuri</w:t>
            </w:r>
          </w:p>
        </w:tc>
        <w:tc>
          <w:tcPr>
            <w:tcW w:w="54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Nr.</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Costuri</w:t>
            </w:r>
          </w:p>
        </w:tc>
        <w:tc>
          <w:tcPr>
            <w:tcW w:w="72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Nr.</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Costuri</w:t>
            </w:r>
          </w:p>
        </w:tc>
        <w:tc>
          <w:tcPr>
            <w:tcW w:w="900" w:type="dxa"/>
            <w:tcBorders>
              <w:top w:val="single" w:sz="4" w:space="0" w:color="auto"/>
              <w:left w:val="single" w:sz="4" w:space="0" w:color="auto"/>
              <w:bottom w:val="single" w:sz="4" w:space="0" w:color="auto"/>
              <w:right w:val="dashSmallGap" w:sz="4" w:space="0" w:color="auto"/>
            </w:tcBorders>
            <w:shd w:val="clear" w:color="auto" w:fill="auto"/>
            <w:textDirection w:val="btLr"/>
            <w:vAlign w:val="center"/>
          </w:tcPr>
          <w:p>
            <w:pPr>
              <w:ind w:left="113" w:right="113"/>
              <w:jc w:val="center"/>
              <w:rPr>
                <w:noProof/>
                <w:sz w:val="18"/>
                <w:szCs w:val="18"/>
              </w:rPr>
            </w:pPr>
            <w:r>
              <w:rPr>
                <w:noProof/>
                <w:sz w:val="18"/>
              </w:rPr>
              <w:t>Nr.</w:t>
            </w:r>
          </w:p>
        </w:tc>
        <w:tc>
          <w:tcPr>
            <w:tcW w:w="720" w:type="dxa"/>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Costuri</w:t>
            </w:r>
          </w:p>
        </w:tc>
        <w:tc>
          <w:tcPr>
            <w:tcW w:w="720"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pPr>
              <w:jc w:val="center"/>
              <w:rPr>
                <w:noProof/>
                <w:sz w:val="18"/>
                <w:szCs w:val="18"/>
              </w:rPr>
            </w:pPr>
            <w:r>
              <w:rPr>
                <w:noProof/>
                <w:sz w:val="18"/>
              </w:rPr>
              <w:t>Nr. total</w:t>
            </w:r>
          </w:p>
        </w:tc>
        <w:tc>
          <w:tcPr>
            <w:tcW w:w="900" w:type="dxa"/>
            <w:gridSpan w:val="2"/>
            <w:tcBorders>
              <w:top w:val="single" w:sz="4" w:space="0" w:color="auto"/>
              <w:left w:val="dashSmallGap" w:sz="4" w:space="0" w:color="auto"/>
              <w:bottom w:val="single" w:sz="4" w:space="0" w:color="auto"/>
              <w:right w:val="single" w:sz="4" w:space="0" w:color="auto"/>
            </w:tcBorders>
            <w:shd w:val="clear" w:color="auto" w:fill="auto"/>
            <w:vAlign w:val="center"/>
          </w:tcPr>
          <w:p>
            <w:pPr>
              <w:jc w:val="center"/>
              <w:rPr>
                <w:noProof/>
                <w:sz w:val="18"/>
                <w:szCs w:val="18"/>
              </w:rPr>
            </w:pPr>
            <w:r>
              <w:rPr>
                <w:noProof/>
                <w:sz w:val="18"/>
              </w:rPr>
              <w:t>Total costuri</w:t>
            </w:r>
          </w:p>
        </w:tc>
      </w:tr>
      <w:tr>
        <w:trPr>
          <w:gridAfter w:val="1"/>
          <w:wAfter w:w="664" w:type="dxa"/>
          <w:jc w:val="center"/>
        </w:trPr>
        <w:tc>
          <w:tcPr>
            <w:tcW w:w="2844" w:type="dxa"/>
            <w:gridSpan w:val="3"/>
            <w:tcBorders>
              <w:top w:val="single" w:sz="4" w:space="0" w:color="auto"/>
              <w:left w:val="single" w:sz="4" w:space="0" w:color="auto"/>
              <w:bottom w:val="single" w:sz="4" w:space="0" w:color="auto"/>
              <w:right w:val="single" w:sz="4" w:space="0" w:color="auto"/>
            </w:tcBorders>
            <w:vAlign w:val="center"/>
          </w:tcPr>
          <w:p>
            <w:pPr>
              <w:spacing w:before="60" w:after="60"/>
              <w:ind w:right="-29"/>
              <w:jc w:val="center"/>
              <w:rPr>
                <w:noProof/>
                <w:sz w:val="18"/>
                <w:szCs w:val="18"/>
              </w:rPr>
            </w:pPr>
            <w:r>
              <w:rPr>
                <w:noProof/>
                <w:sz w:val="18"/>
                <w:szCs w:val="18"/>
              </w:rPr>
              <w:t>OBIECTIVUL SPECIFIC NR. 1</w:t>
            </w:r>
            <w:r>
              <w:rPr>
                <w:rStyle w:val="FootnoteReference"/>
                <w:noProof/>
                <w:sz w:val="18"/>
                <w:szCs w:val="18"/>
              </w:rPr>
              <w:footnoteReference w:id="22"/>
            </w:r>
            <w:r>
              <w:rPr>
                <w:noProof/>
                <w:sz w:val="18"/>
                <w:szCs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6"/>
          <w:wAfter w:w="2936" w:type="dxa"/>
          <w:trHeight w:hRule="exact" w:val="479"/>
          <w:jc w:val="center"/>
        </w:trPr>
        <w:tc>
          <w:tcPr>
            <w:tcW w:w="1423" w:type="dxa"/>
          </w:tcPr>
          <w:p>
            <w:pPr>
              <w:ind w:right="-29"/>
              <w:jc w:val="center"/>
              <w:rPr>
                <w:noProof/>
                <w:sz w:val="18"/>
                <w:szCs w:val="18"/>
              </w:rPr>
            </w:pPr>
            <w:r>
              <w:rPr>
                <w:noProof/>
                <w:sz w:val="18"/>
              </w:rPr>
              <w:t>- Realizare</w:t>
            </w:r>
          </w:p>
        </w:tc>
        <w:tc>
          <w:tcPr>
            <w:tcW w:w="1073" w:type="dxa"/>
          </w:tcPr>
          <w:p>
            <w:pPr>
              <w:ind w:right="-29"/>
              <w:jc w:val="center"/>
              <w:rPr>
                <w:b/>
                <w:bCs/>
                <w:noProof/>
                <w:sz w:val="14"/>
                <w:szCs w:val="14"/>
              </w:rPr>
            </w:pPr>
            <w:r>
              <w:rPr>
                <w:b/>
                <w:bCs/>
                <w:noProof/>
                <w:sz w:val="14"/>
                <w:szCs w:val="14"/>
              </w:rPr>
              <w:t>Evaluare operațională</w:t>
            </w:r>
          </w:p>
        </w:tc>
        <w:tc>
          <w:tcPr>
            <w:tcW w:w="348"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r>
              <w:rPr>
                <w:noProof/>
                <w:sz w:val="18"/>
                <w:szCs w:val="18"/>
              </w:rPr>
              <w:t>5</w:t>
            </w: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6"/>
          <w:wAfter w:w="2936" w:type="dxa"/>
          <w:trHeight w:hRule="exact" w:val="701"/>
          <w:jc w:val="center"/>
        </w:trPr>
        <w:tc>
          <w:tcPr>
            <w:tcW w:w="1423" w:type="dxa"/>
          </w:tcPr>
          <w:p>
            <w:pPr>
              <w:ind w:right="-29"/>
              <w:jc w:val="center"/>
              <w:rPr>
                <w:noProof/>
                <w:sz w:val="18"/>
                <w:szCs w:val="18"/>
              </w:rPr>
            </w:pPr>
            <w:r>
              <w:rPr>
                <w:noProof/>
                <w:sz w:val="18"/>
              </w:rPr>
              <w:t>- Realizare</w:t>
            </w:r>
          </w:p>
        </w:tc>
        <w:tc>
          <w:tcPr>
            <w:tcW w:w="1073" w:type="dxa"/>
          </w:tcPr>
          <w:p>
            <w:pPr>
              <w:ind w:right="-29"/>
              <w:jc w:val="center"/>
              <w:rPr>
                <w:b/>
                <w:bCs/>
                <w:noProof/>
                <w:sz w:val="14"/>
                <w:szCs w:val="14"/>
              </w:rPr>
            </w:pPr>
            <w:r>
              <w:rPr>
                <w:b/>
                <w:bCs/>
                <w:noProof/>
                <w:sz w:val="14"/>
                <w:szCs w:val="14"/>
              </w:rPr>
              <w:t>Provizionarea Fondului de garantare</w:t>
            </w:r>
          </w:p>
          <w:p>
            <w:pPr>
              <w:ind w:right="-29"/>
              <w:jc w:val="center"/>
              <w:rPr>
                <w:b/>
                <w:noProof/>
                <w:sz w:val="14"/>
                <w:szCs w:val="18"/>
              </w:rPr>
            </w:pPr>
          </w:p>
        </w:tc>
        <w:tc>
          <w:tcPr>
            <w:tcW w:w="348"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r>
              <w:rPr>
                <w:noProof/>
                <w:sz w:val="18"/>
                <w:szCs w:val="18"/>
              </w:rPr>
              <w:t>1</w:t>
            </w:r>
          </w:p>
        </w:tc>
        <w:tc>
          <w:tcPr>
            <w:tcW w:w="720" w:type="dxa"/>
            <w:tcBorders>
              <w:left w:val="dashSmallGap" w:sz="4" w:space="0" w:color="auto"/>
            </w:tcBorders>
          </w:tcPr>
          <w:p>
            <w:pPr>
              <w:ind w:right="-29"/>
              <w:jc w:val="center"/>
              <w:rPr>
                <w:noProof/>
                <w:sz w:val="18"/>
                <w:szCs w:val="18"/>
              </w:rPr>
            </w:pPr>
            <w:r>
              <w:rPr>
                <w:noProof/>
                <w:sz w:val="18"/>
                <w:szCs w:val="18"/>
              </w:rPr>
              <w:t>270,0.</w:t>
            </w:r>
          </w:p>
        </w:tc>
        <w:tc>
          <w:tcPr>
            <w:tcW w:w="90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6"/>
          <w:wAfter w:w="2936" w:type="dxa"/>
          <w:trHeight w:hRule="exact" w:val="559"/>
          <w:jc w:val="center"/>
        </w:trPr>
        <w:tc>
          <w:tcPr>
            <w:tcW w:w="1423"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 Realizare</w:t>
            </w:r>
          </w:p>
        </w:tc>
        <w:tc>
          <w:tcPr>
            <w:tcW w:w="1073" w:type="dxa"/>
            <w:tcBorders>
              <w:top w:val="single" w:sz="4" w:space="0" w:color="auto"/>
              <w:left w:val="single" w:sz="4" w:space="0" w:color="auto"/>
              <w:bottom w:val="single" w:sz="4" w:space="0" w:color="auto"/>
              <w:right w:val="single" w:sz="4" w:space="0" w:color="auto"/>
            </w:tcBorders>
          </w:tcPr>
          <w:p>
            <w:pPr>
              <w:ind w:right="-29"/>
              <w:jc w:val="center"/>
              <w:rPr>
                <w:b/>
                <w:bCs/>
                <w:noProof/>
                <w:sz w:val="14"/>
                <w:szCs w:val="14"/>
              </w:rPr>
            </w:pPr>
            <w:r>
              <w:rPr>
                <w:b/>
                <w:bCs/>
                <w:noProof/>
                <w:sz w:val="14"/>
                <w:szCs w:val="14"/>
              </w:rPr>
              <w:t xml:space="preserve">Evaluare ex-post </w:t>
            </w:r>
          </w:p>
        </w:tc>
        <w:tc>
          <w:tcPr>
            <w:tcW w:w="348"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504"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54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90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szCs w:val="18"/>
              </w:rPr>
              <w:t>3</w:t>
            </w:r>
          </w:p>
        </w:tc>
        <w:tc>
          <w:tcPr>
            <w:tcW w:w="720"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szCs w:val="18"/>
              </w:rPr>
              <w:t>0,450</w:t>
            </w:r>
          </w:p>
        </w:tc>
        <w:tc>
          <w:tcPr>
            <w:tcW w:w="720"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p>
        </w:tc>
      </w:tr>
      <w:tr>
        <w:trPr>
          <w:gridAfter w:val="6"/>
          <w:wAfter w:w="2936" w:type="dxa"/>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pPr>
              <w:ind w:right="-29"/>
              <w:jc w:val="center"/>
              <w:rPr>
                <w:noProof/>
                <w:sz w:val="18"/>
                <w:szCs w:val="18"/>
              </w:rPr>
            </w:pPr>
            <w:r>
              <w:rPr>
                <w:noProof/>
                <w:sz w:val="18"/>
              </w:rPr>
              <w:t>Subtotal pentru obiectivul specific nr. 1</w:t>
            </w:r>
          </w:p>
        </w:tc>
        <w:tc>
          <w:tcPr>
            <w:tcW w:w="504"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54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90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720"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c>
          <w:tcPr>
            <w:tcW w:w="900" w:type="dxa"/>
            <w:gridSpan w:val="2"/>
            <w:tcBorders>
              <w:top w:val="single" w:sz="4" w:space="0" w:color="auto"/>
              <w:left w:val="single" w:sz="4" w:space="0" w:color="auto"/>
              <w:bottom w:val="single" w:sz="12" w:space="0" w:color="auto"/>
              <w:right w:val="single" w:sz="4" w:space="0" w:color="auto"/>
            </w:tcBorders>
          </w:tcPr>
          <w:p>
            <w:pPr>
              <w:ind w:right="-29"/>
              <w:jc w:val="center"/>
              <w:rPr>
                <w:noProof/>
                <w:sz w:val="18"/>
                <w:szCs w:val="18"/>
              </w:rPr>
            </w:pPr>
          </w:p>
        </w:tc>
      </w:tr>
      <w:tr>
        <w:trPr>
          <w:gridAfter w:val="6"/>
          <w:wAfter w:w="2936" w:type="dxa"/>
          <w:jc w:val="center"/>
        </w:trPr>
        <w:tc>
          <w:tcPr>
            <w:tcW w:w="2844" w:type="dxa"/>
            <w:gridSpan w:val="3"/>
            <w:tcBorders>
              <w:top w:val="single" w:sz="12" w:space="0" w:color="auto"/>
              <w:left w:val="single" w:sz="12" w:space="0" w:color="auto"/>
              <w:bottom w:val="single" w:sz="12" w:space="0" w:color="auto"/>
              <w:right w:val="single" w:sz="4" w:space="0" w:color="auto"/>
            </w:tcBorders>
            <w:vAlign w:val="center"/>
          </w:tcPr>
          <w:p>
            <w:pPr>
              <w:ind w:right="-29"/>
              <w:jc w:val="center"/>
              <w:rPr>
                <w:noProof/>
                <w:sz w:val="18"/>
                <w:szCs w:val="18"/>
              </w:rPr>
            </w:pPr>
            <w:r>
              <w:rPr>
                <w:b/>
                <w:noProof/>
                <w:sz w:val="18"/>
              </w:rPr>
              <w:t>TOTAL COSTURI</w:t>
            </w:r>
          </w:p>
        </w:tc>
        <w:tc>
          <w:tcPr>
            <w:tcW w:w="504"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0,350</w:t>
            </w:r>
          </w:p>
        </w:tc>
        <w:tc>
          <w:tcPr>
            <w:tcW w:w="54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270,0</w:t>
            </w:r>
          </w:p>
        </w:tc>
        <w:tc>
          <w:tcPr>
            <w:tcW w:w="90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720" w:type="dxa"/>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r>
              <w:rPr>
                <w:noProof/>
                <w:sz w:val="18"/>
                <w:szCs w:val="18"/>
              </w:rPr>
              <w:t>0,450</w:t>
            </w:r>
          </w:p>
        </w:tc>
        <w:tc>
          <w:tcPr>
            <w:tcW w:w="720" w:type="dxa"/>
            <w:gridSpan w:val="2"/>
            <w:tcBorders>
              <w:top w:val="single" w:sz="12" w:space="0" w:color="auto"/>
              <w:left w:val="single" w:sz="4" w:space="0" w:color="auto"/>
              <w:bottom w:val="single" w:sz="12" w:space="0" w:color="auto"/>
              <w:right w:val="single" w:sz="4" w:space="0" w:color="auto"/>
            </w:tcBorders>
          </w:tcPr>
          <w:p>
            <w:pPr>
              <w:spacing w:before="180" w:after="180"/>
              <w:ind w:right="-29"/>
              <w:jc w:val="center"/>
              <w:rPr>
                <w:noProof/>
                <w:sz w:val="18"/>
                <w:szCs w:val="18"/>
              </w:rPr>
            </w:pPr>
          </w:p>
        </w:tc>
        <w:tc>
          <w:tcPr>
            <w:tcW w:w="900" w:type="dxa"/>
            <w:gridSpan w:val="2"/>
            <w:tcBorders>
              <w:top w:val="single" w:sz="12" w:space="0" w:color="auto"/>
              <w:left w:val="single" w:sz="4" w:space="0" w:color="auto"/>
              <w:bottom w:val="single" w:sz="12" w:space="0" w:color="auto"/>
              <w:right w:val="single" w:sz="12" w:space="0" w:color="auto"/>
            </w:tcBorders>
          </w:tcPr>
          <w:p>
            <w:pPr>
              <w:spacing w:before="180" w:after="180"/>
              <w:ind w:right="-29"/>
              <w:jc w:val="center"/>
              <w:rPr>
                <w:b/>
                <w:bCs/>
                <w:noProof/>
                <w:sz w:val="18"/>
                <w:szCs w:val="18"/>
              </w:rPr>
            </w:pPr>
            <w:r>
              <w:rPr>
                <w:b/>
                <w:bCs/>
                <w:noProof/>
                <w:sz w:val="18"/>
                <w:szCs w:val="18"/>
              </w:rPr>
              <w:t>270,8</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Impactul estimat asupra creditelor cu caracter administrativ</w:t>
      </w:r>
    </w:p>
    <w:p>
      <w:pPr>
        <w:pStyle w:val="ManualHeading4"/>
        <w:rPr>
          <w:noProof/>
        </w:rPr>
      </w:pPr>
      <w:r>
        <w:t>3.2.3.1.</w:t>
      </w:r>
      <w:r>
        <w:tab/>
      </w:r>
      <w:r>
        <w:rPr>
          <w:noProof/>
        </w:rPr>
        <w:t xml:space="preserve">Rezumat </w:t>
      </w:r>
    </w:p>
    <w:p>
      <w:pPr>
        <w:pStyle w:val="ListDash1"/>
        <w:rPr>
          <w:noProof/>
        </w:rPr>
      </w:pPr>
      <w:r>
        <w:rPr>
          <w:noProof/>
        </w:rPr>
        <w:sym w:font="Wingdings" w:char="F0A8"/>
      </w:r>
      <w:r>
        <w:rPr>
          <w:noProof/>
        </w:rPr>
        <w:tab/>
        <w:t xml:space="preserve">Propunerea/inițiativa nu implică utilizarea de credite cu caracter administrativ </w:t>
      </w:r>
    </w:p>
    <w:p>
      <w:pPr>
        <w:pStyle w:val="ListDash1"/>
        <w:rPr>
          <w:noProof/>
        </w:rPr>
      </w:pPr>
      <w:r>
        <w:rPr>
          <w:b/>
          <w:noProof/>
        </w:rPr>
        <w:t>X</w:t>
      </w:r>
      <w:r>
        <w:rPr>
          <w:noProof/>
        </w:rPr>
        <w:tab/>
        <w:t>Propunerea/inițiativa implică utilizarea de credite cu caracter administrativ, conform explicațiilor de mai jos:</w:t>
      </w:r>
    </w:p>
    <w:p>
      <w:pPr>
        <w:rPr>
          <w:noProof/>
          <w:sz w:val="20"/>
        </w:rPr>
      </w:pPr>
      <w:r>
        <w:rPr>
          <w:noProof/>
          <w:sz w:val="20"/>
        </w:rPr>
        <w:t>milioane EUR (cu trei zecimale)</w:t>
      </w: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noProof/>
                <w:sz w:val="16"/>
              </w:rPr>
              <w:t>2021</w:t>
            </w:r>
          </w:p>
        </w:tc>
        <w:tc>
          <w:tcPr>
            <w:tcW w:w="1080" w:type="dxa"/>
            <w:vAlign w:val="center"/>
          </w:tcPr>
          <w:p>
            <w:pPr>
              <w:spacing w:before="60" w:after="60" w:line="200" w:lineRule="exact"/>
              <w:jc w:val="center"/>
              <w:rPr>
                <w:noProof/>
                <w:sz w:val="16"/>
                <w:szCs w:val="16"/>
              </w:rPr>
            </w:pPr>
            <w:r>
              <w:rPr>
                <w:noProof/>
                <w:sz w:val="16"/>
              </w:rPr>
              <w:t>2022</w:t>
            </w:r>
          </w:p>
        </w:tc>
        <w:tc>
          <w:tcPr>
            <w:tcW w:w="1080" w:type="dxa"/>
            <w:vAlign w:val="center"/>
          </w:tcPr>
          <w:p>
            <w:pPr>
              <w:spacing w:before="60" w:after="60" w:line="200" w:lineRule="exact"/>
              <w:jc w:val="center"/>
              <w:rPr>
                <w:noProof/>
                <w:sz w:val="16"/>
                <w:szCs w:val="16"/>
              </w:rPr>
            </w:pPr>
            <w:r>
              <w:rPr>
                <w:noProof/>
                <w:sz w:val="16"/>
              </w:rPr>
              <w:t>2023</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rPr>
              <w:t xml:space="preserve"> </w:t>
            </w:r>
            <w:r>
              <w:rPr>
                <w:noProof/>
              </w:rPr>
              <w:br/>
            </w:r>
            <w:r>
              <w:rPr>
                <w:b/>
                <w:noProof/>
                <w:sz w:val="16"/>
              </w:rPr>
              <w:t>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r>
              <w:rPr>
                <w:noProof/>
                <w:sz w:val="16"/>
                <w:szCs w:val="16"/>
              </w:rPr>
              <w:t>1,614</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0,009</w:t>
            </w:r>
          </w:p>
        </w:tc>
        <w:tc>
          <w:tcPr>
            <w:tcW w:w="1080" w:type="dxa"/>
            <w:vAlign w:val="center"/>
          </w:tcPr>
          <w:p>
            <w:pPr>
              <w:spacing w:before="60" w:after="60" w:line="200" w:lineRule="exact"/>
              <w:jc w:val="right"/>
              <w:rPr>
                <w:b/>
                <w:noProof/>
                <w:sz w:val="16"/>
                <w:szCs w:val="16"/>
              </w:rPr>
            </w:pPr>
            <w:r>
              <w:rPr>
                <w:b/>
                <w:noProof/>
                <w:sz w:val="16"/>
                <w:szCs w:val="16"/>
              </w:rPr>
              <w:t>1,630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b/>
                <w:noProof/>
                <w:sz w:val="16"/>
                <w:szCs w:val="16"/>
              </w:rPr>
            </w:pPr>
            <w:r>
              <w:rPr>
                <w:b/>
                <w:noProof/>
                <w:sz w:val="16"/>
                <w:szCs w:val="16"/>
              </w:rPr>
              <w:t>0,240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rPr>
              <w:t xml:space="preserve"> </w:t>
            </w:r>
            <w:r>
              <w:rPr>
                <w:noProof/>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r>
              <w:rPr>
                <w:noProof/>
                <w:sz w:val="16"/>
                <w:szCs w:val="16"/>
              </w:rPr>
              <w:t>1,854</w:t>
            </w:r>
          </w:p>
        </w:tc>
        <w:tc>
          <w:tcPr>
            <w:tcW w:w="1080" w:type="dxa"/>
            <w:vAlign w:val="center"/>
          </w:tcPr>
          <w:p>
            <w:pPr>
              <w:spacing w:before="60" w:after="60" w:line="200" w:lineRule="exact"/>
              <w:jc w:val="right"/>
              <w:rPr>
                <w:noProof/>
                <w:sz w:val="16"/>
                <w:szCs w:val="16"/>
              </w:rPr>
            </w:pPr>
            <w:r>
              <w:rPr>
                <w:noProof/>
                <w:sz w:val="16"/>
                <w:szCs w:val="16"/>
              </w:rPr>
              <w:t>-</w:t>
            </w:r>
          </w:p>
        </w:tc>
        <w:tc>
          <w:tcPr>
            <w:tcW w:w="1080" w:type="dxa"/>
            <w:vAlign w:val="center"/>
          </w:tcPr>
          <w:p>
            <w:pPr>
              <w:spacing w:before="60" w:after="60" w:line="200" w:lineRule="exact"/>
              <w:jc w:val="right"/>
              <w:rPr>
                <w:noProof/>
                <w:sz w:val="16"/>
                <w:szCs w:val="16"/>
              </w:rPr>
            </w:pPr>
            <w:r>
              <w:rPr>
                <w:noProof/>
                <w:sz w:val="16"/>
                <w:szCs w:val="16"/>
              </w:rPr>
              <w:t>0,007</w:t>
            </w:r>
          </w:p>
        </w:tc>
        <w:tc>
          <w:tcPr>
            <w:tcW w:w="1080" w:type="dxa"/>
            <w:vAlign w:val="center"/>
          </w:tcPr>
          <w:p>
            <w:pPr>
              <w:spacing w:before="60" w:after="60" w:line="200" w:lineRule="exact"/>
              <w:jc w:val="right"/>
              <w:rPr>
                <w:noProof/>
                <w:sz w:val="16"/>
                <w:szCs w:val="16"/>
              </w:rPr>
            </w:pPr>
            <w:r>
              <w:rPr>
                <w:noProof/>
                <w:sz w:val="16"/>
                <w:szCs w:val="16"/>
              </w:rPr>
              <w:t>0,009</w:t>
            </w:r>
          </w:p>
        </w:tc>
        <w:tc>
          <w:tcPr>
            <w:tcW w:w="1080" w:type="dxa"/>
            <w:vAlign w:val="center"/>
          </w:tcPr>
          <w:p>
            <w:pPr>
              <w:spacing w:before="60" w:after="60" w:line="200" w:lineRule="exact"/>
              <w:jc w:val="right"/>
              <w:rPr>
                <w:b/>
                <w:noProof/>
                <w:sz w:val="16"/>
                <w:szCs w:val="16"/>
              </w:rPr>
            </w:pPr>
            <w:r>
              <w:rPr>
                <w:b/>
                <w:noProof/>
                <w:sz w:val="16"/>
                <w:szCs w:val="16"/>
              </w:rPr>
              <w:t>1,870</w:t>
            </w:r>
          </w:p>
        </w:tc>
      </w:tr>
    </w:tbl>
    <w:p>
      <w:pPr>
        <w:spacing w:line="200" w:lineRule="exact"/>
        <w:rPr>
          <w:noProof/>
          <w:sz w:val="16"/>
          <w:szCs w:val="16"/>
        </w:rPr>
      </w:pPr>
    </w:p>
    <w:tbl>
      <w:tblPr>
        <w:tblW w:w="73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bCs/>
                <w:noProof/>
                <w:sz w:val="16"/>
                <w:szCs w:val="16"/>
              </w:rPr>
              <w:t>În afara RUBRICII 5</w:t>
            </w:r>
            <w:r>
              <w:rPr>
                <w:rStyle w:val="FootnoteReference"/>
                <w:b/>
                <w:bCs/>
                <w:noProof/>
                <w:sz w:val="16"/>
                <w:szCs w:val="16"/>
              </w:rPr>
              <w:footnoteReference w:id="23"/>
            </w:r>
            <w:r>
              <w:rPr>
                <w:noProof/>
              </w:rPr>
              <w:t xml:space="preserve"> </w:t>
            </w:r>
            <w:r>
              <w:rPr>
                <w:noProof/>
              </w:rPr>
              <w:br/>
            </w:r>
            <w:r>
              <w:rPr>
                <w:b/>
                <w:bCs/>
                <w:noProof/>
                <w:sz w:val="16"/>
                <w:szCs w:val="16"/>
              </w:rPr>
              <w:t xml:space="preserve">din cadrul financiar multianual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w:t>
            </w:r>
            <w:r>
              <w:rPr>
                <w:noProof/>
              </w:rPr>
              <w:br/>
            </w:r>
            <w:r>
              <w:rPr>
                <w:noProof/>
                <w:sz w:val="16"/>
              </w:rPr>
              <w:t>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br/>
            </w:r>
            <w:r>
              <w:rPr>
                <w:b/>
                <w:noProof/>
                <w:sz w:val="16"/>
              </w:rPr>
              <w:t>în afara RUBRICII 5</w:t>
            </w:r>
            <w:r>
              <w:rPr>
                <w:noProof/>
              </w:rPr>
              <w:t xml:space="preserve"> </w:t>
            </w:r>
            <w:r>
              <w:rPr>
                <w:noProof/>
              </w:rPr>
              <w:br/>
            </w:r>
            <w:r>
              <w:rPr>
                <w:b/>
                <w:noProof/>
                <w:sz w:val="16"/>
              </w:rPr>
              <w:t xml:space="preserve">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7380" w:type="dxa"/>
        <w:tblInd w:w="-612" w:type="dxa"/>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Pr>
          <w:noProof/>
          <w:sz w:val="18"/>
        </w:rPr>
        <w:t>Necesarul de credite pentru resursele umane și pentru alte cheltuieli cu caracter administrativ va fi acoperit de creditele direcției generale (DG) respective care sunt deja alocate pentru gestionarea acțiunii și/sau au fost redistribuite intern în cadrul DG-ului respectiv, completate, după caz, cu resurse suplimentare care ar putea fi alocate DG-ului care gestionează acțiunea în cadrul procedurii anuale de alocare și ținând seama de constrângerile bugetare.</w:t>
      </w:r>
    </w:p>
    <w:p>
      <w:pPr>
        <w:pStyle w:val="ManualHeading4"/>
        <w:rPr>
          <w:bCs/>
          <w:noProof/>
          <w:szCs w:val="24"/>
        </w:rPr>
      </w:pPr>
      <w:r>
        <w:t>3.2.3.2.</w:t>
      </w:r>
      <w:r>
        <w:tab/>
      </w:r>
      <w:r>
        <w:rPr>
          <w:noProof/>
        </w:rPr>
        <w:t>Necesarul de resurse umane estimat</w:t>
      </w:r>
    </w:p>
    <w:p>
      <w:pPr>
        <w:pStyle w:val="ListDash1"/>
        <w:rPr>
          <w:noProof/>
        </w:rPr>
      </w:pPr>
      <w:r>
        <w:rPr>
          <w:noProof/>
        </w:rPr>
        <w:sym w:font="Wingdings" w:char="F0A8"/>
      </w:r>
      <w:r>
        <w:rPr>
          <w:noProof/>
        </w:rPr>
        <w:tab/>
        <w:t xml:space="preserve">Propunerea/inițiativa nu implică utilizarea de resurse umane. </w:t>
      </w:r>
    </w:p>
    <w:p>
      <w:pPr>
        <w:pStyle w:val="ListDash1"/>
        <w:rPr>
          <w:noProof/>
        </w:rPr>
      </w:pPr>
      <w:r>
        <w:rPr>
          <w:b/>
          <w:noProof/>
        </w:rPr>
        <w:t>X</w:t>
      </w:r>
      <w:r>
        <w:rPr>
          <w:noProof/>
        </w:rPr>
        <w:t xml:space="preserve"> 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558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220"/>
        <w:gridCol w:w="2224"/>
        <w:gridCol w:w="1398"/>
        <w:gridCol w:w="1291"/>
        <w:gridCol w:w="1614"/>
        <w:gridCol w:w="1612"/>
      </w:tblGrid>
      <w:tr>
        <w:trPr>
          <w:gridBefore w:val="1"/>
          <w:wBefore w:w="7" w:type="pct"/>
          <w:trHeight w:val="292"/>
          <w:jc w:val="center"/>
        </w:trPr>
        <w:tc>
          <w:tcPr>
            <w:tcW w:w="2142" w:type="pct"/>
            <w:gridSpan w:val="2"/>
            <w:shd w:val="clear" w:color="auto" w:fill="auto"/>
          </w:tcPr>
          <w:p>
            <w:pPr>
              <w:pStyle w:val="Text1"/>
              <w:spacing w:before="40" w:after="40"/>
              <w:ind w:left="0"/>
              <w:jc w:val="center"/>
              <w:rPr>
                <w:i/>
                <w:noProof/>
                <w:sz w:val="16"/>
                <w:szCs w:val="16"/>
              </w:rPr>
            </w:pPr>
          </w:p>
        </w:tc>
        <w:tc>
          <w:tcPr>
            <w:tcW w:w="674" w:type="pct"/>
            <w:shd w:val="clear" w:color="auto" w:fill="auto"/>
            <w:vAlign w:val="center"/>
          </w:tcPr>
          <w:p>
            <w:pPr>
              <w:spacing w:before="20" w:after="20"/>
              <w:jc w:val="center"/>
              <w:rPr>
                <w:noProof/>
                <w:sz w:val="16"/>
                <w:szCs w:val="16"/>
              </w:rPr>
            </w:pPr>
            <w:r>
              <w:rPr>
                <w:noProof/>
                <w:sz w:val="16"/>
              </w:rPr>
              <w:t>2020</w:t>
            </w:r>
          </w:p>
        </w:tc>
        <w:tc>
          <w:tcPr>
            <w:tcW w:w="622" w:type="pct"/>
            <w:shd w:val="clear" w:color="auto" w:fill="auto"/>
            <w:vAlign w:val="center"/>
          </w:tcPr>
          <w:p>
            <w:pPr>
              <w:spacing w:before="20" w:after="20"/>
              <w:jc w:val="center"/>
              <w:rPr>
                <w:noProof/>
                <w:sz w:val="16"/>
                <w:szCs w:val="16"/>
              </w:rPr>
            </w:pPr>
            <w:r>
              <w:rPr>
                <w:noProof/>
                <w:sz w:val="16"/>
              </w:rPr>
              <w:t>2021</w:t>
            </w:r>
          </w:p>
        </w:tc>
        <w:tc>
          <w:tcPr>
            <w:tcW w:w="778" w:type="pct"/>
            <w:shd w:val="clear" w:color="auto" w:fill="auto"/>
            <w:vAlign w:val="center"/>
          </w:tcPr>
          <w:p>
            <w:pPr>
              <w:spacing w:before="20" w:after="20"/>
              <w:jc w:val="center"/>
              <w:rPr>
                <w:noProof/>
                <w:sz w:val="16"/>
                <w:szCs w:val="16"/>
              </w:rPr>
            </w:pPr>
            <w:r>
              <w:rPr>
                <w:noProof/>
                <w:sz w:val="16"/>
                <w:szCs w:val="16"/>
              </w:rPr>
              <w:t>2022</w:t>
            </w:r>
          </w:p>
        </w:tc>
        <w:tc>
          <w:tcPr>
            <w:tcW w:w="777" w:type="pct"/>
            <w:shd w:val="clear" w:color="auto" w:fill="auto"/>
            <w:vAlign w:val="center"/>
          </w:tcPr>
          <w:p>
            <w:pPr>
              <w:spacing w:before="20" w:after="20"/>
              <w:jc w:val="center"/>
              <w:rPr>
                <w:noProof/>
                <w:sz w:val="16"/>
                <w:szCs w:val="16"/>
              </w:rPr>
            </w:pPr>
            <w:r>
              <w:rPr>
                <w:noProof/>
                <w:sz w:val="16"/>
                <w:szCs w:val="16"/>
              </w:rPr>
              <w:t>2023</w:t>
            </w:r>
          </w:p>
        </w:tc>
      </w:tr>
      <w:tr>
        <w:trPr>
          <w:gridBefore w:val="1"/>
          <w:wBefore w:w="7" w:type="pct"/>
          <w:trHeight w:val="292"/>
          <w:jc w:val="center"/>
        </w:trPr>
        <w:tc>
          <w:tcPr>
            <w:tcW w:w="4216" w:type="pct"/>
            <w:gridSpan w:val="5"/>
            <w:shd w:val="clear" w:color="auto" w:fill="auto"/>
          </w:tcPr>
          <w:p>
            <w:pPr>
              <w:spacing w:before="20" w:after="20"/>
              <w:rPr>
                <w:noProof/>
                <w:sz w:val="16"/>
                <w:szCs w:val="16"/>
              </w:rPr>
            </w:pPr>
            <w:r>
              <w:rPr>
                <w:b/>
                <w:noProof/>
                <w:sz w:val="16"/>
              </w:rPr>
              <w:sym w:font="Wingdings" w:char="F09F"/>
            </w:r>
            <w:r>
              <w:rPr>
                <w:b/>
                <w:noProof/>
                <w:sz w:val="16"/>
              </w:rPr>
              <w:t>Posturi din schema de personal (funcționari și agenți temporari)</w:t>
            </w:r>
          </w:p>
        </w:tc>
        <w:tc>
          <w:tcPr>
            <w:tcW w:w="777" w:type="pct"/>
            <w:shd w:val="clear" w:color="auto" w:fill="auto"/>
            <w:vAlign w:val="center"/>
          </w:tcPr>
          <w:p>
            <w:pPr>
              <w:spacing w:before="20" w:after="20"/>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reprezentanțele Comisiei)</w:t>
            </w:r>
          </w:p>
        </w:tc>
        <w:tc>
          <w:tcPr>
            <w:tcW w:w="674" w:type="pct"/>
            <w:shd w:val="clear" w:color="auto" w:fill="auto"/>
            <w:vAlign w:val="center"/>
          </w:tcPr>
          <w:p>
            <w:pPr>
              <w:spacing w:beforeLines="20" w:before="48" w:afterLines="20" w:after="48"/>
              <w:jc w:val="center"/>
              <w:rPr>
                <w:noProof/>
                <w:sz w:val="16"/>
                <w:szCs w:val="16"/>
              </w:rPr>
            </w:pPr>
            <w:r>
              <w:rPr>
                <w:noProof/>
                <w:sz w:val="16"/>
                <w:szCs w:val="16"/>
              </w:rPr>
              <w:t>7,5</w:t>
            </w: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r>
              <w:rPr>
                <w:noProof/>
                <w:sz w:val="16"/>
                <w:szCs w:val="16"/>
              </w:rPr>
              <w:t>0,03</w:t>
            </w:r>
          </w:p>
        </w:tc>
        <w:tc>
          <w:tcPr>
            <w:tcW w:w="777" w:type="pct"/>
            <w:shd w:val="clear" w:color="auto" w:fill="auto"/>
            <w:vAlign w:val="center"/>
          </w:tcPr>
          <w:p>
            <w:pPr>
              <w:spacing w:beforeLines="20" w:before="48" w:afterLines="20" w:after="48"/>
              <w:jc w:val="center"/>
              <w:rPr>
                <w:noProof/>
                <w:sz w:val="16"/>
                <w:szCs w:val="16"/>
              </w:rPr>
            </w:pPr>
            <w:r>
              <w:rPr>
                <w:noProof/>
                <w:sz w:val="16"/>
                <w:szCs w:val="16"/>
              </w:rPr>
              <w:t>0,04</w:t>
            </w: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(Delegații)</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(Cercetare indirectă)</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(Cercetare directă)</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After w:val="1"/>
          <w:wAfter w:w="777" w:type="pct"/>
          <w:trHeight w:val="251"/>
          <w:jc w:val="center"/>
        </w:trPr>
        <w:tc>
          <w:tcPr>
            <w:tcW w:w="4223" w:type="pct"/>
            <w:gridSpan w:val="6"/>
            <w:shd w:val="clear" w:color="auto" w:fill="auto"/>
            <w:vAlign w:val="center"/>
          </w:tcPr>
          <w:p>
            <w:pPr>
              <w:pStyle w:val="Text1"/>
              <w:spacing w:before="60" w:after="60"/>
              <w:ind w:left="0"/>
              <w:jc w:val="left"/>
              <w:rPr>
                <w:b/>
                <w:bCs/>
                <w:noProof/>
                <w:sz w:val="16"/>
                <w:szCs w:val="16"/>
              </w:rPr>
            </w:pPr>
            <w:r>
              <w:rPr>
                <w:b/>
                <w:noProof/>
                <w:sz w:val="16"/>
              </w:rPr>
              <w:sym w:font="Wingdings" w:char="F09F"/>
            </w:r>
            <w:r>
              <w:rPr>
                <w:b/>
                <w:bCs/>
                <w:noProof/>
                <w:sz w:val="16"/>
                <w:szCs w:val="16"/>
              </w:rPr>
              <w:t>Personal extern (în echivalent normă întreagă: ENI)</w:t>
            </w:r>
            <w:r>
              <w:rPr>
                <w:rStyle w:val="FootnoteReference"/>
                <w:b/>
                <w:bCs/>
                <w:noProof/>
                <w:sz w:val="16"/>
                <w:szCs w:val="16"/>
              </w:rPr>
              <w:footnoteReference w:id="24"/>
            </w:r>
          </w:p>
          <w:p>
            <w:pPr>
              <w:pStyle w:val="Text1"/>
              <w:spacing w:before="0" w:after="0"/>
              <w:ind w:left="0"/>
              <w:jc w:val="left"/>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674" w:type="pct"/>
            <w:shd w:val="clear" w:color="auto" w:fill="auto"/>
            <w:vAlign w:val="center"/>
          </w:tcPr>
          <w:p>
            <w:pPr>
              <w:spacing w:beforeLines="20" w:before="48" w:afterLines="20" w:after="48"/>
              <w:jc w:val="center"/>
              <w:rPr>
                <w:noProof/>
                <w:sz w:val="16"/>
                <w:szCs w:val="16"/>
              </w:rPr>
            </w:pPr>
            <w:r>
              <w:rPr>
                <w:noProof/>
                <w:sz w:val="16"/>
                <w:szCs w:val="16"/>
              </w:rPr>
              <w:t>5,75</w:t>
            </w: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r>
              <w:rPr>
                <w:noProof/>
                <w:sz w:val="16"/>
                <w:szCs w:val="16"/>
              </w:rPr>
              <w:t>0,03</w:t>
            </w:r>
          </w:p>
        </w:tc>
        <w:tc>
          <w:tcPr>
            <w:tcW w:w="777" w:type="pct"/>
            <w:shd w:val="clear" w:color="auto" w:fill="auto"/>
            <w:vAlign w:val="center"/>
          </w:tcPr>
          <w:p>
            <w:pPr>
              <w:spacing w:beforeLines="20" w:before="48" w:afterLines="20" w:after="48"/>
              <w:jc w:val="center"/>
              <w:rPr>
                <w:noProof/>
                <w:sz w:val="16"/>
                <w:szCs w:val="16"/>
              </w:rPr>
            </w:pPr>
            <w:r>
              <w:rPr>
                <w:noProof/>
                <w:sz w:val="16"/>
                <w:szCs w:val="16"/>
              </w:rPr>
              <w:t>0,03</w:t>
            </w: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JED în delegații)</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1070" w:type="pct"/>
            <w:vMerge w:val="restart"/>
            <w:shd w:val="clear" w:color="auto" w:fill="auto"/>
            <w:vAlign w:val="center"/>
          </w:tcPr>
          <w:p>
            <w:pPr>
              <w:pStyle w:val="Text1"/>
              <w:spacing w:beforeLines="20" w:before="48" w:afterLines="20" w:after="48"/>
              <w:ind w:left="136"/>
              <w:jc w:val="left"/>
              <w:rPr>
                <w:b/>
                <w:bCs/>
                <w:noProof/>
                <w:sz w:val="16"/>
                <w:szCs w:val="16"/>
              </w:rPr>
            </w:pPr>
            <w:r>
              <w:rPr>
                <w:b/>
                <w:bCs/>
                <w:noProof/>
                <w:sz w:val="16"/>
                <w:szCs w:val="16"/>
              </w:rPr>
              <w:t>XX</w:t>
            </w:r>
            <w:r>
              <w:rPr>
                <w:noProof/>
                <w:sz w:val="16"/>
                <w:szCs w:val="16"/>
              </w:rPr>
              <w:t xml:space="preserve"> 01 04 </w:t>
            </w:r>
            <w:r>
              <w:rPr>
                <w:b/>
                <w:bCs/>
                <w:noProof/>
                <w:sz w:val="16"/>
                <w:szCs w:val="16"/>
              </w:rPr>
              <w:t>yy</w:t>
            </w:r>
            <w:r>
              <w:rPr>
                <w:b/>
                <w:bCs/>
                <w:i/>
                <w:iCs/>
                <w:noProof/>
                <w:sz w:val="16"/>
                <w:szCs w:val="16"/>
              </w:rPr>
              <w:t xml:space="preserve"> </w:t>
            </w:r>
            <w:r>
              <w:rPr>
                <w:rStyle w:val="FootnoteReference"/>
                <w:b/>
                <w:bCs/>
                <w:i/>
                <w:iCs/>
                <w:noProof/>
                <w:sz w:val="16"/>
                <w:szCs w:val="16"/>
              </w:rPr>
              <w:footnoteReference w:id="25"/>
            </w:r>
          </w:p>
          <w:p>
            <w:pPr>
              <w:pStyle w:val="Text1"/>
              <w:spacing w:beforeLines="20" w:before="48" w:afterLines="20" w:after="48"/>
              <w:ind w:left="136"/>
              <w:jc w:val="left"/>
              <w:rPr>
                <w:b/>
                <w:noProof/>
                <w:sz w:val="16"/>
                <w:szCs w:val="16"/>
              </w:rPr>
            </w:pPr>
          </w:p>
        </w:tc>
        <w:tc>
          <w:tcPr>
            <w:tcW w:w="1072" w:type="pct"/>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674" w:type="pct"/>
            <w:shd w:val="clear" w:color="auto" w:fill="auto"/>
            <w:vAlign w:val="center"/>
          </w:tcPr>
          <w:p>
            <w:pPr>
              <w:pStyle w:val="Text1"/>
              <w:spacing w:beforeLines="20" w:before="48" w:afterLines="20" w:after="48"/>
              <w:ind w:left="0"/>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1070" w:type="pct"/>
            <w:vMerge/>
            <w:shd w:val="clear" w:color="auto" w:fill="auto"/>
            <w:vAlign w:val="center"/>
          </w:tcPr>
          <w:p>
            <w:pPr>
              <w:pStyle w:val="Text1"/>
              <w:spacing w:beforeLines="20" w:before="48" w:afterLines="20" w:after="48"/>
              <w:ind w:left="136"/>
              <w:jc w:val="left"/>
              <w:rPr>
                <w:b/>
                <w:noProof/>
                <w:sz w:val="16"/>
                <w:szCs w:val="16"/>
              </w:rPr>
            </w:pPr>
          </w:p>
        </w:tc>
        <w:tc>
          <w:tcPr>
            <w:tcW w:w="1072"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674" w:type="pct"/>
            <w:shd w:val="clear" w:color="auto" w:fill="auto"/>
            <w:vAlign w:val="center"/>
          </w:tcPr>
          <w:p>
            <w:pPr>
              <w:pStyle w:val="Text1"/>
              <w:spacing w:beforeLines="20" w:before="48" w:afterLines="20" w:after="48"/>
              <w:ind w:left="0"/>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cercetare indirectă)</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cercetare directă)</w:t>
            </w:r>
          </w:p>
        </w:tc>
        <w:tc>
          <w:tcPr>
            <w:tcW w:w="674" w:type="pct"/>
            <w:shd w:val="clear" w:color="auto" w:fill="auto"/>
            <w:vAlign w:val="center"/>
          </w:tcPr>
          <w:p>
            <w:pPr>
              <w:spacing w:beforeLines="20" w:before="48" w:afterLines="20" w:after="48"/>
              <w:jc w:val="center"/>
              <w:rPr>
                <w:noProof/>
                <w:sz w:val="16"/>
                <w:szCs w:val="16"/>
              </w:rPr>
            </w:pPr>
          </w:p>
        </w:tc>
        <w:tc>
          <w:tcPr>
            <w:tcW w:w="622" w:type="pct"/>
            <w:shd w:val="clear" w:color="auto" w:fill="auto"/>
            <w:vAlign w:val="center"/>
          </w:tcPr>
          <w:p>
            <w:pPr>
              <w:spacing w:beforeLines="20" w:before="48" w:afterLines="20" w:after="48"/>
              <w:jc w:val="center"/>
              <w:rPr>
                <w:noProof/>
                <w:sz w:val="16"/>
                <w:szCs w:val="16"/>
              </w:rPr>
            </w:pPr>
          </w:p>
        </w:tc>
        <w:tc>
          <w:tcPr>
            <w:tcW w:w="778" w:type="pct"/>
            <w:shd w:val="clear" w:color="auto" w:fill="auto"/>
            <w:vAlign w:val="center"/>
          </w:tcPr>
          <w:p>
            <w:pPr>
              <w:spacing w:beforeLines="20" w:before="48" w:afterLines="20" w:after="48"/>
              <w:jc w:val="center"/>
              <w:rPr>
                <w:noProof/>
                <w:sz w:val="16"/>
                <w:szCs w:val="16"/>
              </w:rPr>
            </w:pPr>
          </w:p>
        </w:tc>
        <w:tc>
          <w:tcPr>
            <w:tcW w:w="777" w:type="pct"/>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67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7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7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7" w:type="pct"/>
          <w:trHeight w:val="292"/>
          <w:jc w:val="center"/>
        </w:trPr>
        <w:tc>
          <w:tcPr>
            <w:tcW w:w="214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7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13,25</w:t>
            </w:r>
          </w:p>
        </w:tc>
        <w:tc>
          <w:tcPr>
            <w:tcW w:w="6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7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0,06</w:t>
            </w:r>
          </w:p>
        </w:tc>
        <w:tc>
          <w:tcPr>
            <w:tcW w:w="77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0,07</w:t>
            </w:r>
          </w:p>
        </w:tc>
      </w:tr>
    </w:tbl>
    <w:p>
      <w:pPr>
        <w:pStyle w:val="Text1"/>
        <w:spacing w:before="60" w:after="60"/>
        <w:ind w:left="851"/>
        <w:rPr>
          <w:noProof/>
          <w:sz w:val="18"/>
          <w:szCs w:val="18"/>
        </w:rPr>
      </w:pPr>
      <w:r>
        <w:rPr>
          <w:b/>
          <w:noProof/>
          <w:sz w:val="18"/>
          <w:szCs w:val="18"/>
        </w:rPr>
        <w:t>XX</w:t>
      </w:r>
      <w:r>
        <w:rPr>
          <w:noProof/>
          <w:sz w:val="18"/>
          <w:szCs w:val="18"/>
        </w:rPr>
        <w:t xml:space="preserve"> este domeniul de politică sau titlul din buget în cauză.</w:t>
      </w:r>
    </w:p>
    <w:p>
      <w:pPr>
        <w:pStyle w:val="Text1"/>
        <w:rPr>
          <w:noProof/>
          <w:sz w:val="18"/>
          <w:szCs w:val="18"/>
        </w:rPr>
      </w:pPr>
      <w:r>
        <w:rPr>
          <w:noProof/>
          <w:sz w:val="18"/>
        </w:rPr>
        <w:t>Necesarul de resurse umane va fi asigurat din efectivele de personal ale Direcției Generale în cauză alocate deja pentru gestionarea acțiunii și/sau realocate intern în cadrul Direcției Generale, completate, după caz, prin resurse suplimentare ce ar putea fi alocate Direcției Generale care gestionează acțiunea în cadrul procedurii de alocare anuală și în lumina constrângerilor bugetare.</w:t>
      </w:r>
    </w:p>
    <w:p>
      <w:pPr>
        <w:rPr>
          <w:noProof/>
          <w:sz w:val="20"/>
        </w:rPr>
      </w:pPr>
      <w:r>
        <w:rPr>
          <w:noProof/>
          <w:sz w:val="20"/>
        </w:rPr>
        <w:t>Descrierea sarcinilor care trebuie executate: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r>
              <w:rPr>
                <w:noProof/>
                <w:sz w:val="20"/>
              </w:rPr>
              <w:t>Directorul Direcției D ECFIN: supraveghează și gestionează operațiunea, asigură legătura cu Consiliul și cu Parlamentul pentru adoptarea deciziei și aprobarea memorandumului de înțelegere (MoU), negociază MoU cu autoritățile beneficiarului, analizează rapoarte, conduce misiuni și evaluează progresele înregistrate în ceea ce privește respectarea condițiilor de acordare a asistenței.</w:t>
            </w:r>
          </w:p>
          <w:p>
            <w:pPr>
              <w:rPr>
                <w:noProof/>
                <w:sz w:val="20"/>
              </w:rPr>
            </w:pPr>
            <w:r>
              <w:rPr>
                <w:noProof/>
                <w:sz w:val="20"/>
              </w:rPr>
              <w:t xml:space="preserve">Șeful de unitate ECFIN/Șeful de unitate adjunct al Direcției D: acordă asistență directorului în gestionarea operațiunii, în asigurarea legăturii cu Consiliul și cu Parlamentul pentru adoptarea deciziei și aprobarea MoU, în negocierea MoU și a acordului de împrumut cu autoritățile beneficiarului (împreună cu Direcția L), în analizarea rapoartelor și evaluarea progreselor înregistrate în ceea ce privește respectarea condițiilor de acordare a asistenței. </w:t>
            </w:r>
          </w:p>
          <w:p>
            <w:pPr>
              <w:rPr>
                <w:noProof/>
                <w:sz w:val="20"/>
              </w:rPr>
            </w:pPr>
            <w:r>
              <w:rPr>
                <w:noProof/>
                <w:sz w:val="20"/>
              </w:rPr>
              <w:t xml:space="preserve">Analiștii de date economice ECFIN, Sectorul AMF (Direcția D): pregătesc decizia și MoU, asigură legături cu autoritățile și cu IFI, desfășoară misiuni de evaluare, pregătesc rapoarte ale serviciilor Comisiei și proceduri ale Comisiei legate de gestionarea asistenței, asigură legături cu experți externi pentru evaluarea operațională și evaluarea ex-post. </w:t>
            </w:r>
          </w:p>
          <w:p>
            <w:pPr>
              <w:rPr>
                <w:noProof/>
                <w:sz w:val="20"/>
                <w:szCs w:val="20"/>
              </w:rPr>
            </w:pPr>
            <w:r>
              <w:rPr>
                <w:noProof/>
                <w:sz w:val="20"/>
                <w:szCs w:val="20"/>
              </w:rPr>
              <w:t>Direcția E BUDG (Unitățile E1, E2 și E3, sub supravegherea directorului): pregătește Acordul privind planul de împrumut, îl negociază cu autoritățile beneficiarului și îl prezintă spre aprobare serviciilor competente ale Comisiei și spre semnare ambelor părți; urmărește intrarea în vigoare a Acordului privind planul de împrumut; pregătește decizia (deciziile) Comisiei cu privire la operațiunea (operațiunile) de împrumut, asigură urmărirea subsecventă a depunerii cererii (cererilor) de fonduri, selectează băncile, pregătește și execută operațiunea (operațiunile) de finanțare și eliberează fondurile pentru beneficiar; desfășoară activități administrative pentru a asigura urmărirea subsecventă a rambursării împrumutului (împrumuturilor); pregătește rapoartele corespunzătoare cu privire la aceste activități.</w:t>
            </w:r>
          </w:p>
        </w:tc>
      </w:tr>
      <w:tr>
        <w:tc>
          <w:tcPr>
            <w:tcW w:w="3240" w:type="dxa"/>
          </w:tcPr>
          <w:p>
            <w:pPr>
              <w:spacing w:before="60" w:after="60"/>
              <w:rPr>
                <w:noProof/>
                <w:sz w:val="20"/>
              </w:rPr>
            </w:pPr>
            <w:r>
              <w:rPr>
                <w:noProof/>
                <w:sz w:val="20"/>
              </w:rPr>
              <w:t>Personalul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Compatibilitatea cu cadrul financiar multianual actual </w:t>
      </w:r>
    </w:p>
    <w:p>
      <w:pPr>
        <w:pStyle w:val="ListDash1"/>
        <w:rPr>
          <w:noProof/>
        </w:rPr>
      </w:pPr>
      <w:r>
        <w:rPr>
          <w:b/>
          <w:noProof/>
        </w:rPr>
        <w:t>X</w:t>
      </w:r>
      <w:r>
        <w:rPr>
          <w:noProof/>
        </w:rPr>
        <w:tab/>
        <w:t>Propunerea/inițiativa este compatibilă cu actualul cadru financiar multianual.</w:t>
      </w:r>
    </w:p>
    <w:p>
      <w:pPr>
        <w:pStyle w:val="ListDash1"/>
        <w:rPr>
          <w:noProof/>
        </w:rPr>
      </w:pPr>
      <w:r>
        <w:rPr>
          <w:noProof/>
        </w:rPr>
        <w:sym w:font="Wingdings" w:char="F0A8"/>
      </w:r>
      <w:r>
        <w:rPr>
          <w:noProof/>
        </w:rPr>
        <w:tab/>
        <w:t>Propunerea/inițiativa va determina reprogramarea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reprogramarea necesară, precizându-se liniile bugetare vizate și sumele aferente.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Propunerea/inițiativa implică aplicarea instrumentului de flexibilitate sau revizuirea cadrului financiar multianual.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vizate, precum și sumele aferente.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Contribuțiile terților </w:t>
      </w:r>
    </w:p>
    <w:p>
      <w:pPr>
        <w:pStyle w:val="ListDash1"/>
        <w:rPr>
          <w:noProof/>
        </w:rPr>
      </w:pPr>
      <w:r>
        <w:rPr>
          <w:b/>
          <w:noProof/>
        </w:rPr>
        <w:t>X</w:t>
      </w:r>
      <w:r>
        <w:rPr>
          <w:noProof/>
        </w:rPr>
        <w:t xml:space="preserve"> Propunerea/inițiativa nu prevede cofinanțare din partea terților. </w:t>
      </w:r>
    </w:p>
    <w:p>
      <w:pPr>
        <w:pStyle w:val="ListDash1"/>
        <w:rPr>
          <w:noProof/>
        </w:rPr>
      </w:pPr>
      <w:r>
        <w:rPr>
          <w:noProof/>
        </w:rPr>
        <w:t>Propunerea/inițiativa prevede cofinanțarea estimată în continuare:</w:t>
      </w:r>
    </w:p>
    <w:p>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Anul</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(a se vedea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r>
        <w:t>3.3.</w:t>
      </w:r>
      <w:r>
        <w:tab/>
      </w:r>
      <w:r>
        <w:rPr>
          <w:noProof/>
        </w:rPr>
        <w:t xml:space="preserve">Impactul estimat asupra veniturilor </w:t>
      </w:r>
    </w:p>
    <w:p>
      <w:pPr>
        <w:pStyle w:val="ListDash1"/>
        <w:rPr>
          <w:noProof/>
        </w:rPr>
      </w:pPr>
      <w:r>
        <w:rPr>
          <w:b/>
          <w:noProof/>
        </w:rPr>
        <w:t>X</w:t>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Dash1"/>
        <w:rPr>
          <w:noProof/>
        </w:rPr>
      </w:pPr>
      <w:r>
        <w:rPr>
          <w:noProof/>
        </w:rPr>
        <w:sym w:font="Wingdings" w:char="F0A8"/>
      </w:r>
      <w:r>
        <w:rPr>
          <w:noProof/>
        </w:rPr>
        <w:tab/>
        <w:t xml:space="preserve">asupra resurselor proprii </w:t>
      </w:r>
    </w:p>
    <w:p>
      <w:pPr>
        <w:pStyle w:val="ListDash1"/>
        <w:rPr>
          <w:noProof/>
        </w:rPr>
      </w:pPr>
      <w:r>
        <w:rPr>
          <w:noProof/>
        </w:rPr>
        <w:sym w:font="Wingdings" w:char="F0A8"/>
      </w:r>
      <w:r>
        <w:rPr>
          <w:noProof/>
        </w:rPr>
        <w:tab/>
        <w:t xml:space="preserve">asupra veniturilor diverse </w:t>
      </w:r>
    </w:p>
    <w:p>
      <w:pPr>
        <w:jc w:val="right"/>
        <w:rPr>
          <w:i/>
          <w:noProof/>
          <w:sz w:val="20"/>
        </w:rPr>
      </w:pPr>
      <w:r>
        <w:rPr>
          <w:noProof/>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276" w:type="dxa"/>
            <w:vMerge w:val="restart"/>
            <w:vAlign w:val="center"/>
          </w:tcPr>
          <w:p>
            <w:pPr>
              <w:jc w:val="center"/>
              <w:rPr>
                <w:noProof/>
                <w:sz w:val="18"/>
              </w:rPr>
            </w:pPr>
            <w:r>
              <w:rPr>
                <w:noProof/>
                <w:sz w:val="18"/>
              </w:rPr>
              <w:t>Credite disponibile pentru exercițiul financiar în curs</w:t>
            </w:r>
          </w:p>
        </w:tc>
        <w:tc>
          <w:tcPr>
            <w:tcW w:w="7200" w:type="dxa"/>
            <w:gridSpan w:val="7"/>
            <w:vAlign w:val="center"/>
          </w:tcPr>
          <w:p>
            <w:pPr>
              <w:jc w:val="center"/>
              <w:rPr>
                <w:noProof/>
                <w:sz w:val="18"/>
                <w:szCs w:val="18"/>
              </w:rPr>
            </w:pPr>
            <w:r>
              <w:rPr>
                <w:noProof/>
                <w:sz w:val="18"/>
                <w:szCs w:val="18"/>
              </w:rPr>
              <w:t>Impactul propunerii/inițiativei</w:t>
            </w:r>
            <w:r>
              <w:rPr>
                <w:rStyle w:val="FootnoteReference"/>
                <w:noProof/>
                <w:sz w:val="18"/>
                <w:szCs w:val="18"/>
              </w:rPr>
              <w:footnoteReference w:id="26"/>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Anul</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Anul</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veniturile diverse „alocate”, a se preciza linia (liniile) bugetară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t>*</w:t>
      </w:r>
      <w:r>
        <w:t xml:space="preserve"> </w:t>
      </w:r>
      <w:r>
        <w:tab/>
        <w:t>Această denumire nu aduce atingere pozițiilor privind statutul și este conformă cu RCSONU 1244/1999, precum și cu Avizul CIJ privind Declarația de independență a Kosovo.</w:t>
      </w:r>
    </w:p>
  </w:footnote>
  <w:footnote w:id="3">
    <w:p>
      <w:pPr>
        <w:pStyle w:val="FootnoteText"/>
        <w:keepLines/>
      </w:pPr>
      <w:r>
        <w:rPr>
          <w:rStyle w:val="FootnoteReference"/>
        </w:rPr>
        <w:footnoteRef/>
      </w:r>
      <w:r>
        <w:tab/>
        <w:t>Sub rezerva adoptării rapide a deciziei Omnibus privind AMF, Comisia intenționează să combine punerea în aplicare a acestei decizii privind AMF pentru Iordania cu cea privind AMF în valoare de 500 de milioane EUR adoptată în ianuarie 2020. Aceasta ar însemna să se ajungă la un acord cu privire la un memorandum de înțelegere unic cu Iordania, în cadrul căruia prima și a doua tranșă ar combina părți ale împrumutului din ambele decizii, în timp ce a treia plată ar proveni exclusiv din decizia din ianuarie 2020. Perioadele de disponibilitate în temeiul ambelor decizii ar fi respectate.</w:t>
      </w:r>
    </w:p>
  </w:footnote>
  <w:footnote w:id="4">
    <w:p>
      <w:pPr>
        <w:pStyle w:val="FootnoteText"/>
        <w:keepLines/>
      </w:pPr>
      <w:r>
        <w:rPr>
          <w:rStyle w:val="FootnoteReference"/>
        </w:rPr>
        <w:footnoteRef/>
      </w:r>
      <w:r>
        <w:tab/>
        <w:t xml:space="preserve">Regulamentul (CE, Euratom) nr. 480/2009 al Consiliului din 25 mai 2009 privind constituirea Fondului de garantare pentru acțiuni externe (JO L 145, 10.6.2009, p. 10). </w:t>
      </w:r>
    </w:p>
  </w:footnote>
  <w:footnote w:id="5">
    <w:p>
      <w:pPr>
        <w:pStyle w:val="FootnoteText"/>
      </w:pPr>
      <w:r>
        <w:rPr>
          <w:rStyle w:val="FootnoteReference"/>
        </w:rPr>
        <w:t>*</w:t>
      </w:r>
      <w:r>
        <w:t xml:space="preserve"> </w:t>
      </w:r>
      <w:r>
        <w:tab/>
        <w:t>Această denumire nu aduce atingere pozițiilor privind statutul și este conformă cu RCSONU 1244/1999, precum și cu Avizul CIJ privind Declarația de independență a Kosovo.</w:t>
      </w:r>
    </w:p>
  </w:footnote>
  <w:footnote w:id="6">
    <w:p>
      <w:pPr>
        <w:pStyle w:val="FootnoteText"/>
        <w:keepLines/>
        <w:ind w:left="709" w:hanging="709"/>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7">
    <w:p>
      <w:pPr>
        <w:pStyle w:val="FootnoteText"/>
        <w:keepLines/>
        <w:ind w:left="709" w:hanging="709"/>
      </w:pPr>
      <w:r>
        <w:rPr>
          <w:rStyle w:val="FootnoteReference"/>
        </w:rPr>
        <w:footnoteRef/>
      </w:r>
      <w:r>
        <w:tab/>
        <w:t>Decizia 2010/427/UE a Consiliului din 26 iulie 2010 privind organizarea și funcționarea Serviciului European de Acțiune Externă (JO L 201, 3.8.2010, p. 30).</w:t>
      </w:r>
    </w:p>
  </w:footnote>
  <w:footnote w:id="8">
    <w:p>
      <w:pPr>
        <w:pStyle w:val="FootnoteText"/>
        <w:keepLines/>
        <w:ind w:left="709" w:hanging="709"/>
      </w:pPr>
      <w:r>
        <w:rPr>
          <w:rStyle w:val="FootnoteReference"/>
        </w:rPr>
        <w:footnoteRef/>
      </w:r>
      <w:r>
        <w:tab/>
        <w:t>Regulamentul (CE, Euratom) nr. 480/2009 al Consiliului din 25 mai 2009 privind constituirea Fondului de garantare pentru acțiuni externe (JO L 145, 10.6.2009, p. 10).</w:t>
      </w:r>
    </w:p>
  </w:footnote>
  <w:footnote w:id="9">
    <w:p>
      <w:pPr>
        <w:pStyle w:val="FootnoteText"/>
        <w:keepLines/>
        <w:spacing w:after="120"/>
      </w:pPr>
      <w:r>
        <w:rPr>
          <w:rStyle w:val="FootnoteReference"/>
        </w:rPr>
        <w:footnoteRef/>
      </w:r>
      <w:r>
        <w:tab/>
        <w:t>Regulamentul (UE, Euratom) 2018/1046 al Parlamentului European și al Consiliului din 18 iulie 2018 privind normele financiare aplicabile bugetului general al Uniunii și de abrogare a Regulamentului (UE, Euratom) nr. 966/2012 (JO L 193, 30.07.2018, p. 1).</w:t>
      </w:r>
    </w:p>
  </w:footnote>
  <w:footnote w:id="10">
    <w:p>
      <w:pPr>
        <w:pStyle w:val="FootnoteText"/>
        <w:keepLines/>
        <w:spacing w:after="120"/>
      </w:pPr>
      <w:r>
        <w:rPr>
          <w:rStyle w:val="FootnoteReference"/>
        </w:rPr>
        <w:footnoteRef/>
      </w:r>
      <w:r>
        <w:tab/>
        <w:t>Regulamentul (CE, Euratom) nr. 2988/95 al Consiliului din 18 decembrie 1995 privind protecția intereselor financiare ale Comunităților Europene (JO L 312, 23.12.1995, p. 1).</w:t>
      </w:r>
    </w:p>
  </w:footnote>
  <w:footnote w:id="11">
    <w:p>
      <w:pPr>
        <w:pStyle w:val="FootnoteText"/>
        <w:keepLines/>
        <w:spacing w:after="120"/>
      </w:pPr>
      <w:r>
        <w:rPr>
          <w:rStyle w:val="FootnoteReference"/>
        </w:rPr>
        <w:footnoteRef/>
      </w:r>
      <w:r>
        <w:tab/>
        <w:t>Regulamentul (CE, Euratom) nr. 2185/96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12">
    <w:p>
      <w:pPr>
        <w:pStyle w:val="FootnoteText"/>
        <w:keepLines/>
        <w:spacing w:after="120"/>
      </w:pPr>
      <w:r>
        <w:rPr>
          <w:rStyle w:val="FootnoteReference"/>
        </w:rPr>
        <w:footnoteRef/>
      </w:r>
      <w:r>
        <w:tab/>
      </w:r>
      <w:r>
        <w:rPr>
          <w:color w:val="000000"/>
        </w:rPr>
        <w:t>Regulamentul (UE, Euratom) nr. 883/2013 al Parlamentului European și al Consiliului</w:t>
      </w:r>
      <w:r>
        <w:t xml:space="preserve"> din 11 septembrie 2013 privind investigațiile efectuate de Oficiul European de Luptă Antifraudă (OLAF) și de abrogare a Regulamentului (CE) nr. 1073/1999 al Parlamentului European și al Consiliului și a Regulamentului (Euratom) nr. 1074/1999 al Consiliului (JO L 248, 18.9.2013, p. 1).</w:t>
      </w:r>
    </w:p>
  </w:footnote>
  <w:footnote w:id="13">
    <w:p>
      <w:pPr>
        <w:pStyle w:val="FootnoteText"/>
        <w:keepLines/>
      </w:pPr>
      <w:r>
        <w:rPr>
          <w:rStyle w:val="FootnoteReference"/>
        </w:rPr>
        <w:footnoteRef/>
      </w:r>
      <w:r>
        <w:tab/>
        <w:t>Regulamentul (UE) 2017/1939 al Consiliului din 12 octombrie 2017 de punere în aplicare a unei forme de cooperare consolidată în ceea ce privește instituirea Parchetului European („EPPO”) (JO L 283, 31.10.2017, p. 1).</w:t>
      </w:r>
    </w:p>
  </w:footnote>
  <w:footnote w:id="14">
    <w:p>
      <w:pPr>
        <w:pStyle w:val="FootnoteText"/>
        <w:keepLines/>
        <w:rPr>
          <w:szCs w:val="24"/>
        </w:rPr>
      </w:pPr>
      <w:r>
        <w:rPr>
          <w:rStyle w:val="FootnoteReference"/>
        </w:rPr>
        <w:footnoteRef/>
      </w:r>
      <w:r>
        <w:tab/>
        <w:t>ABM: gestiune pe activități; ABB: întocmirea bugetului pe activități.</w:t>
      </w:r>
    </w:p>
  </w:footnote>
  <w:footnote w:id="15">
    <w:p>
      <w:pPr>
        <w:pStyle w:val="FootnoteText"/>
        <w:keepLines/>
        <w:rPr>
          <w:szCs w:val="24"/>
        </w:rPr>
      </w:pPr>
      <w:r>
        <w:rPr>
          <w:rStyle w:val="FootnoteReference"/>
        </w:rPr>
        <w:footnoteRef/>
      </w:r>
      <w:r>
        <w:tab/>
        <w:t>Astfel cum se menționează la articolul 54 alineatul (2) litera (a) sau (b) din Regulamentul financiar.</w:t>
      </w:r>
    </w:p>
  </w:footnote>
  <w:footnote w:id="16">
    <w:p>
      <w:pPr>
        <w:pStyle w:val="FootnoteText"/>
        <w:keepLines/>
      </w:pPr>
      <w:r>
        <w:rPr>
          <w:rStyle w:val="FootnoteReference"/>
        </w:rPr>
        <w:footnoteRef/>
      </w:r>
      <w:r>
        <w:tab/>
        <w:t xml:space="preserve">Explicații detaliate privind modurile de gestiune, precum și trimiterile la Regulamentul financiar sunt disponibile pe site-ul BudgWeb: </w:t>
      </w:r>
      <w:hyperlink r:id="rId1" w:history="1">
        <w:r>
          <w:rPr>
            <w:rStyle w:val="Hyperlink"/>
          </w:rPr>
          <w:t>http://www.cc.cec/budg/man/budgmanag/budgmanag_en.html</w:t>
        </w:r>
      </w:hyperlink>
    </w:p>
  </w:footnote>
  <w:footnote w:id="17">
    <w:p>
      <w:pPr>
        <w:pStyle w:val="FootnoteText"/>
        <w:keepLines/>
        <w:rPr>
          <w:szCs w:val="24"/>
        </w:rPr>
      </w:pPr>
      <w:r>
        <w:rPr>
          <w:rStyle w:val="FootnoteReference"/>
        </w:rPr>
        <w:footnoteRef/>
      </w:r>
      <w:r>
        <w:tab/>
        <w:t>Dif. = credite diferențiate / Nedif. = credite nediferențiate.</w:t>
      </w:r>
    </w:p>
  </w:footnote>
  <w:footnote w:id="18">
    <w:p>
      <w:pPr>
        <w:pStyle w:val="FootnoteText"/>
        <w:keepLines/>
        <w:rPr>
          <w:szCs w:val="24"/>
        </w:rPr>
      </w:pPr>
      <w:r>
        <w:rPr>
          <w:rStyle w:val="FootnoteReference"/>
        </w:rPr>
        <w:footnoteRef/>
      </w:r>
      <w:r>
        <w:tab/>
        <w:t xml:space="preserve">AELS: Asociația Europeană a Liberului Schimb. </w:t>
      </w:r>
    </w:p>
  </w:footnote>
  <w:footnote w:id="19">
    <w:p>
      <w:pPr>
        <w:pStyle w:val="FootnoteText"/>
        <w:keepLines/>
        <w:rPr>
          <w:szCs w:val="24"/>
        </w:rPr>
      </w:pPr>
      <w:r>
        <w:rPr>
          <w:rStyle w:val="FootnoteReference"/>
        </w:rPr>
        <w:footnoteRef/>
      </w:r>
      <w:r>
        <w:tab/>
        <w:t>Țări candidate și, după caz, țări potențial candidate din Balcanii de Vest.</w:t>
      </w:r>
    </w:p>
  </w:footnote>
  <w:footnote w:id="20">
    <w:p>
      <w:pPr>
        <w:pStyle w:val="FootnoteText"/>
        <w:keepLines/>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21">
    <w:p>
      <w:pPr>
        <w:pStyle w:val="FootnoteText"/>
        <w:keepLines/>
        <w:rPr>
          <w:szCs w:val="24"/>
        </w:rPr>
      </w:pPr>
      <w:r>
        <w:rPr>
          <w:rStyle w:val="FootnoteReference"/>
        </w:rPr>
        <w:footnoteRef/>
      </w:r>
      <w:r>
        <w:tab/>
        <w:t>Realizările se referă la produsele și serviciile care vor fi furnizate (de ex.: numărul de schimburi de studenți finanțate, numărul de km de străzi construiți etc.).</w:t>
      </w:r>
    </w:p>
  </w:footnote>
  <w:footnote w:id="22">
    <w:p>
      <w:pPr>
        <w:pStyle w:val="FootnoteText"/>
        <w:keepLines/>
        <w:rPr>
          <w:szCs w:val="24"/>
        </w:rPr>
      </w:pPr>
      <w:r>
        <w:rPr>
          <w:rStyle w:val="FootnoteReference"/>
        </w:rPr>
        <w:footnoteRef/>
      </w:r>
      <w:r>
        <w:tab/>
        <w:t xml:space="preserve">Conform descrierii de la punctul 1.4.2. „Obiectiv(e) specific(e)…” </w:t>
      </w:r>
    </w:p>
  </w:footnote>
  <w:footnote w:id="23">
    <w:p>
      <w:pPr>
        <w:pStyle w:val="FootnoteText"/>
        <w:keepLines/>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24">
    <w:p>
      <w:pPr>
        <w:pStyle w:val="FootnoteText"/>
        <w:keepLines/>
        <w:rPr>
          <w:szCs w:val="24"/>
        </w:rPr>
      </w:pPr>
      <w:r>
        <w:rPr>
          <w:rStyle w:val="FootnoteReference"/>
        </w:rPr>
        <w:footnoteRef/>
      </w:r>
      <w:r>
        <w:tab/>
        <w:t xml:space="preserve">AC= agent contractual; AL= agent local; END = expert național detașat; INT = personal pus la dispoziție de agenții de muncă temporară; JED= tânăr profesionist în delegații. </w:t>
      </w:r>
    </w:p>
  </w:footnote>
  <w:footnote w:id="25">
    <w:p>
      <w:pPr>
        <w:pStyle w:val="FootnoteText"/>
        <w:keepLines/>
        <w:rPr>
          <w:szCs w:val="24"/>
        </w:rPr>
      </w:pPr>
      <w:r>
        <w:rPr>
          <w:rStyle w:val="FootnoteReference"/>
        </w:rPr>
        <w:footnoteRef/>
      </w:r>
      <w:r>
        <w:tab/>
        <w:t>Subplafonul pentru personal extern acoperit din creditele operaționale (fostele linii „BA”).</w:t>
      </w:r>
    </w:p>
  </w:footnote>
  <w:footnote w:id="26">
    <w:p>
      <w:pPr>
        <w:pStyle w:val="FootnoteText"/>
        <w:keepLines/>
        <w:rPr>
          <w:szCs w:val="24"/>
        </w:rPr>
      </w:pPr>
      <w:r>
        <w:rPr>
          <w:rStyle w:val="FootnoteReference"/>
        </w:rPr>
        <w:footnoteRef/>
      </w:r>
      <w:r>
        <w:tab/>
        <w:t>În ceea ce privește resursele proprii tradiționale (taxe vamale, cotizații pentru zahăr), sumele indicate trebuie să fie sume nete, și anume sumele brute după deducerea unei cote de 25 %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21"/>
  </w:num>
  <w:num w:numId="32">
    <w:abstractNumId w:val="11"/>
  </w:num>
  <w:num w:numId="33">
    <w:abstractNumId w:val="24"/>
  </w:num>
  <w:num w:numId="34">
    <w:abstractNumId w:val="6"/>
  </w:num>
  <w:num w:numId="35">
    <w:abstractNumId w:val="12"/>
  </w:num>
  <w:num w:numId="36">
    <w:abstractNumId w:val="4"/>
  </w:num>
  <w:num w:numId="37">
    <w:abstractNumId w:val="23"/>
  </w:num>
  <w:num w:numId="38">
    <w:abstractNumId w:val="3"/>
  </w:num>
  <w:num w:numId="39">
    <w:abstractNumId w:val="13"/>
  </w:num>
  <w:num w:numId="40">
    <w:abstractNumId w:val="19"/>
  </w:num>
  <w:num w:numId="41">
    <w:abstractNumId w:val="20"/>
  </w:num>
  <w:num w:numId="42">
    <w:abstractNumId w:val="5"/>
  </w:num>
  <w:num w:numId="43">
    <w:abstractNumId w:val="17"/>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27 17:24:53"/>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76A9A0D-49C4-40D3-B70F-5BAB02B2C9FE"/>
    <w:docVar w:name="LW_COVERPAGE_TYPE" w:val="1"/>
    <w:docVar w:name="LW_CROSSREFERENCE" w:val="{SWD(2020) 63 final}"/>
    <w:docVar w:name="LW_DocType" w:val="COM"/>
    <w:docVar w:name="LW_EMISSION" w:val="22.4.2020"/>
    <w:docVar w:name="LW_EMISSION_ISODATE" w:val="2020-04-22"/>
    <w:docVar w:name="LW_EMISSION_LOCATION" w:val="BRX"/>
    <w:docVar w:name="LW_EMISSION_PREFIX" w:val="Bruxelles,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65"/>
    <w:docVar w:name="LW_REF.II.NEW.CP_YEAR" w:val="2020"/>
    <w:docVar w:name="LW_REF.INST.NEW" w:val="COM"/>
    <w:docVar w:name="LW_REF.INST.NEW_ADOPTED" w:val="final"/>
    <w:docVar w:name="LW_REF.INST.NEW_TEXT" w:val="(2020)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acordarea de asisten\u539?\u259? macrofinanciar\u259? partenerilor viza\u539?i de politica de extindere \u537?i de politica de vecin\u259?tate în contextul crizei generate de pandemia de COVID-19 _x000b_"/>
    <w:docVar w:name="LW_TYPE.DOC.CP" w:val="DECIZIE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uiPriority w:val="20"/>
    <w:qFormat/>
    <w:rPr>
      <w:i/>
    </w:rPr>
  </w:style>
  <w:style w:type="paragraph" w:customStyle="1" w:styleId="Normal12Hanging">
    <w:name w:val="Normal12Hanging"/>
    <w:basedOn w:val="Normal"/>
    <w:pPr>
      <w:widowControl w:val="0"/>
      <w:spacing w:before="0" w:after="240"/>
      <w:ind w:left="357" w:hanging="357"/>
      <w:jc w:val="left"/>
    </w:pPr>
    <w:rPr>
      <w:rFonts w:eastAsia="Times New Roman"/>
      <w:szCs w:val="20"/>
      <w:lang w:eastAsia="en-GB"/>
    </w:rPr>
  </w:style>
  <w:style w:type="paragraph" w:customStyle="1" w:styleId="Normal6">
    <w:name w:val="Normal6"/>
    <w:basedOn w:val="Normal"/>
    <w:pPr>
      <w:widowControl w:val="0"/>
      <w:spacing w:before="0"/>
      <w:jc w:val="left"/>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uiPriority w:val="20"/>
    <w:qFormat/>
    <w:rPr>
      <w:i/>
    </w:rPr>
  </w:style>
  <w:style w:type="paragraph" w:customStyle="1" w:styleId="Normal12Hanging">
    <w:name w:val="Normal12Hanging"/>
    <w:basedOn w:val="Normal"/>
    <w:pPr>
      <w:widowControl w:val="0"/>
      <w:spacing w:before="0" w:after="240"/>
      <w:ind w:left="357" w:hanging="357"/>
      <w:jc w:val="left"/>
    </w:pPr>
    <w:rPr>
      <w:rFonts w:eastAsia="Times New Roman"/>
      <w:szCs w:val="20"/>
      <w:lang w:eastAsia="en-GB"/>
    </w:rPr>
  </w:style>
  <w:style w:type="paragraph" w:customStyle="1" w:styleId="Normal6">
    <w:name w:val="Normal6"/>
    <w:basedOn w:val="Normal"/>
    <w:pPr>
      <w:widowControl w:val="0"/>
      <w:spacing w:before="0"/>
      <w:jc w:val="left"/>
    </w:pPr>
    <w:rPr>
      <w:rFonts w:eastAsia="Times New Roman"/>
      <w:szCs w:val="20"/>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evaluation-reports-economic-and-financial-affairs-policies-and-spending-activities_en" TargetMode="Externa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AB51066B5F28A46A4A4A8C4D1F4A061" ma:contentTypeVersion="4" ma:contentTypeDescription="Create a new document in this library." ma:contentTypeScope="" ma:versionID="74079fdd1a6e7fb88bd8d56612fdcbf1">
  <xsd:schema xmlns:xsd="http://www.w3.org/2001/XMLSchema" xmlns:xs="http://www.w3.org/2001/XMLSchema" xmlns:p="http://schemas.microsoft.com/office/2006/metadata/properties" xmlns:ns3="b41e250c-6265-4c57-a190-cee75543d3d9" targetNamespace="http://schemas.microsoft.com/office/2006/metadata/properties" ma:root="true" ma:fieldsID="abfff5b2bfd4cf8421c7df67fd5afd37" ns3:_="">
    <xsd:import namespace="b41e250c-6265-4c57-a190-cee75543d3d9"/>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50c-6265-4c57-a190-cee75543d3d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hidden="true" ma:internalName="EC_ARES_DATE_TRANSFERRED">
      <xsd:simpleType>
        <xsd:restriction base="dms:DateTime"/>
      </xsd:simpleType>
    </xsd:element>
    <xsd:element name="EC_ARES_TRANSFERRED_BY" ma:index="17"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ARES_TRANSFERRED_BY xmlns="b41e250c-6265-4c57-a190-cee75543d3d9" xsi:nil="true"/>
    <EC_ARES_DATE_TRANSFERRED xmlns="b41e250c-6265-4c57-a190-cee75543d3d9" xsi:nil="true"/>
    <EC_Collab_DocumentLanguage xmlns="b41e250c-6265-4c57-a190-cee75543d3d9">EN</EC_Collab_DocumentLanguage>
    <EC_Collab_Reference xmlns="b41e250c-6265-4c57-a190-cee75543d3d9" xsi:nil="true"/>
    <EC_Collab_Status xmlns="b41e250c-6265-4c57-a190-cee75543d3d9">Not Started</EC_Collab_Status>
    <EC_ARES_NUMBER xmlns="b41e250c-6265-4c57-a190-cee75543d3d9">
      <Url xsi:nil="true"/>
      <Description xsi:nil="true"/>
    </EC_ARES_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98BC-6995-4EEA-946C-C0A27738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50c-6265-4c57-a190-cee75543d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314F7-C3E8-4DFD-A155-242A1F1C4FA2}">
  <ds:schemaRefs>
    <ds:schemaRef ds:uri="http://schemas.microsoft.com/sharepoint/v3/contenttype/forms"/>
  </ds:schemaRefs>
</ds:datastoreItem>
</file>

<file path=customXml/itemProps3.xml><?xml version="1.0" encoding="utf-8"?>
<ds:datastoreItem xmlns:ds="http://schemas.openxmlformats.org/officeDocument/2006/customXml" ds:itemID="{1FCE9CAA-3E58-478F-80A4-52BDF5C17BCC}">
  <ds:schemaRefs>
    <ds:schemaRef ds:uri="http://schemas.microsoft.com/office/2006/metadata/properties"/>
    <ds:schemaRef ds:uri="http://schemas.microsoft.com/office/infopath/2007/PartnerControls"/>
    <ds:schemaRef ds:uri="b41e250c-6265-4c57-a190-cee75543d3d9"/>
  </ds:schemaRefs>
</ds:datastoreItem>
</file>

<file path=customXml/itemProps4.xml><?xml version="1.0" encoding="utf-8"?>
<ds:datastoreItem xmlns:ds="http://schemas.openxmlformats.org/officeDocument/2006/customXml" ds:itemID="{70D780B7-8D43-44FF-872C-3BEB16F9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38</Pages>
  <Words>13314</Words>
  <Characters>79089</Characters>
  <Application>Microsoft Office Word</Application>
  <DocSecurity>0</DocSecurity>
  <Lines>1757</Lines>
  <Paragraphs>674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2020-04-27T09:13:00Z</dcterms:created>
  <dcterms:modified xsi:type="dcterms:W3CDTF">2020-04-27T15:24:00Z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SJ-025</vt:lpwstr>
  </property>
  <property fmtid="{D5CDD505-2E9C-101B-9397-08002B2CF9AE}" pid="9" name="ContentTypeId">
    <vt:lpwstr>0x010100258AA79CEB83498886A3A0868112325000FAB51066B5F28A46A4A4A8C4D1F4A061</vt:lpwstr>
  </property>
  <property fmtid="{D5CDD505-2E9C-101B-9397-08002B2CF9AE}" pid="10" name="Last edited using">
    <vt:lpwstr>LW 7.0.1, Build 20190916</vt:lpwstr>
  </property>
  <property fmtid="{D5CDD505-2E9C-101B-9397-08002B2CF9AE}" pid="11" name="DQCStatus">
    <vt:lpwstr>Green (DQC version 03)</vt:lpwstr>
  </property>
</Properties>
</file>