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03" w:rsidRPr="00010565" w:rsidRDefault="00010565" w:rsidP="00010565">
      <w:pPr>
        <w:pStyle w:val="Pagedecouverture"/>
        <w:rPr>
          <w:noProof/>
          <w:szCs w:val="24"/>
        </w:rPr>
      </w:pPr>
      <w:bookmarkStart w:id="0" w:name="LW_BM_COVERPAGE"/>
      <w:r w:rsidRPr="00010565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75002C6-4518-464E-8C6A-2F9E50D7AABA" style="width:450pt;height:375.6pt">
            <v:imagedata r:id="rId8" o:title=""/>
          </v:shape>
        </w:pict>
      </w:r>
    </w:p>
    <w:bookmarkEnd w:id="0"/>
    <w:p w:rsidR="00E86E03" w:rsidRPr="00010565" w:rsidRDefault="00E86E03" w:rsidP="00010565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  <w:sectPr w:rsidR="00E86E03" w:rsidRPr="000105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86E03" w:rsidRPr="00010565" w:rsidRDefault="00010565" w:rsidP="00010565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Komission tiedonanto </w:t>
      </w:r>
    </w:p>
    <w:p w:rsidR="00E86E03" w:rsidRPr="00010565" w:rsidRDefault="00010565" w:rsidP="00010565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Länsi-Balkanin tukemisesta covid-19:n torjunnassa ja pandemian jälkeisessä elpymisessä </w:t>
      </w:r>
    </w:p>
    <w:p w:rsidR="00E86E03" w:rsidRPr="00010565" w:rsidRDefault="00E86E03" w:rsidP="00010565">
      <w:pPr>
        <w:pStyle w:val="Body"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86E03" w:rsidRPr="00010565" w:rsidRDefault="00010565" w:rsidP="0001056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/>
          <w:b/>
          <w:bCs/>
          <w:noProof/>
          <w:sz w:val="24"/>
          <w:szCs w:val="24"/>
        </w:rPr>
        <w:t xml:space="preserve">Johdanto </w:t>
      </w:r>
    </w:p>
    <w:p w:rsidR="00E86E03" w:rsidRPr="00010565" w:rsidRDefault="00E86E03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Länsi-Balkan on olennainen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osa Eurooppaa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yksi Euroopan unionin geostrategisista painopisteistä. Koko alueen lähentyminen EU:hun sai vahvistusta jälleen maaliskuussa 2020, kun jäsenvaltiot hyväksyivät komission ehdotukset liittymisprosessiin sovellettavasta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tehostetusta lähestymi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stavasta</w:t>
      </w:r>
      <w:r w:rsidRPr="00010565">
        <w:rPr>
          <w:rFonts w:ascii="Times New Roman" w:eastAsia="Times New Roman" w:hAnsi="Times New Roman" w:cs="Times New Roman"/>
          <w:b/>
          <w:bCs/>
          <w:noProof/>
          <w:sz w:val="24"/>
          <w:szCs w:val="24"/>
          <w:vertAlign w:val="superscript"/>
          <w:lang w:val="en-US"/>
        </w:rPr>
        <w:footnoteReference w:id="2"/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päättivät avata liittymisneuvottelut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Albanian tasavallan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Pohjois-Makedonian tasavallan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kanssa. On erittäin tärkeää, että Euroopan unioni jatkaa vakauden ja vaurauden edistämistä alueella yhteisten strategisten etujen pohjalta. </w:t>
      </w:r>
    </w:p>
    <w:p w:rsidR="00E86E03" w:rsidRPr="00010565" w:rsidRDefault="00010565" w:rsidP="00010565">
      <w:pPr>
        <w:pStyle w:val="FootnoteText"/>
        <w:spacing w:after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10565">
        <w:rPr>
          <w:rFonts w:ascii="Times New Roman" w:hAnsi="Times New Roman"/>
          <w:noProof/>
          <w:sz w:val="24"/>
          <w:szCs w:val="24"/>
        </w:rPr>
        <w:t xml:space="preserve">Länsi-Balkanin kumppanien määrätietoisista toimista huolimatta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covid-19-pandemialla</w:t>
      </w:r>
      <w:r w:rsidRPr="00010565">
        <w:rPr>
          <w:rFonts w:ascii="Times New Roman" w:hAnsi="Times New Roman"/>
          <w:noProof/>
          <w:sz w:val="24"/>
          <w:szCs w:val="24"/>
        </w:rPr>
        <w:t xml:space="preserve"> on ihmisiin kohdistuvien suorien vaikutusten lisäksi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häiriövaikutuksia alueen talouksiin ja ihmisten arkeen</w:t>
      </w:r>
      <w:r w:rsidRPr="00010565">
        <w:rPr>
          <w:rFonts w:ascii="Times New Roman" w:hAnsi="Times New Roman"/>
          <w:noProof/>
          <w:sz w:val="24"/>
          <w:szCs w:val="24"/>
        </w:rPr>
        <w:t>. Se on ennennäkemätön rasite niiden terveydenhuolto- ja sosiaali</w:t>
      </w:r>
      <w:r w:rsidRPr="00010565">
        <w:rPr>
          <w:rFonts w:ascii="Times New Roman" w:hAnsi="Times New Roman"/>
          <w:noProof/>
          <w:sz w:val="24"/>
          <w:szCs w:val="24"/>
        </w:rPr>
        <w:t>turvajärjestelmille. Tuhannet kansalaiset ovat vaarassa menettää työpaikkansa, ja valtion väliaikaisilla tukitoimenpiteillä (työttömyysetuudet, verojen ja sosiaaliturvamaksujen lykkäykset/vapautukset jne.) on merkittävä vaikutus julkiseen talouteen. Lisäks</w:t>
      </w:r>
      <w:r w:rsidRPr="00010565">
        <w:rPr>
          <w:rFonts w:ascii="Times New Roman" w:hAnsi="Times New Roman"/>
          <w:noProof/>
          <w:sz w:val="24"/>
          <w:szCs w:val="24"/>
        </w:rPr>
        <w:t xml:space="preserve">i hallitusten on laajennettava nopeasti sosiaalisen suojelun järjestelmien kattavuutta. Pandemia on vaikuttanut myös muuttoliikkeeseen liittyviin yhteisiin ponnisteluihin.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Pandemia vaikuttaa voimakkaasti myös EU:hun, mutta unionilla on erityinen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vastuu ja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intressi johtaa maailmanlaajuisia toimia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avun tarjoamisessa sitä tarvitseville kumppaneille etenkin sen välittömässä läheisyydessä. Osana kansainvälisiä toimiaan EU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antaa Länsi-Balkanille välttämätöntä ja poikkeuksellisen laajaa tukea</w:t>
      </w:r>
      <w:r w:rsidRPr="00010565">
        <w:rPr>
          <w:rFonts w:ascii="Times New Roman" w:hAnsi="Times New Roman" w:cs="Times New Roman"/>
          <w:noProof/>
          <w:sz w:val="24"/>
          <w:szCs w:val="24"/>
        </w:rPr>
        <w:t>. EU myöntää alueen m</w:t>
      </w:r>
      <w:r w:rsidRPr="00010565">
        <w:rPr>
          <w:rFonts w:ascii="Times New Roman" w:hAnsi="Times New Roman" w:cs="Times New Roman"/>
          <w:noProof/>
          <w:sz w:val="24"/>
          <w:szCs w:val="24"/>
        </w:rPr>
        <w:t>aille yli 3,3 miljardia euroa taloudellista tukea vastatakseen välittömään terveyskriisiin ja siitä johtuviin humanitaarisiin tarpeisiin sekä pitkän aikavälin ja rakenteellisiin vaikutuksiin, jotka kohdistuvat niiden yhteiskuntiin ja talouksiin. Alueen eur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ooppalaiset tulevaisuudennäkymät huomioon ottaen Länsi-Balkanin maita pitäisi kohdella etuoikeutettuina kumppaneina antamalla niiden osallistua useisiin aloitteisiin ja hyödyntää useita välineitä, jotka on varattu EU:n jäsenvaltioille.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>EU:n ja Länsi-Balka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nin johtajat kokoontuvat 6. toukokuuta 2020 pohtimaan yhteisiä haasteita. Keskustelujen pohjaksi tässä tiedonannossa tarkastellaan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Euroopan unionin solidaarisuutta Länsi-Balkanin maita kohtaan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niiden käsitellessä covid-19:n välittömiä vaikutuksia sekä esit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ellään keskinäisen yhteistyön alat. Lisäksi pohditaan EU:n pidemmän aikavälin tukea talouden elvyttämiseksi ja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luodaan puitteet alueen yksityiskohtaisemmalle talous- ja investointisuunnitelmalle, jonka komissio esittää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myöhemmin tänä vuonna.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EU tehostaa si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toutumistaan ja tukeaan alueen eurooppalaisen tulevaisuuden toteutumiseksi tukemalla kaikkia kumppaneita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vaadittujen perustavanlaatuisten demokratiaa, oikeusvaltiota ja taloutta koskevien uudistusten toteuttamisessa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entistä tarmokkaammin, kuten tehostetuss</w:t>
      </w:r>
      <w:r w:rsidRPr="00010565">
        <w:rPr>
          <w:rFonts w:ascii="Times New Roman" w:hAnsi="Times New Roman" w:cs="Times New Roman"/>
          <w:noProof/>
          <w:sz w:val="24"/>
          <w:szCs w:val="24"/>
        </w:rPr>
        <w:t>a lähestymistavassa todetaan.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6E03" w:rsidRPr="00010565" w:rsidRDefault="00E86E03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86E03" w:rsidRPr="00010565" w:rsidRDefault="00E86E03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86E03" w:rsidRPr="00010565" w:rsidRDefault="00010565" w:rsidP="00010565">
      <w:pPr>
        <w:pStyle w:val="ListParagraph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83" w:hanging="482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/>
          <w:b/>
          <w:bCs/>
          <w:noProof/>
          <w:sz w:val="24"/>
          <w:szCs w:val="24"/>
        </w:rPr>
        <w:t xml:space="preserve">EU:n tuki Länsi-Balkanille covid-19:n torjunnassa </w:t>
      </w:r>
    </w:p>
    <w:p w:rsidR="00E86E03" w:rsidRPr="00010565" w:rsidRDefault="00010565" w:rsidP="00010565">
      <w:pPr>
        <w:pStyle w:val="FootnoteText"/>
        <w:spacing w:after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10565">
        <w:rPr>
          <w:rFonts w:ascii="Times New Roman" w:hAnsi="Times New Roman"/>
          <w:noProof/>
          <w:sz w:val="24"/>
          <w:szCs w:val="24"/>
        </w:rPr>
        <w:t xml:space="preserve">EU päätti ryhtyä kriisin johdosta huomattaviin taloudellisiin tukitoimiin ja ottaa myös Länsi-Balkanin mahdollisimman laajasti mukaan niihin. Vaikka muutkin kumppanit ovat </w:t>
      </w:r>
      <w:r w:rsidRPr="00010565">
        <w:rPr>
          <w:rFonts w:ascii="Times New Roman" w:hAnsi="Times New Roman"/>
          <w:noProof/>
          <w:sz w:val="24"/>
          <w:szCs w:val="24"/>
        </w:rPr>
        <w:t>myöntäneet alueelle tukea, menettelyjen joustavuus ja oikea-aikaiset päätökset ovat johtaneet siihen, että EU:ta pidetään jälleen kerran alueen tehokkaimpana ja luotettavimpana kumppanina.</w:t>
      </w:r>
    </w:p>
    <w:p w:rsidR="00E86E03" w:rsidRPr="00010565" w:rsidRDefault="00010565" w:rsidP="00010565">
      <w:pPr>
        <w:pStyle w:val="FootnoteText"/>
        <w:spacing w:after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10565">
        <w:rPr>
          <w:rFonts w:ascii="Times New Roman" w:hAnsi="Times New Roman"/>
          <w:noProof/>
          <w:sz w:val="24"/>
          <w:szCs w:val="24"/>
        </w:rPr>
        <w:t xml:space="preserve">EU on valmistellut </w:t>
      </w:r>
      <w:r w:rsidRPr="00010565">
        <w:rPr>
          <w:rFonts w:ascii="Times New Roman" w:hAnsi="Times New Roman"/>
          <w:b/>
          <w:noProof/>
          <w:sz w:val="24"/>
          <w:szCs w:val="24"/>
        </w:rPr>
        <w:t>yli 3,3 miljardin euron tukipaketin</w:t>
      </w:r>
      <w:r w:rsidRPr="00010565">
        <w:rPr>
          <w:rFonts w:ascii="Times New Roman" w:hAnsi="Times New Roman"/>
          <w:noProof/>
          <w:sz w:val="24"/>
          <w:szCs w:val="24"/>
        </w:rPr>
        <w:t xml:space="preserve"> Länsi-Balkan</w:t>
      </w:r>
      <w:r w:rsidRPr="00010565">
        <w:rPr>
          <w:rFonts w:ascii="Times New Roman" w:hAnsi="Times New Roman"/>
          <w:noProof/>
          <w:sz w:val="24"/>
          <w:szCs w:val="24"/>
        </w:rPr>
        <w:t xml:space="preserve">in </w:t>
      </w:r>
      <w:r w:rsidRPr="00010565">
        <w:rPr>
          <w:rFonts w:ascii="Times New Roman" w:hAnsi="Times New Roman"/>
          <w:b/>
          <w:noProof/>
          <w:sz w:val="24"/>
          <w:szCs w:val="24"/>
        </w:rPr>
        <w:t>kansalaisten</w:t>
      </w:r>
      <w:r w:rsidRPr="00010565">
        <w:rPr>
          <w:rFonts w:ascii="Times New Roman" w:hAnsi="Times New Roman"/>
          <w:noProof/>
          <w:sz w:val="24"/>
          <w:szCs w:val="24"/>
        </w:rPr>
        <w:t xml:space="preserve"> hyväksi</w:t>
      </w:r>
      <w:r w:rsidRPr="00010565">
        <w:rPr>
          <w:rFonts w:ascii="Times New Roman" w:eastAsia="Times New Roman" w:hAnsi="Times New Roman"/>
          <w:b/>
          <w:bCs/>
          <w:noProof/>
          <w:sz w:val="24"/>
          <w:szCs w:val="24"/>
          <w:vertAlign w:val="superscript"/>
          <w:lang w:val="en-US"/>
        </w:rPr>
        <w:footnoteReference w:id="3"/>
      </w:r>
      <w:r w:rsidRPr="00010565">
        <w:rPr>
          <w:rFonts w:ascii="Times New Roman" w:hAnsi="Times New Roman"/>
          <w:noProof/>
          <w:sz w:val="24"/>
          <w:szCs w:val="24"/>
        </w:rPr>
        <w:t>.</w:t>
      </w:r>
      <w:r w:rsidRPr="00010565">
        <w:rPr>
          <w:rFonts w:ascii="Times New Roman" w:hAnsi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/>
          <w:noProof/>
          <w:sz w:val="24"/>
          <w:szCs w:val="24"/>
        </w:rPr>
        <w:t xml:space="preserve">Paketti sisältää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38 miljoonaa euroa</w:t>
      </w:r>
      <w:r w:rsidRPr="00010565">
        <w:rPr>
          <w:rFonts w:ascii="Times New Roman" w:hAnsi="Times New Roman"/>
          <w:noProof/>
          <w:sz w:val="24"/>
          <w:szCs w:val="24"/>
        </w:rPr>
        <w:t xml:space="preserve"> määrärahasiirtoja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liittymistä valmistelevasta tukivälineestä (IPA)</w:t>
      </w:r>
      <w:r w:rsidRPr="00010565">
        <w:rPr>
          <w:rFonts w:ascii="Times New Roman" w:eastAsia="Times New Roman" w:hAnsi="Times New Roman"/>
          <w:b/>
          <w:bCs/>
          <w:noProof/>
          <w:sz w:val="24"/>
          <w:szCs w:val="24"/>
          <w:vertAlign w:val="superscript"/>
          <w:lang w:val="en-US"/>
        </w:rPr>
        <w:footnoteReference w:id="4"/>
      </w:r>
      <w:r w:rsidRPr="00010565">
        <w:rPr>
          <w:rFonts w:ascii="Times New Roman" w:hAnsi="Times New Roman"/>
          <w:noProof/>
          <w:sz w:val="24"/>
          <w:szCs w:val="24"/>
        </w:rPr>
        <w:t xml:space="preserve"> terveydenhuoltosektorin välittömään tukemiseen erityisesti toimittamalla ihmishenkien pelastamiseen vaadittavia tarvikkeita, kuten henkilönsuojaimia, testejä ja hengityskoneita</w:t>
      </w:r>
      <w:r w:rsidRPr="00010565">
        <w:rPr>
          <w:rFonts w:ascii="Times New Roman" w:eastAsia="Times New Roman" w:hAnsi="Times New Roman"/>
          <w:noProof/>
          <w:sz w:val="24"/>
          <w:szCs w:val="24"/>
          <w:vertAlign w:val="superscript"/>
          <w:lang w:val="en-US"/>
        </w:rPr>
        <w:footnoteReference w:id="5"/>
      </w:r>
      <w:r w:rsidRPr="00010565">
        <w:rPr>
          <w:rFonts w:ascii="Times New Roman" w:hAnsi="Times New Roman"/>
          <w:noProof/>
          <w:sz w:val="24"/>
          <w:szCs w:val="24"/>
        </w:rPr>
        <w:t xml:space="preserve">,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389 miljoonaa euroa</w:t>
      </w:r>
      <w:r w:rsidRPr="00010565">
        <w:rPr>
          <w:rFonts w:ascii="Times New Roman" w:hAnsi="Times New Roman"/>
          <w:noProof/>
          <w:sz w:val="24"/>
          <w:szCs w:val="24"/>
        </w:rPr>
        <w:t xml:space="preserve"> sosiaalisiin ja taloudellisiin elvytystarpeisiin vastaam</w:t>
      </w:r>
      <w:r w:rsidRPr="00010565">
        <w:rPr>
          <w:rFonts w:ascii="Times New Roman" w:hAnsi="Times New Roman"/>
          <w:noProof/>
          <w:sz w:val="24"/>
          <w:szCs w:val="24"/>
        </w:rPr>
        <w:t xml:space="preserve">iseksi ja uuden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455 miljoonan euron</w:t>
      </w:r>
      <w:r w:rsidRPr="00010565">
        <w:rPr>
          <w:rFonts w:ascii="Times New Roman" w:hAnsi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talouden elvytyspaketin</w:t>
      </w:r>
      <w:r w:rsidRPr="00010565">
        <w:rPr>
          <w:rFonts w:ascii="Times New Roman" w:hAnsi="Times New Roman"/>
          <w:noProof/>
          <w:sz w:val="24"/>
          <w:szCs w:val="24"/>
        </w:rPr>
        <w:t xml:space="preserve"> läheisessä yhteistyössä kansainvälisten rahoituslaitosten kanssa, ehdotuksen</w:t>
      </w:r>
      <w:r w:rsidRPr="00010565">
        <w:rPr>
          <w:rFonts w:ascii="Times New Roman" w:eastAsia="Times New Roman" w:hAnsi="Times New Roman"/>
          <w:noProof/>
          <w:sz w:val="24"/>
          <w:szCs w:val="24"/>
          <w:vertAlign w:val="superscript"/>
          <w:lang w:val="en-US"/>
        </w:rPr>
        <w:footnoteReference w:id="6"/>
      </w:r>
      <w:r w:rsidRPr="00010565">
        <w:rPr>
          <w:rFonts w:ascii="Times New Roman" w:hAnsi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750 miljoonan euron</w:t>
      </w:r>
      <w:r w:rsidRPr="00010565">
        <w:rPr>
          <w:rFonts w:ascii="Times New Roman" w:hAnsi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makrotaloudellisesta rahoitusavusta</w:t>
      </w:r>
      <w:r w:rsidRPr="00010565">
        <w:rPr>
          <w:rFonts w:ascii="Times New Roman" w:hAnsi="Times New Roman"/>
          <w:noProof/>
          <w:sz w:val="24"/>
          <w:szCs w:val="24"/>
        </w:rPr>
        <w:t xml:space="preserve"> ja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1,7 miljardin euron tukipaketin</w:t>
      </w:r>
      <w:r w:rsidRPr="00010565">
        <w:rPr>
          <w:rFonts w:ascii="Times New Roman" w:hAnsi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Euroopan investointipankilt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a</w:t>
      </w:r>
      <w:r w:rsidRPr="00010565">
        <w:rPr>
          <w:rFonts w:ascii="Times New Roman" w:hAnsi="Times New Roman"/>
          <w:noProof/>
          <w:sz w:val="24"/>
          <w:szCs w:val="24"/>
        </w:rPr>
        <w:t>.</w:t>
      </w:r>
      <w:r w:rsidRPr="00010565">
        <w:rPr>
          <w:rFonts w:ascii="Times New Roman" w:hAnsi="Times New Roman"/>
          <w:noProof/>
          <w:sz w:val="24"/>
          <w:szCs w:val="24"/>
        </w:rPr>
        <w:t xml:space="preserve"> EU antaa myös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4,5 miljoonaa euroa välitöntä humanitaarista apua haavoittuvassa asemassa oleville pakolaisille ja siirtolaisille</w:t>
      </w:r>
      <w:r w:rsidRPr="00010565">
        <w:rPr>
          <w:rFonts w:ascii="Times New Roman" w:hAnsi="Times New Roman"/>
          <w:noProof/>
          <w:sz w:val="24"/>
          <w:szCs w:val="24"/>
        </w:rPr>
        <w:t xml:space="preserve"> näiden suojeluun, ilman huoltajaa olevien alaikäisten tukemiseen sekä terveydenhuoltoon, mukaan lukien covid-19-valmiuteen, j</w:t>
      </w:r>
      <w:r w:rsidRPr="00010565">
        <w:rPr>
          <w:rFonts w:ascii="Times New Roman" w:hAnsi="Times New Roman"/>
          <w:noProof/>
          <w:sz w:val="24"/>
          <w:szCs w:val="24"/>
        </w:rPr>
        <w:t xml:space="preserve">a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8 miljoonaa euroa</w:t>
      </w:r>
      <w:r w:rsidRPr="00010565">
        <w:rPr>
          <w:rFonts w:ascii="Times New Roman" w:hAnsi="Times New Roman"/>
          <w:noProof/>
          <w:sz w:val="24"/>
          <w:szCs w:val="24"/>
        </w:rPr>
        <w:t xml:space="preserve"> hätätilanteen tukea Länsi-Balkanille olosuhteiden pakosta jääneille siirtolaisille ja pakolaisille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vakautta ja rauhaa edistävästä välineestä</w:t>
      </w:r>
      <w:r w:rsidRPr="00010565">
        <w:rPr>
          <w:rFonts w:ascii="Times New Roman" w:hAnsi="Times New Roman"/>
          <w:noProof/>
          <w:sz w:val="24"/>
          <w:szCs w:val="24"/>
        </w:rPr>
        <w:t xml:space="preserve">. Lisäksi EU:n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solidaarisuusrahasto</w:t>
      </w:r>
      <w:r w:rsidRPr="00010565">
        <w:rPr>
          <w:rFonts w:ascii="Times New Roman" w:hAnsi="Times New Roman"/>
          <w:noProof/>
          <w:sz w:val="24"/>
          <w:szCs w:val="24"/>
        </w:rPr>
        <w:t xml:space="preserve"> on niiden Länsi-Balkanin maiden käytettävissä, jotka ovat al</w:t>
      </w:r>
      <w:r w:rsidRPr="00010565">
        <w:rPr>
          <w:rFonts w:ascii="Times New Roman" w:hAnsi="Times New Roman"/>
          <w:noProof/>
          <w:sz w:val="24"/>
          <w:szCs w:val="24"/>
        </w:rPr>
        <w:t>oittaneet liittymisneuvottelut, ja se kattaa nyt myös kansanterveyskriisit.</w:t>
      </w:r>
    </w:p>
    <w:p w:rsidR="00E86E03" w:rsidRPr="00010565" w:rsidRDefault="00010565" w:rsidP="00010565">
      <w:pPr>
        <w:pStyle w:val="FootnoteText"/>
        <w:spacing w:after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10565">
        <w:rPr>
          <w:rFonts w:ascii="Times New Roman" w:hAnsi="Times New Roman"/>
          <w:noProof/>
          <w:sz w:val="24"/>
          <w:szCs w:val="24"/>
        </w:rPr>
        <w:t xml:space="preserve">Merkittävä osa EU:n taloudellisesta tuesta ohjataan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auttamaan yksityistä sektoria vastaamaan likviditeetti- ja rahoitushaasteisiin</w:t>
      </w:r>
      <w:r w:rsidRPr="00010565">
        <w:rPr>
          <w:rFonts w:ascii="Times New Roman" w:hAnsi="Times New Roman"/>
          <w:noProof/>
          <w:sz w:val="24"/>
          <w:szCs w:val="24"/>
        </w:rPr>
        <w:t xml:space="preserve"> ottamalla käyttöön EU:n rahoittamia takausjärjest</w:t>
      </w:r>
      <w:r w:rsidRPr="00010565">
        <w:rPr>
          <w:rFonts w:ascii="Times New Roman" w:hAnsi="Times New Roman"/>
          <w:noProof/>
          <w:sz w:val="24"/>
          <w:szCs w:val="24"/>
        </w:rPr>
        <w:t xml:space="preserve">elmiä yhteistyössä kansainvälisten rahoituslaitosten kanssa. </w:t>
      </w:r>
    </w:p>
    <w:p w:rsidR="00E86E03" w:rsidRPr="00010565" w:rsidRDefault="00010565" w:rsidP="00010565">
      <w:pPr>
        <w:pStyle w:val="FootnoteText"/>
        <w:spacing w:after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10565">
        <w:rPr>
          <w:rFonts w:ascii="Times New Roman" w:hAnsi="Times New Roman"/>
          <w:noProof/>
          <w:sz w:val="24"/>
          <w:szCs w:val="24"/>
        </w:rPr>
        <w:t xml:space="preserve">EU:n toimissa noudatetaan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Team Europe -lähestymistapaa</w:t>
      </w:r>
      <w:r w:rsidRPr="00010565">
        <w:rPr>
          <w:rFonts w:ascii="Times New Roman" w:eastAsia="Times New Roman" w:hAnsi="Times New Roman"/>
          <w:b/>
          <w:bCs/>
          <w:noProof/>
          <w:sz w:val="24"/>
          <w:szCs w:val="24"/>
          <w:vertAlign w:val="superscript"/>
          <w:lang w:val="en-US"/>
        </w:rPr>
        <w:footnoteReference w:id="7"/>
      </w:r>
      <w:r w:rsidRPr="00010565">
        <w:rPr>
          <w:rFonts w:ascii="Times New Roman" w:hAnsi="Times New Roman"/>
          <w:noProof/>
          <w:sz w:val="24"/>
          <w:szCs w:val="24"/>
        </w:rPr>
        <w:t>:</w:t>
      </w:r>
      <w:r w:rsidRPr="00010565">
        <w:rPr>
          <w:rFonts w:ascii="Times New Roman" w:hAnsi="Times New Roman"/>
          <w:noProof/>
          <w:sz w:val="24"/>
          <w:szCs w:val="24"/>
        </w:rPr>
        <w:t xml:space="preserve"> nopeaa ja kohdennettua tukea varten yhdistetään resursseja EU:n toimielimiltä, jäsenvaltioilta ja rahoituslaitoksilta, erityisesti Euroopan investointipankilta ja Euroopan jälleenrakennus- ja kehityspankilta. Varmistamme yhdessä kumppaneiden kanssa, että </w:t>
      </w:r>
      <w:r w:rsidRPr="00010565">
        <w:rPr>
          <w:rFonts w:ascii="Times New Roman" w:hAnsi="Times New Roman"/>
          <w:noProof/>
          <w:sz w:val="24"/>
          <w:szCs w:val="24"/>
        </w:rPr>
        <w:t>niille jo myönnetty huomattava EU-rahoitus kohdennetaan pandemian vaikutusten lieventämiseen. Jotkut EU:n jäsenvaltiot antavat myös kahdenvälistä tukea, joko taloudellista tukea tai varustelahjoituksia.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>Covid-19-pandemian seurauksena Länsi-Balkanin maat ov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at myös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aktivoineet unionin pelastuspalvelumekanismin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saaneet jo apua jäsenvaltioilta ja muilta mekanismiin osallistuvilta valtioilta. Mekanismiin osallistuvina valtioina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Serbia, Pohjois-Makedonia ja Montenegro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voivat osallistua rescEU-reservin varustam</w:t>
      </w:r>
      <w:r w:rsidRPr="00010565">
        <w:rPr>
          <w:rFonts w:ascii="Times New Roman" w:hAnsi="Times New Roman" w:cs="Times New Roman"/>
          <w:noProof/>
          <w:sz w:val="24"/>
          <w:szCs w:val="24"/>
        </w:rPr>
        <w:t>iseen ja pyytää siltä tukea, esimerkiksi lääketieteellisten vastatoimien ja lääkinnällisten laitteiden varastoinnissa. Unionin pelastuspalvelumekanismin järjestämien ja yhteisrahoittamien lentojen ansiosta myös Länsi-Balkanin kansalaisia on kotiutettu Euro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oppaan. Länsi-Balkanin pelastuspalveluviranomaiset jatkavat osallistumista pelastuspalvelumekanismiin liittyvään koulutukseen, harjoituksiin ja asiantuntijavaihtoon. EU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arvostaa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sitä arvokasta tukea</w:t>
      </w:r>
      <w:r w:rsidRPr="00010565">
        <w:rPr>
          <w:rFonts w:ascii="Times New Roman" w:hAnsi="Times New Roman" w:cs="Times New Roman"/>
          <w:noProof/>
          <w:sz w:val="24"/>
          <w:szCs w:val="24"/>
        </w:rPr>
        <w:t>, jota Länsi-Balkanin maat ovat antaneet EU:lle ja lähinaa</w:t>
      </w:r>
      <w:r w:rsidRPr="00010565">
        <w:rPr>
          <w:rFonts w:ascii="Times New Roman" w:hAnsi="Times New Roman" w:cs="Times New Roman"/>
          <w:noProof/>
          <w:sz w:val="24"/>
          <w:szCs w:val="24"/>
        </w:rPr>
        <w:t>pureilleen lähettämällä lääketieteellistä henkilöstöä ja laitteita. Se heijastaa solidaarisuutta ja perusarvoja, joille EU rakentuu.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6E03" w:rsidRPr="00010565" w:rsidRDefault="00010565" w:rsidP="00010565">
      <w:pPr>
        <w:pStyle w:val="FootnoteText"/>
        <w:spacing w:after="12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/>
          <w:noProof/>
          <w:sz w:val="24"/>
          <w:szCs w:val="24"/>
        </w:rPr>
        <w:t xml:space="preserve">Meneillään oleva pandemia osoittaa näin ollen selvästi, miten EU ja Länsi-Balkan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vastaavat yhdessä yhteisiin haasteisiin</w:t>
      </w:r>
      <w:r w:rsidRPr="00010565">
        <w:rPr>
          <w:rFonts w:ascii="Times New Roman" w:hAnsi="Times New Roman"/>
          <w:noProof/>
          <w:sz w:val="24"/>
          <w:szCs w:val="24"/>
        </w:rPr>
        <w:t xml:space="preserve">. </w:t>
      </w:r>
      <w:r w:rsidRPr="00010565">
        <w:rPr>
          <w:rFonts w:ascii="Times New Roman" w:hAnsi="Times New Roman"/>
          <w:noProof/>
          <w:sz w:val="24"/>
          <w:szCs w:val="24"/>
        </w:rPr>
        <w:t xml:space="preserve">Tähän sisältyvät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lääkinnällisten laitteiden yhteishankinnat</w:t>
      </w:r>
      <w:r w:rsidRPr="00010565">
        <w:rPr>
          <w:rFonts w:ascii="Times New Roman" w:hAnsi="Times New Roman"/>
          <w:noProof/>
          <w:sz w:val="24"/>
          <w:szCs w:val="24"/>
        </w:rPr>
        <w:t xml:space="preserve">, alueen vapauttaminen EU:n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vientilupajärjestelmän</w:t>
      </w:r>
      <w:r w:rsidRPr="00010565">
        <w:rPr>
          <w:rFonts w:ascii="Times New Roman" w:eastAsia="Times New Roman" w:hAnsi="Times New Roman"/>
          <w:noProof/>
          <w:sz w:val="24"/>
          <w:szCs w:val="24"/>
          <w:vertAlign w:val="superscript"/>
          <w:lang w:val="en-US"/>
        </w:rPr>
        <w:footnoteReference w:id="8"/>
      </w:r>
      <w:r w:rsidRPr="00010565">
        <w:rPr>
          <w:rFonts w:ascii="Times New Roman" w:hAnsi="Times New Roman"/>
          <w:noProof/>
          <w:sz w:val="24"/>
          <w:szCs w:val="24"/>
        </w:rPr>
        <w:t xml:space="preserve"> soveltamisesta henkilönsuojainten osalta ja Euroopan komission yhteisen tutkimuskeskuksen kehittämän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testausmateriaalin tuominen EU:sta</w:t>
      </w:r>
      <w:r w:rsidRPr="00010565">
        <w:rPr>
          <w:rFonts w:ascii="Times New Roman" w:hAnsi="Times New Roman"/>
          <w:noProof/>
          <w:sz w:val="24"/>
          <w:szCs w:val="24"/>
        </w:rPr>
        <w:t>, jotta vo</w:t>
      </w:r>
      <w:r w:rsidRPr="00010565">
        <w:rPr>
          <w:rFonts w:ascii="Times New Roman" w:hAnsi="Times New Roman"/>
          <w:noProof/>
          <w:sz w:val="24"/>
          <w:szCs w:val="24"/>
        </w:rPr>
        <w:t>idaan varmistaa, että Länsi-Balkanin maiden koronavirustestit toimivat asianmukaisesti.</w:t>
      </w:r>
      <w:r w:rsidRPr="00010565">
        <w:rPr>
          <w:rFonts w:ascii="Times New Roman" w:hAnsi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/>
          <w:noProof/>
          <w:sz w:val="24"/>
          <w:szCs w:val="24"/>
        </w:rPr>
        <w:t xml:space="preserve">Sidosryhmät eri puolilta aluetta ovat täysipainoisesti mukana EU:n </w:t>
      </w:r>
      <w:r w:rsidRPr="00010565">
        <w:rPr>
          <w:rFonts w:ascii="Times New Roman" w:hAnsi="Times New Roman"/>
          <w:b/>
          <w:noProof/>
          <w:sz w:val="24"/>
          <w:szCs w:val="24"/>
        </w:rPr>
        <w:t>covid-19-tutkimus- ja innovointitoimissa</w:t>
      </w:r>
      <w:r w:rsidRPr="00010565">
        <w:rPr>
          <w:rFonts w:ascii="Times New Roman" w:hAnsi="Times New Roman"/>
          <w:noProof/>
          <w:sz w:val="24"/>
          <w:szCs w:val="24"/>
        </w:rPr>
        <w:t xml:space="preserve">. </w:t>
      </w:r>
      <w:r w:rsidRPr="00010565">
        <w:rPr>
          <w:rFonts w:ascii="Times New Roman" w:hAnsi="Times New Roman"/>
          <w:noProof/>
          <w:sz w:val="24"/>
          <w:szCs w:val="24"/>
        </w:rPr>
        <w:t xml:space="preserve">Koko alue hyötyy myös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Euroopan tautienehkäisy- ja valvontak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eskuksen</w:t>
      </w:r>
      <w:r w:rsidRPr="00010565">
        <w:rPr>
          <w:rFonts w:ascii="Times New Roman" w:hAnsi="Times New Roman"/>
          <w:noProof/>
          <w:sz w:val="24"/>
          <w:szCs w:val="24"/>
        </w:rPr>
        <w:t xml:space="preserve"> antamasta teknisestä avusta ja helpottamasta tietojenvaihdosta. Länsi-Balkanin ehdokasmaat on kutsuttu tarkkailijoiksi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EU:n terveysturvakomiteaan</w:t>
      </w:r>
      <w:r w:rsidRPr="00010565">
        <w:rPr>
          <w:rFonts w:ascii="Times New Roman" w:hAnsi="Times New Roman"/>
          <w:noProof/>
          <w:sz w:val="24"/>
          <w:szCs w:val="24"/>
        </w:rPr>
        <w:t xml:space="preserve">, ja niille on annettu oikeudet käyttää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varhaisvaroitus- ja reagointijärjestelmää</w:t>
      </w:r>
      <w:r w:rsidRPr="00010565">
        <w:rPr>
          <w:rFonts w:ascii="Times New Roman" w:hAnsi="Times New Roman"/>
          <w:noProof/>
          <w:sz w:val="24"/>
          <w:szCs w:val="24"/>
        </w:rPr>
        <w:t>.</w:t>
      </w:r>
    </w:p>
    <w:p w:rsidR="00E86E03" w:rsidRPr="00010565" w:rsidRDefault="00010565" w:rsidP="0001056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>Liikenneyhteisön p</w:t>
      </w:r>
      <w:r w:rsidRPr="00010565">
        <w:rPr>
          <w:rFonts w:ascii="Times New Roman" w:hAnsi="Times New Roman" w:cs="Times New Roman"/>
          <w:noProof/>
          <w:sz w:val="24"/>
          <w:szCs w:val="24"/>
        </w:rPr>
        <w:t>ysyvän sihteeristön ja CEFTA:n yhteisessä ehdotuksessa vahvistettiin, että niin sanottuja vihreitä kaistoja jatketaan Länsi-Balkanille, mikä takaa välttämättömien tavaroiden nopean kuljetuksen alueella. Komissio on valmis ottamaan alueen tiiviisti mukaan 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oteuttamaan </w:t>
      </w:r>
      <w:r w:rsidRPr="00010565">
        <w:rPr>
          <w:rFonts w:ascii="Times New Roman" w:hAnsi="Times New Roman" w:cs="Times New Roman"/>
          <w:b/>
          <w:noProof/>
          <w:sz w:val="24"/>
          <w:szCs w:val="24"/>
        </w:rPr>
        <w:t>yhteistä eurooppalaista etenemissuunnitelmaa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covid-19-rajoitusten purkamiseksi. Nykyisen hätätilanteen ja siihen liittyvien tavaroiden ja henkilöiden liikkumista koskevien rajoitusten poistamisen jälkeen komissio on lisäksi sitoutunut pitkällä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aikavälillä parantamaan yhteyksiä Länsi-Balkanille poistamalla rakenteellisia pullonkauloja EU:n ja Länsi-Balkanin rajoilla. Komissio on myös antanut ohjeita</w:t>
      </w:r>
      <w:r w:rsidRPr="00010565">
        <w:rPr>
          <w:rStyle w:val="FootnoteReference"/>
          <w:rFonts w:ascii="Times New Roman" w:hAnsi="Times New Roman" w:cs="Times New Roman"/>
          <w:noProof/>
          <w:sz w:val="24"/>
          <w:szCs w:val="24"/>
        </w:rPr>
        <w:footnoteReference w:id="9"/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siitä, miten panna täytäntöön </w:t>
      </w:r>
      <w:r w:rsidRPr="00010565">
        <w:rPr>
          <w:rFonts w:ascii="Times New Roman" w:hAnsi="Times New Roman" w:cs="Times New Roman"/>
          <w:b/>
          <w:noProof/>
          <w:sz w:val="24"/>
          <w:szCs w:val="24"/>
        </w:rPr>
        <w:t>tilapäisiä matkustusrajoituksia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, joita sovelletaan kaikkeen muuhun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kuin välttämättömään matkustamiseen kolmansista maista EU:hun. Tämä koskee myös henkilöitä, jotka ovat pakotettuja oleskelemaan EU:ssa pidempään kuin mihin heillä on lupa.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_GoBack"/>
      <w:bookmarkEnd w:id="1"/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Tämä EU:n ja Länsi-Balkanin yhteistyö sekä EU:n antama tuki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on paljon laajempaa kui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n mitä yksikään muu kumppani on antanut alueelle</w:t>
      </w:r>
      <w:r w:rsidRPr="00010565">
        <w:rPr>
          <w:rFonts w:ascii="Times New Roman" w:hAnsi="Times New Roman" w:cs="Times New Roman"/>
          <w:noProof/>
          <w:sz w:val="24"/>
          <w:szCs w:val="24"/>
        </w:rPr>
        <w:t>, mikä kertoo alueen strategisesta merkityksestä. EU:n toimielimet ovat toteuttaneet intensiivisiä tiedotuskampanjoita EU:n avun toimittamisesta sekä julkaisseet yhteisiä artikkeleita jäsenvaltioiden kanssa p</w:t>
      </w:r>
      <w:r w:rsidRPr="00010565">
        <w:rPr>
          <w:rFonts w:ascii="Times New Roman" w:hAnsi="Times New Roman" w:cs="Times New Roman"/>
          <w:noProof/>
          <w:sz w:val="24"/>
          <w:szCs w:val="24"/>
        </w:rPr>
        <w:t>aikan päällä, tukeneet ”pysy kotona”-kampanjoita ja edistäneet covid-19-tautia koskevien asiatietojen levittämistä.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Tässä yhteydessä yritykset vääristää tietoja kriisin alkuperästä ja sen ratkaisutoimista on torjuttava julkisesti ja voimakkaasti. Samalla o</w:t>
      </w:r>
      <w:r w:rsidRPr="00010565">
        <w:rPr>
          <w:rFonts w:ascii="Times New Roman" w:hAnsi="Times New Roman" w:cs="Times New Roman"/>
          <w:noProof/>
          <w:sz w:val="24"/>
          <w:szCs w:val="24"/>
        </w:rPr>
        <w:t>n tehostettava yhteistyötä sananvapauden ja tiedotusvälineiden vapauden ylläpitämiseksi.</w:t>
      </w:r>
    </w:p>
    <w:p w:rsidR="00E86E03" w:rsidRPr="00010565" w:rsidRDefault="00E86E03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E86E03" w:rsidRPr="00010565" w:rsidRDefault="00010565" w:rsidP="00010565">
      <w:pPr>
        <w:pStyle w:val="ListParagraph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83" w:hanging="482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/>
          <w:b/>
          <w:bCs/>
          <w:noProof/>
          <w:sz w:val="24"/>
          <w:szCs w:val="24"/>
        </w:rPr>
        <w:t xml:space="preserve">Covid-19:n jälkeen – elpymiseen tähtäävä talous- ja investointisuunnitelma </w:t>
      </w:r>
    </w:p>
    <w:p w:rsidR="00E86E03" w:rsidRPr="00010565" w:rsidRDefault="00010565" w:rsidP="00010565">
      <w:pPr>
        <w:pStyle w:val="FootnoteText"/>
        <w:spacing w:after="1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10565">
        <w:rPr>
          <w:rFonts w:ascii="Times New Roman" w:hAnsi="Times New Roman"/>
          <w:noProof/>
          <w:sz w:val="24"/>
          <w:szCs w:val="24"/>
        </w:rPr>
        <w:t xml:space="preserve">Länsi-Balkanin maat tarvitsevat jatkuvaa tukea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covid-19-kriisin seurauksista selviämiseen</w:t>
      </w:r>
      <w:r w:rsidRPr="00010565">
        <w:rPr>
          <w:rFonts w:ascii="Times New Roman" w:hAnsi="Times New Roman"/>
          <w:noProof/>
          <w:sz w:val="24"/>
          <w:szCs w:val="24"/>
        </w:rPr>
        <w:t>.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010565">
        <w:rPr>
          <w:rFonts w:ascii="Times New Roman" w:hAnsi="Times New Roman"/>
          <w:noProof/>
          <w:sz w:val="24"/>
          <w:szCs w:val="24"/>
        </w:rPr>
        <w:t xml:space="preserve">Kun covid-19-pandemian hillitsemiseksi toteuttavia välittömiä toimia kevennetään, aloitetaan uusi tiiviin yhteistyön vaihe kriisin rajujen sosioekonomisten vaikutusten lieventämiseksi. Euroopan komissio aikoo esittää myöhemmin tänä vuonna 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>aluetta koskevan</w:t>
      </w:r>
      <w:r w:rsidRPr="00010565">
        <w:rPr>
          <w:rFonts w:ascii="Times New Roman" w:hAnsi="Times New Roman"/>
          <w:b/>
          <w:bCs/>
          <w:noProof/>
          <w:sz w:val="24"/>
          <w:szCs w:val="24"/>
        </w:rPr>
        <w:t xml:space="preserve"> talous- ja investointiohjelman</w:t>
      </w:r>
      <w:r w:rsidRPr="00010565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Ohjelmaan sisältyy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merkittävä investointipaketti alueelle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. Komissio ehdotti 2. toukokuuta 2018 liittymistä valmistelevan tukivälineen (IPA III)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vuosien 2021–2027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kokonaismäärärahoiksi 14,5 miljardia euroa, joista suurin os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a on tarkoitus osoittaa Länsi-Balkanille. Komissio aikoo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kaksinkertaistaa avustusten myöntämisen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Länsi-Balkanin investointikehyksestä tukeakseen yksityisen sektorin kehittämistä, yhteenliitettävyyttä, digitalisaatiota, vihreää toimintaohjelmaa ja sosiaalis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ia investointeja. Suunnitelmassa tullaan esittämään myös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rahoitusvakuuksien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huomattavaa lisäämistä alueen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julkisten ja yksityisten investointien tukemiseksi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Länsi-Balkanin investointikehykseen kuuluvan erityisen takausvälineen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avulla.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Vihreä siirtymä ja d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igitalisaatio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ovat keskeisessä asemassa Länsi-Balkanin talouksien elvyttämisessä ja nykyaikaistamisessa. Investoiminen puhtaisiin ja digitaalisiin teknologioihin ja valmiuksiin yhdessä kiertotalouden kanssa auttaa luomaan työpaikkoja ja kasvua. Tukea annet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aan myös Länsi-Balkanin maiden talouksien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kilpailukyvyn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parantamiseen,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yhteyksien parantamiseen alueella ja EU:n kanssa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sekä Länsi-Balkanin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digitaalisen valmiuden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kehittämiseen.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Ihmisten hyväksi toimivaa taloutta tuetaan tekemällä yhteistyötä muun muassa s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euraavilla aloilla: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koulutus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</w:t>
      </w:r>
      <w:r w:rsidRPr="00010565">
        <w:rPr>
          <w:rFonts w:ascii="Times New Roman" w:hAnsi="Times New Roman" w:cs="Times New Roman"/>
          <w:b/>
          <w:noProof/>
          <w:sz w:val="24"/>
          <w:szCs w:val="24"/>
        </w:rPr>
        <w:t>terveydenhuolto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(varsinkin terveysjärjestelmien kestokyvyn kehittäminen), </w:t>
      </w:r>
      <w:r w:rsidRPr="00010565">
        <w:rPr>
          <w:rFonts w:ascii="Times New Roman" w:hAnsi="Times New Roman" w:cs="Times New Roman"/>
          <w:b/>
          <w:noProof/>
          <w:sz w:val="24"/>
          <w:szCs w:val="24"/>
        </w:rPr>
        <w:t>sosiaalinen suojelu ja osallisuus</w:t>
      </w:r>
      <w:r w:rsidRPr="00010565">
        <w:rPr>
          <w:rFonts w:ascii="Times New Roman" w:hAnsi="Times New Roman" w:cs="Times New Roman"/>
          <w:noProof/>
          <w:sz w:val="24"/>
          <w:szCs w:val="24"/>
        </w:rPr>
        <w:t>, yhtäläiset mahdollisuudet pääsy työmarkkinoille (varsinkin lisäämällä aktiivisten työvoimapolitiikkojen tarjontaa),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 w:cs="Times New Roman"/>
          <w:b/>
          <w:noProof/>
          <w:sz w:val="24"/>
          <w:szCs w:val="24"/>
        </w:rPr>
        <w:t>oikeudenmukaiset työolot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(muun muassa tukemalla työmarkkinaosapuolten vuoropuhelun vahvistamista) kulttuuri sekä tutkimus ja innovointi.</w:t>
      </w:r>
    </w:p>
    <w:p w:rsidR="00E86E03" w:rsidRPr="00010565" w:rsidRDefault="00010565" w:rsidP="0001056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Liikenne- ja energiayhteyksiin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kiinnitetään erityistä huomiota, sillä ne ovat ratkaisevan tärkeitä sekä Länsi-Balkanin että EU:n talouskehityksen kannalta. EU aikoo tänä vuonna ehdottaa 135 miljoonan euron pakettia</w:t>
      </w:r>
      <w:r w:rsidRPr="0001056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footnoteReference w:id="10"/>
      </w:r>
      <w:r w:rsidRPr="00010565">
        <w:rPr>
          <w:rFonts w:ascii="Times New Roman" w:hAnsi="Times New Roman" w:cs="Times New Roman"/>
          <w:noProof/>
          <w:sz w:val="24"/>
          <w:szCs w:val="24"/>
        </w:rPr>
        <w:t>, jolla rahoitetaan kuutta uutta infrastruktuuri-investointihanketta os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ana Länsi-Balkanin liitettävyysohjelmaa. Tällä rahoituksella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EU ylittää vuonna 2015 antamansa lupauksen tukea liitettävyysohjelmaa 1 miljardilla eurolla vuoteen 2020 mennessä</w:t>
      </w:r>
      <w:r w:rsidRPr="00010565">
        <w:rPr>
          <w:rFonts w:ascii="Times New Roman" w:hAnsi="Times New Roman" w:cs="Times New Roman"/>
          <w:noProof/>
          <w:sz w:val="24"/>
          <w:szCs w:val="24"/>
        </w:rPr>
        <w:t>. Näin saadaan aikaan lähes 4 miljardin euron vipuvaikutus 45 infrastruktuuri-inve</w:t>
      </w:r>
      <w:r w:rsidRPr="00010565">
        <w:rPr>
          <w:rFonts w:ascii="Times New Roman" w:hAnsi="Times New Roman" w:cs="Times New Roman"/>
          <w:noProof/>
          <w:sz w:val="24"/>
          <w:szCs w:val="24"/>
        </w:rPr>
        <w:t>stointiin, joiden avulla alue yhdistetään Euroopan laajuisen liikenneverkon (TEN-T) ensisijaisiin yhteyksiin, sekä yhteistä etua koskeviin energiayhteisön hankkeisiin. Aktiivinen alueellinen yhteistyö energiayhteisön ja keskisen Itä-Euroopan ja Kaakkois-Eu</w:t>
      </w:r>
      <w:r w:rsidRPr="00010565">
        <w:rPr>
          <w:rFonts w:ascii="Times New Roman" w:hAnsi="Times New Roman" w:cs="Times New Roman"/>
          <w:noProof/>
          <w:sz w:val="24"/>
          <w:szCs w:val="24"/>
        </w:rPr>
        <w:t>roopan energiayhteenliitäntähankkeen puitteissa antaa hyvän pohjan nopeuttaa investointeja näihin energiayhteyksiin sekä uusiutuvaa energiaa ja energiatehokkuutta koskeviin hankkeisiin.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EU kiinnittää jatkossakin erityistä huomiota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nuorten kohtaamiin haaste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isiin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, erityisesti työllistymismahdollisuuksiin, eriarvoisuuteen ja lahjakkaiden nuorten pitämiseen alueella </w:t>
      </w:r>
      <w:r w:rsidRPr="00010565">
        <w:rPr>
          <w:rFonts w:ascii="Times New Roman" w:hAnsi="Times New Roman" w:cs="Times New Roman"/>
          <w:b/>
          <w:noProof/>
          <w:sz w:val="24"/>
          <w:szCs w:val="24"/>
        </w:rPr>
        <w:t>aivovuoden torjumiseksi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sekä alueen </w:t>
      </w:r>
      <w:r w:rsidRPr="00010565">
        <w:rPr>
          <w:rFonts w:ascii="Times New Roman" w:hAnsi="Times New Roman" w:cs="Times New Roman"/>
          <w:b/>
          <w:noProof/>
          <w:sz w:val="24"/>
          <w:szCs w:val="24"/>
        </w:rPr>
        <w:t>muiden väestönkehitykseen liittyvien haasteiden ratkaisemiseksi</w:t>
      </w:r>
      <w:r w:rsidRPr="00010565">
        <w:rPr>
          <w:rFonts w:ascii="Times New Roman" w:hAnsi="Times New Roman" w:cs="Times New Roman"/>
          <w:noProof/>
          <w:sz w:val="24"/>
          <w:szCs w:val="24"/>
        </w:rPr>
        <w:t>.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Erasmus+ -ohjelman rahoitus alueella on kaksin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kertaistunut vuodesta 2018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(yli 65 miljoonaan euroon), ja samalla on kiinnitetty enemmän huomiota ammatilliseen koulutukseen. Digitaalisiin taitoihin sekä tutkimus- ja yrittäjyystaitoihin keskittymistä jatketaan tulevaisuudessa, jotta nuorilla olisi tarvit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tavat välineet menestyä taloudellisesti ja digitaaliajan ehdoin.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Covid-19-pandemia on nostanut vahvasti esiin EU:n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sisämarkkinoiden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moitteettoman toiminnan merkityksen keskeisenä tekijänä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vaurautemme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selviytymiskykymme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kannalta.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Se on tuonut korostetus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ti esiin myös EU:n ja Länsi-Balkanin talouksien välisen sekä alueen maiden keskinäisen vahvan sosioekonomisen riippuvuuden. Sen vuoksi on ratkaisevan tärkeää, että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Länsi-Balkanin maiden taloudet verkostoituvat tehokkaammin sekä keskenään että EU:n kanssa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Tämä edellyttää kaikilta Länsi-Balkanin kumppaneilta vahvempaa sitoutumista osallistavan alueellisen taloudellisen yhdentymisen syventämiseen ja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yhteisten alueellisen markkinoiden kehittämiseen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sovitulla tavalla EU:n säännöstön pohjalta ja EU:n sitoumuksia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noudattaen. Tämä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lisää alueen houkuttelevuutta investointikohteena</w:t>
      </w:r>
      <w:r w:rsidRPr="00010565">
        <w:rPr>
          <w:rFonts w:ascii="Times New Roman" w:hAnsi="Times New Roman" w:cs="Times New Roman"/>
          <w:noProof/>
          <w:sz w:val="24"/>
          <w:szCs w:val="24"/>
        </w:rPr>
        <w:t>.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Alueelliset järjestöt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– alueellinen yhteistyöneuvosto, liikenneyhteisö, energiayhteisö ja Keski-Euroopan vapaakauppa-alue – ovat tässä ratkaisevassa asemassa. EU:n rahoittamilla hankkeil</w:t>
      </w:r>
      <w:r w:rsidRPr="00010565">
        <w:rPr>
          <w:rFonts w:ascii="Times New Roman" w:hAnsi="Times New Roman" w:cs="Times New Roman"/>
          <w:noProof/>
          <w:sz w:val="24"/>
          <w:szCs w:val="24"/>
        </w:rPr>
        <w:t>la on myös ollut keskeinen rooli kaupan esteiden vähentämisessä.</w:t>
      </w:r>
      <w:r w:rsidRPr="0001056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/>
        </w:rPr>
        <w:footnoteReference w:id="11"/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Kaikilla näillä tukitoimenpiteillä on samat tavoitteet: tehdä Länsi-Balkanin maista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toimivia markkinatalouksia, jotka voivat integroitua täysin EU:n sisämarkkinoihin</w:t>
      </w:r>
      <w:r w:rsidRPr="00010565">
        <w:rPr>
          <w:rFonts w:ascii="Times New Roman" w:hAnsi="Times New Roman" w:cs="Times New Roman"/>
          <w:noProof/>
          <w:sz w:val="24"/>
          <w:szCs w:val="24"/>
        </w:rPr>
        <w:t>, parantaa liiketoiminta-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investointi-ilmapiiriä ja lisätä siten kauppavirtoja alueen sisällä ja EU:n kanssa</w:t>
      </w:r>
      <w:r w:rsidRPr="0001056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/>
        </w:rPr>
        <w:footnoteReference w:id="12"/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sekä luoda työpaikkoja ja mahdollisuuksia ja vähentää siten aivovuotoa alueelta. Nykyisen kriisin ei pidä antaa viedä huomiota keskeisistä rakenteellisista heikkouksist</w:t>
      </w:r>
      <w:r w:rsidRPr="00010565">
        <w:rPr>
          <w:rFonts w:ascii="Times New Roman" w:hAnsi="Times New Roman" w:cs="Times New Roman"/>
          <w:noProof/>
          <w:sz w:val="24"/>
          <w:szCs w:val="24"/>
        </w:rPr>
        <w:t>a, kuten korkeasta työttömyydestä (erityisesti nuorten osalta) ja vähäisestä osallistumisesta työmarkkinoille (erityisesti naisten osalta), työvoiman kysynnän ja tarjonnan epäsuhtaisuudesta, riittämättömästä sosiaalisesta suojelusta, maatalouden heikosta 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uottavuudesta ja kilpailukyvystä sekä yksipuolisesta energiahuollosta ja heikosta energiatehokkuudesta. Kumppaneiden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talousuudistusohjelmiin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perustuva vakiintunut talous- ja rahoitusasioita koskeva vuoropuhelu on edelleen tärkeä makrotaloudellisia ja raken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teellisia uudistuksia ohjaava ja tukeva kehys.  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Talous- ja investointisuunnitelman tavoitteena on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vauhdittaa pitkän aikavälin elpymistä</w:t>
      </w:r>
      <w:r w:rsidRPr="00010565">
        <w:rPr>
          <w:rFonts w:ascii="Times New Roman" w:hAnsi="Times New Roman" w:cs="Times New Roman"/>
          <w:noProof/>
          <w:sz w:val="24"/>
          <w:szCs w:val="24"/>
        </w:rPr>
        <w:t>, edistää talouskasvua ja tukea uudistuksia, joita tarvitaan etenemisessä kohti EU-jäsenyyttä. Talous- ja investointisu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unnitelman pohjana on Euroopan komission omaa työtään varten vuosiksi 2019–2024 asettamat painopisteet, ja se on niiden mukainen. </w:t>
      </w:r>
    </w:p>
    <w:p w:rsidR="00E86E03" w:rsidRPr="00010565" w:rsidRDefault="00E86E03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86E03" w:rsidRPr="00010565" w:rsidRDefault="00010565" w:rsidP="00010565">
      <w:pPr>
        <w:pStyle w:val="ListParagraph"/>
        <w:keepNext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83" w:hanging="482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/>
          <w:b/>
          <w:bCs/>
          <w:noProof/>
          <w:sz w:val="24"/>
          <w:szCs w:val="24"/>
        </w:rPr>
        <w:t xml:space="preserve">Perustavanlaatuisten uudistusten toteuttaminen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Nykyisestä kriisistä toipuminen onnistuu tehokkaasti vain, jos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maat jatkavat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uudistussitoumustensa täyttämistä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ja saavat aikaan konkreettisia tuloksia niiden täytäntöönpanossa. Tämä on avainasemassa niiden jäsenyysnäkymien toteutumisessa. Jatkuvien talousuudistusten lisäksi se edellyttää vahvaa keskittymistä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oikeusvaltioperiaattee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seen, demokraattisten instituutioiden toimintaan ja julkishallintoon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Oikeusvaltion lujittaminen kaikilta osin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on ratkaisevan tärkeää. Se edellyttää riippumatonta ja tehokasta oikeuslaitosta, vakuuttavia tuloksia korruption, järjestäytyneen rikollisuuden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ja terrorismin torjunnassa sekä perusoikeuksien tehokasta suojelua, sananvapaus ja tiedotusvälineiden vapaus mukaan lukien. Tarkemmin sanottuna on ensiarvoisen tärkeää, että kriisin aikana toteutetut hätätoimenpiteet eivät ole perusperiaatteiden ja -arvoje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n vastaisia ja että tällaiset toimenpiteet pysyvät oikeasuhteisina, ajallisesti rajoitettuina ja demokraattisen valvonnan alaisina.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>Jo tehtävän yhteistyön pohjalta on erittäin tärkeää varmistaa aktiivisen osallistumisen jatkuminen yhteisillä ja yhteisesti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sovituilla toimilla, jotka liittyvät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turvallisuuteen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, kuten rahanpesun ja terrorismin rahoituksen torjunta, sekä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muuttoliikkeeseen ja rajaturvallisuuteen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>.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Demokraattisten instituutioiden kehittäminen ja osallistavammat demokraattiset prosessit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ovat edelle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en keskeisiä painopisteitä. 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Julkishallinnon uudistaminen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 on erittäin tärkeää hallinnon parantamiseksi kaikilla tasoilla.</w:t>
      </w: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Tähän sisältyy avoimuuden ja vastuuvelvollisuuden lisääminen, moitteeton julkinen varainhoito ja ammattitaitoisempi hallinto. Edellä ma</w:t>
      </w:r>
      <w:r w:rsidRPr="00010565">
        <w:rPr>
          <w:rFonts w:ascii="Times New Roman" w:hAnsi="Times New Roman" w:cs="Times New Roman"/>
          <w:noProof/>
          <w:sz w:val="24"/>
          <w:szCs w:val="24"/>
        </w:rPr>
        <w:t>initut seikat muodostavat yhdessä perustan talouden kestävälle elpymiselle.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>Komissio on edelleen vakaasti sitoutunut tukemaan Länsi-Balkanin aluetta näiden uudistusten toteuttamisessa. Lisätoimenpiteitä esitetään myöhemmin tänä vuonna annettavassa komissio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n tiedonannossa.  </w:t>
      </w:r>
    </w:p>
    <w:p w:rsidR="00E86E03" w:rsidRPr="00010565" w:rsidRDefault="00010565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Covid-19-kriisi koettelee solidaarisuuttamme ja päättäväisyyttämme, mutta se on myös osoittanut vahvasti, että pystymme tiiviimpään yhteistyöhön eurooppalaisina, joilla on yhteinen kohtalo.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Tiedostamme tässä yhteydessä, että Länsi-Balkan</w:t>
      </w:r>
      <w:r w:rsidRPr="00010565">
        <w:rPr>
          <w:rFonts w:ascii="Times New Roman" w:hAnsi="Times New Roman" w:cs="Times New Roman"/>
          <w:noProof/>
          <w:sz w:val="24"/>
          <w:szCs w:val="24"/>
        </w:rPr>
        <w:t xml:space="preserve">in kumppaneiden pitää löytää paikkansa tulevassa Euroopan tulevaisuutta koskevassa pohdintaprosessissa. </w:t>
      </w:r>
      <w:r w:rsidRPr="00010565">
        <w:rPr>
          <w:rFonts w:ascii="Times New Roman" w:hAnsi="Times New Roman" w:cs="Times New Roman"/>
          <w:noProof/>
          <w:sz w:val="24"/>
          <w:szCs w:val="24"/>
        </w:rPr>
        <w:t>Yhdessä selviämme kriisistä ja aloitamme elvytystoimet. Vahvistamme yhteistyötämme entisestään, jotta voimme auttaa kumppaneitamme täyttämään EU:n jäsen</w:t>
      </w:r>
      <w:r w:rsidRPr="00010565">
        <w:rPr>
          <w:rFonts w:ascii="Times New Roman" w:hAnsi="Times New Roman" w:cs="Times New Roman"/>
          <w:noProof/>
          <w:sz w:val="24"/>
          <w:szCs w:val="24"/>
        </w:rPr>
        <w:t>yysvaatimukset.</w:t>
      </w:r>
    </w:p>
    <w:p w:rsidR="00E86E03" w:rsidRPr="00010565" w:rsidRDefault="00E86E03" w:rsidP="00010565">
      <w:pPr>
        <w:pStyle w:val="Body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86E03" w:rsidRPr="00010565" w:rsidRDefault="00010565" w:rsidP="00010565">
      <w:pPr>
        <w:pStyle w:val="Body"/>
        <w:spacing w:after="12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10565">
        <w:rPr>
          <w:rFonts w:ascii="Times New Roman" w:hAnsi="Times New Roman" w:cs="Times New Roman"/>
          <w:b/>
          <w:bCs/>
          <w:noProof/>
          <w:sz w:val="24"/>
          <w:szCs w:val="24"/>
        </w:rPr>
        <w:t>**</w:t>
      </w:r>
    </w:p>
    <w:p w:rsidR="00E86E03" w:rsidRPr="00010565" w:rsidRDefault="00E86E03" w:rsidP="00010565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sectPr w:rsidR="00E86E03" w:rsidRPr="000105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03" w:rsidRDefault="00010565">
      <w:pPr>
        <w:spacing w:after="0" w:line="240" w:lineRule="auto"/>
      </w:pPr>
      <w:r>
        <w:separator/>
      </w:r>
    </w:p>
  </w:endnote>
  <w:endnote w:type="continuationSeparator" w:id="0">
    <w:p w:rsidR="00E86E03" w:rsidRDefault="00010565">
      <w:pPr>
        <w:spacing w:after="0" w:line="240" w:lineRule="auto"/>
      </w:pPr>
      <w:r>
        <w:continuationSeparator/>
      </w:r>
    </w:p>
  </w:endnote>
  <w:endnote w:type="continuationNotice" w:id="1">
    <w:p w:rsidR="00E86E03" w:rsidRDefault="00E86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010565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010565">
    <w:pPr>
      <w:pStyle w:val="Footer"/>
      <w:tabs>
        <w:tab w:val="clear" w:pos="9360"/>
        <w:tab w:val="right" w:pos="9046"/>
      </w:tabs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03" w:rsidRDefault="00010565">
      <w:pPr>
        <w:spacing w:after="0" w:line="240" w:lineRule="auto"/>
      </w:pPr>
      <w:r>
        <w:separator/>
      </w:r>
    </w:p>
  </w:footnote>
  <w:footnote w:type="continuationSeparator" w:id="0">
    <w:p w:rsidR="00E86E03" w:rsidRDefault="00010565">
      <w:pPr>
        <w:spacing w:after="0" w:line="240" w:lineRule="auto"/>
      </w:pPr>
      <w:r>
        <w:continuationSeparator/>
      </w:r>
    </w:p>
  </w:footnote>
  <w:footnote w:type="continuationNotice" w:id="1">
    <w:p w:rsidR="00E86E03" w:rsidRDefault="00E86E03">
      <w:pPr>
        <w:spacing w:after="0" w:line="240" w:lineRule="auto"/>
      </w:pPr>
    </w:p>
  </w:footnote>
  <w:footnote w:id="2">
    <w:p w:rsidR="00E86E03" w:rsidRDefault="00010565">
      <w:pPr>
        <w:pStyle w:val="FootnoteText"/>
        <w:jc w:val="both"/>
      </w:pPr>
      <w:r>
        <w:rPr>
          <w:rFonts w:ascii="Times New Roman" w:eastAsia="Times New Roman" w:hAnsi="Times New Roman"/>
          <w:b/>
          <w:bCs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Komission tiedonanto </w:t>
      </w:r>
      <w:r>
        <w:rPr>
          <w:rFonts w:ascii="Times New Roman" w:hAnsi="Times New Roman"/>
          <w:i/>
          <w:iCs/>
        </w:rPr>
        <w:t>”Liittymisprosessin tehostaminen – Uskottavat jäsenyysnäkymät Länsi-Balkanin maille”</w:t>
      </w:r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Hyperlink0"/>
            <w:rFonts w:eastAsia="Calibri"/>
          </w:rPr>
          <w:t>COM(2020) 57 final</w:t>
        </w:r>
      </w:hyperlink>
      <w:r>
        <w:t>.</w:t>
      </w:r>
    </w:p>
  </w:footnote>
  <w:footnote w:id="3">
    <w:p w:rsidR="00E86E03" w:rsidRDefault="00010565">
      <w:pPr>
        <w:pStyle w:val="FootnoteText"/>
      </w:pPr>
      <w:r>
        <w:rPr>
          <w:rFonts w:ascii="Times New Roman" w:eastAsia="Times New Roman" w:hAnsi="Times New Roman"/>
          <w:b/>
          <w:bCs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Nykyisen monivuotisen maaohjelman (2014–2020) puitteissa myönnetty rahoitus.</w:t>
      </w:r>
    </w:p>
  </w:footnote>
  <w:footnote w:id="4">
    <w:p w:rsidR="00E86E03" w:rsidRDefault="00010565">
      <w:pPr>
        <w:pStyle w:val="FootnoteText"/>
      </w:pPr>
      <w:r>
        <w:rPr>
          <w:rFonts w:ascii="Times New Roman" w:eastAsia="Times New Roman" w:hAnsi="Times New Roman"/>
          <w:b/>
          <w:bCs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Nykyisiä IPA-tukiohjelmia mukautetaan ja </w:t>
      </w:r>
      <w:r>
        <w:rPr>
          <w:rFonts w:ascii="Times New Roman" w:hAnsi="Times New Roman"/>
        </w:rPr>
        <w:t>nopeutetaan, esimerkiksi liittymistä valmistelevaa tukivälinettä maaseudun kehittämiseen (IPARD) ja EU:n ja Länsi-Balkanin rajatylittävään yhteistyöhön (REGIO).</w:t>
      </w:r>
    </w:p>
  </w:footnote>
  <w:footnote w:id="5">
    <w:p w:rsidR="00E86E03" w:rsidRDefault="00010565">
      <w:pPr>
        <w:pStyle w:val="FootnoteText"/>
        <w:jc w:val="both"/>
      </w:pPr>
      <w:r>
        <w:rPr>
          <w:rFonts w:ascii="Times New Roman" w:eastAsia="Times New Roman" w:hAnsi="Times New Roman"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EU rahoituksella toimitetaan noin 95 000 covid-19-testiä, 500 sairaalasänkyä, 450 hengityskon</w:t>
      </w:r>
      <w:r>
        <w:rPr>
          <w:rFonts w:ascii="Times New Roman" w:hAnsi="Times New Roman"/>
        </w:rPr>
        <w:t>etta, 100 tehohoidon valvontalaitetta, 100 potilasluokittelukonttia, 10 ambulanssia ja yli 4,5 miljoonaa kappaletta henkilönsuojaimia sekä satoja lääkinnällisiä laitteita (kuten röntgenlaitteita, elektrokardiogrammeja, tietokonetomografialaitteita ja infuu</w:t>
      </w:r>
      <w:r>
        <w:rPr>
          <w:rFonts w:ascii="Times New Roman" w:hAnsi="Times New Roman"/>
        </w:rPr>
        <w:t xml:space="preserve">siopumppuja) ja tuhansittain muita tarvikkeita (kuten lämpömittareita, katetreja, putkia, injektioruiskuja ja hengityssuojaimia). EU maksoi myös 16 kaukolentoa, joilla kuljetettiin 750 tonnia muista lähteistä hankittuja lääkintätarvikkeita. </w:t>
      </w:r>
    </w:p>
  </w:footnote>
  <w:footnote w:id="6">
    <w:p w:rsidR="00E86E03" w:rsidRDefault="00010565">
      <w:pPr>
        <w:pStyle w:val="FootnoteText"/>
        <w:jc w:val="both"/>
      </w:pPr>
      <w:r>
        <w:rPr>
          <w:rFonts w:ascii="Times New Roman" w:eastAsia="Times New Roman" w:hAnsi="Times New Roman"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Ehdotus Euro</w:t>
      </w:r>
      <w:r>
        <w:rPr>
          <w:rFonts w:ascii="Times New Roman" w:hAnsi="Times New Roman"/>
        </w:rPr>
        <w:t>opan parlamentin ja neuvoston päätökseksi makrotaloudellisen rahoitusavun myöntämisestä laajentumis- ja naapuruuskumppaneille covid-19-pandemiakriisin yhteydessä, 2020/0065(COD), 22. huhtikuuta 2020.</w:t>
      </w:r>
    </w:p>
  </w:footnote>
  <w:footnote w:id="7">
    <w:p w:rsidR="00E86E03" w:rsidRDefault="00010565">
      <w:pPr>
        <w:pStyle w:val="FootnoteText"/>
        <w:jc w:val="both"/>
      </w:pPr>
      <w:r>
        <w:rPr>
          <w:rFonts w:ascii="Times New Roman" w:eastAsia="Times New Roman" w:hAnsi="Times New Roman"/>
          <w:b/>
          <w:bCs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Tiedonanto EU:n maailmanlaajuisista koronavirustoimist</w:t>
      </w:r>
      <w:r>
        <w:rPr>
          <w:rFonts w:ascii="Times New Roman" w:hAnsi="Times New Roman"/>
        </w:rPr>
        <w:t>a (JOIN(2020)11 final), 8.4.2020.</w:t>
      </w:r>
    </w:p>
  </w:footnote>
  <w:footnote w:id="8">
    <w:p w:rsidR="00E86E03" w:rsidRDefault="00010565">
      <w:pPr>
        <w:pStyle w:val="NormalWeb"/>
        <w:jc w:val="both"/>
      </w:pPr>
      <w:r>
        <w:rPr>
          <w:sz w:val="20"/>
          <w:szCs w:val="20"/>
          <w:vertAlign w:val="superscript"/>
          <w:lang w:val="en-US"/>
        </w:rPr>
        <w:footnoteRef/>
      </w:r>
      <w:r>
        <w:rPr>
          <w:sz w:val="20"/>
          <w:szCs w:val="20"/>
        </w:rPr>
        <w:t xml:space="preserve"> Komission täytäntöönpanoasetus (EU) 2020/568, annettu 23 päivänä huhtikuuta 2020, vientiluvan edellyttämisestä tiettyjen tuotteiden viennissä (EUVL L 129, 24.4.2020).</w:t>
      </w:r>
    </w:p>
  </w:footnote>
  <w:footnote w:id="9">
    <w:p w:rsidR="00E86E03" w:rsidRDefault="00010565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C(2020) 2050 final.</w:t>
      </w:r>
    </w:p>
  </w:footnote>
  <w:footnote w:id="10">
    <w:p w:rsidR="00E86E03" w:rsidRDefault="00010565">
      <w:pPr>
        <w:pStyle w:val="FootnoteText"/>
        <w:jc w:val="both"/>
      </w:pPr>
      <w:r>
        <w:rPr>
          <w:rFonts w:ascii="Times New Roman" w:eastAsia="Times New Roman" w:hAnsi="Times New Roman"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Lisäksi Länsi-Balkanin invest</w:t>
      </w:r>
      <w:r>
        <w:rPr>
          <w:rFonts w:ascii="Times New Roman" w:hAnsi="Times New Roman"/>
        </w:rPr>
        <w:t>ointikehyksen (WBIF) puitteissa myönnetään 65 miljoonaa euroa hankkeiden valmisteluun ja täytäntöönpanoon. Näin ollen EU:n rahoitus vuoden 2020 verkkoyhteyspaketissa nousee 200 miljoonaan euroon.</w:t>
      </w:r>
    </w:p>
  </w:footnote>
  <w:footnote w:id="11">
    <w:p w:rsidR="00E86E03" w:rsidRDefault="00010565">
      <w:pPr>
        <w:pStyle w:val="FootnoteText"/>
        <w:jc w:val="both"/>
      </w:pPr>
      <w:r>
        <w:rPr>
          <w:rFonts w:ascii="Times New Roman" w:eastAsia="Times New Roman" w:hAnsi="Times New Roman"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Esimerkiksi valmisteverotietojen vaihtojärjestelmää parann</w:t>
      </w:r>
      <w:r>
        <w:rPr>
          <w:rFonts w:ascii="Times New Roman" w:hAnsi="Times New Roman"/>
        </w:rPr>
        <w:t>ettiin, jotta voitiin varmistaa olennaisia tavaroita kuljettavien rekkojen varhainen sähköinen tunnistaminen. Tiedot välittyvät rajanylityspaikoille, jolloin rekat voivat ylittää rajan vihreitä kaistoja pitkin.</w:t>
      </w:r>
    </w:p>
  </w:footnote>
  <w:footnote w:id="12">
    <w:p w:rsidR="00E86E03" w:rsidRDefault="00010565">
      <w:pPr>
        <w:pStyle w:val="FootnoteTex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vertAlign w:val="superscript"/>
          <w:lang w:val="en-US"/>
        </w:rPr>
        <w:footnoteRef/>
      </w:r>
      <w:r>
        <w:rPr>
          <w:rFonts w:ascii="Times New Roman" w:hAnsi="Times New Roman"/>
        </w:rPr>
        <w:t xml:space="preserve"> Tältä osin komissio ehdotti 3. huhtikuuta, että EU:n Länsi-Balkanin maille myöntämien yksipuolisten kaupan toimenpiteiden voimassaoloa jatkettaisiin 5 vuodella vuoden 2025 loppuun (COM (2020) 135 final </w:t>
      </w:r>
    </w:p>
    <w:p w:rsidR="00E86E03" w:rsidRDefault="00010565">
      <w:pPr>
        <w:pStyle w:val="FootnoteText"/>
      </w:pPr>
      <w:r>
        <w:rPr>
          <w:rFonts w:ascii="Times New Roman" w:hAnsi="Times New Roman"/>
        </w:rPr>
        <w:t xml:space="preserve">2020/0051 (COD)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Header"/>
      <w:tabs>
        <w:tab w:val="clear" w:pos="9360"/>
        <w:tab w:val="right" w:pos="9046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03" w:rsidRDefault="00E86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03D"/>
    <w:multiLevelType w:val="hybridMultilevel"/>
    <w:tmpl w:val="50DA3C46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8C6320"/>
    <w:multiLevelType w:val="hybridMultilevel"/>
    <w:tmpl w:val="34CCDB36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51692"/>
    <w:multiLevelType w:val="hybridMultilevel"/>
    <w:tmpl w:val="6628A694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B156DC"/>
    <w:multiLevelType w:val="hybridMultilevel"/>
    <w:tmpl w:val="1A942A5A"/>
    <w:lvl w:ilvl="0" w:tplc="080C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41F9"/>
    <w:multiLevelType w:val="hybridMultilevel"/>
    <w:tmpl w:val="80584BB8"/>
    <w:lvl w:ilvl="0" w:tplc="FDEE4844">
      <w:start w:val="1"/>
      <w:numFmt w:val="bullet"/>
      <w:lvlText w:val="-"/>
      <w:lvlJc w:val="left"/>
      <w:pPr>
        <w:ind w:left="675" w:hanging="67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B3A38"/>
    <w:multiLevelType w:val="hybridMultilevel"/>
    <w:tmpl w:val="E430A882"/>
    <w:lvl w:ilvl="0" w:tplc="C77EC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57F"/>
    <w:multiLevelType w:val="hybridMultilevel"/>
    <w:tmpl w:val="328E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502D"/>
    <w:multiLevelType w:val="hybridMultilevel"/>
    <w:tmpl w:val="A41C6E94"/>
    <w:numStyleLink w:val="ImportedStyle1"/>
  </w:abstractNum>
  <w:abstractNum w:abstractNumId="8" w15:restartNumberingAfterBreak="0">
    <w:nsid w:val="2F000009"/>
    <w:multiLevelType w:val="hybridMultilevel"/>
    <w:tmpl w:val="34B116FA"/>
    <w:lvl w:ilvl="0" w:tplc="D922A03E">
      <w:start w:val="1"/>
      <w:numFmt w:val="bullet"/>
      <w:lvlText w:val="Ø"/>
      <w:lvlJc w:val="left"/>
      <w:pPr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696803E">
      <w:start w:val="1"/>
      <w:numFmt w:val="bullet"/>
      <w:lvlText w:val="Ø"/>
      <w:lvlJc w:val="left"/>
      <w:pPr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7F4BE3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548F6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760CF8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A2AF56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B0CC49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37A2DE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8A2E6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2F000026"/>
    <w:multiLevelType w:val="hybridMultilevel"/>
    <w:tmpl w:val="43EE3B82"/>
    <w:lvl w:ilvl="0" w:tplc="FEE2DBB8">
      <w:start w:val="15"/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B55C1D7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B2C698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FCB00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BB254B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B045024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7F4F9F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2F609A0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A4740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2F000030"/>
    <w:multiLevelType w:val="hybridMultilevel"/>
    <w:tmpl w:val="1F34BE0E"/>
    <w:lvl w:ilvl="0" w:tplc="246A393C">
      <w:start w:val="1"/>
      <w:numFmt w:val="bullet"/>
      <w:lvlText w:val="Ø"/>
      <w:lvlJc w:val="left"/>
      <w:pPr>
        <w:ind w:left="592" w:hanging="400"/>
        <w:jc w:val="both"/>
      </w:pPr>
      <w:rPr>
        <w:rFonts w:ascii="Wingdings" w:eastAsia="Wingdings" w:hAnsi="Wingdings"/>
        <w:b w:val="0"/>
        <w:w w:val="100"/>
        <w:sz w:val="24"/>
        <w:szCs w:val="24"/>
        <w:u w:val="none"/>
        <w:shd w:val="clear" w:color="auto" w:fill="auto"/>
      </w:rPr>
    </w:lvl>
    <w:lvl w:ilvl="1" w:tplc="118EBD14">
      <w:start w:val="1"/>
      <w:numFmt w:val="bullet"/>
      <w:lvlText w:val="n"/>
      <w:lvlJc w:val="left"/>
      <w:pPr>
        <w:ind w:left="9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5104660A">
      <w:start w:val="1"/>
      <w:numFmt w:val="bullet"/>
      <w:lvlText w:val="u"/>
      <w:lvlJc w:val="left"/>
      <w:pPr>
        <w:ind w:left="13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2E686DC">
      <w:start w:val="1"/>
      <w:numFmt w:val="bullet"/>
      <w:lvlText w:val="Ø"/>
      <w:lvlJc w:val="left"/>
      <w:pPr>
        <w:ind w:left="17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17603B6">
      <w:start w:val="1"/>
      <w:numFmt w:val="bullet"/>
      <w:lvlText w:val="n"/>
      <w:lvlJc w:val="left"/>
      <w:pPr>
        <w:ind w:left="21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CC88D5E">
      <w:start w:val="1"/>
      <w:numFmt w:val="bullet"/>
      <w:lvlText w:val="u"/>
      <w:lvlJc w:val="left"/>
      <w:pPr>
        <w:ind w:left="25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39839E8">
      <w:start w:val="1"/>
      <w:numFmt w:val="bullet"/>
      <w:lvlText w:val="Ø"/>
      <w:lvlJc w:val="left"/>
      <w:pPr>
        <w:ind w:left="29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3442810">
      <w:start w:val="1"/>
      <w:numFmt w:val="bullet"/>
      <w:lvlText w:val="n"/>
      <w:lvlJc w:val="left"/>
      <w:pPr>
        <w:ind w:left="33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59CFE62">
      <w:start w:val="1"/>
      <w:numFmt w:val="bullet"/>
      <w:lvlText w:val="u"/>
      <w:lvlJc w:val="left"/>
      <w:pPr>
        <w:ind w:left="3792" w:hanging="40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3162379A"/>
    <w:multiLevelType w:val="hybridMultilevel"/>
    <w:tmpl w:val="839A3770"/>
    <w:lvl w:ilvl="0" w:tplc="FDEE48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0EBD"/>
    <w:multiLevelType w:val="hybridMultilevel"/>
    <w:tmpl w:val="215C1B9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751E2"/>
    <w:multiLevelType w:val="hybridMultilevel"/>
    <w:tmpl w:val="29B8FF8C"/>
    <w:lvl w:ilvl="0" w:tplc="FDEE484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F7D93"/>
    <w:multiLevelType w:val="hybridMultilevel"/>
    <w:tmpl w:val="C7CEC9F4"/>
    <w:lvl w:ilvl="0" w:tplc="FDEE484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E902D2"/>
    <w:multiLevelType w:val="hybridMultilevel"/>
    <w:tmpl w:val="C0061EF4"/>
    <w:lvl w:ilvl="0" w:tplc="C680B46C">
      <w:start w:val="1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7C0670"/>
    <w:multiLevelType w:val="hybridMultilevel"/>
    <w:tmpl w:val="5B6A7AE0"/>
    <w:lvl w:ilvl="0" w:tplc="FDEE48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50132"/>
    <w:multiLevelType w:val="hybridMultilevel"/>
    <w:tmpl w:val="2DC07B7E"/>
    <w:lvl w:ilvl="0" w:tplc="FDEE48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62244"/>
    <w:multiLevelType w:val="hybridMultilevel"/>
    <w:tmpl w:val="A41C6E94"/>
    <w:styleLink w:val="ImportedStyle1"/>
    <w:lvl w:ilvl="0" w:tplc="826AB56E">
      <w:start w:val="1"/>
      <w:numFmt w:val="upperRoman"/>
      <w:lvlText w:val="%1."/>
      <w:lvlJc w:val="left"/>
      <w:pPr>
        <w:ind w:left="7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F62A8C">
      <w:start w:val="1"/>
      <w:numFmt w:val="lowerLetter"/>
      <w:lvlText w:val="%2."/>
      <w:lvlJc w:val="left"/>
      <w:pPr>
        <w:ind w:left="1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6F396">
      <w:start w:val="1"/>
      <w:numFmt w:val="lowerRoman"/>
      <w:lvlText w:val="%3."/>
      <w:lvlJc w:val="left"/>
      <w:pPr>
        <w:ind w:left="22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852DE">
      <w:start w:val="1"/>
      <w:numFmt w:val="decimal"/>
      <w:lvlText w:val="%4."/>
      <w:lvlJc w:val="left"/>
      <w:pPr>
        <w:ind w:left="2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C4E04">
      <w:start w:val="1"/>
      <w:numFmt w:val="lowerLetter"/>
      <w:lvlText w:val="%5."/>
      <w:lvlJc w:val="left"/>
      <w:pPr>
        <w:ind w:left="3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F178">
      <w:start w:val="1"/>
      <w:numFmt w:val="lowerRoman"/>
      <w:lvlText w:val="%6."/>
      <w:lvlJc w:val="left"/>
      <w:pPr>
        <w:ind w:left="4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01B84">
      <w:start w:val="1"/>
      <w:numFmt w:val="decimal"/>
      <w:lvlText w:val="%7."/>
      <w:lvlJc w:val="left"/>
      <w:pPr>
        <w:ind w:left="5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A7C1E">
      <w:start w:val="1"/>
      <w:numFmt w:val="lowerLetter"/>
      <w:lvlText w:val="%8."/>
      <w:lvlJc w:val="left"/>
      <w:pPr>
        <w:ind w:left="5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C45F8">
      <w:start w:val="1"/>
      <w:numFmt w:val="lowerRoman"/>
      <w:lvlText w:val="%9."/>
      <w:lvlJc w:val="left"/>
      <w:pPr>
        <w:ind w:left="6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8105DE"/>
    <w:multiLevelType w:val="hybridMultilevel"/>
    <w:tmpl w:val="85989ECE"/>
    <w:lvl w:ilvl="0" w:tplc="FDEE48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19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fi-FI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75002C6-4518-464E-8C6A-2F9E50D7AABA"/>
    <w:docVar w:name="LW_COVERPAGE_TYPE" w:val="1"/>
    <w:docVar w:name="LW_CROSSREFERENCE" w:val="&lt;UNUSED&gt;"/>
    <w:docVar w:name="LW_DocType" w:val="NORMAL"/>
    <w:docVar w:name="LW_EMISSION" w:val="29.4.2020"/>
    <w:docVar w:name="LW_EMISSION_ISODATE" w:val="2020-04-29"/>
    <w:docVar w:name="LW_EMISSION_LOCATION" w:val="BRX"/>
    <w:docVar w:name="LW_EMISSION_PREFIX" w:val="Bryssel "/>
    <w:docVar w:name="LW_EMISSION_SUFFIX" w:val=" "/>
    <w:docVar w:name="LW_ID_DOCTYPE_NONLW" w:val="CP-014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31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Länsi-Balkanin tukemisesta covid-19:n torjunnassa ja pandemian jälkeisessä elpymisessä_x000d__x000d__x000d__x000b__x000d__x000d__x000d__x000b_Komission panos 6. toukokuuta 2020 järjestettävään EU:n ja Länsi-Balkanin johtajien kokoukseen"/>
    <w:docVar w:name="LW_TYPE.DOC.CP" w:val="KOMISSION TIEDONANTO EUROOPAN PARLAMENTILLE, NEUVOSTOLLE, EUROOPAN TALOUS- JA SOSIAALIKOMITEALLE JA ALUEIDEN KOMITEALLE"/>
    <w:docVar w:name="LW_TYPE.DOC.CP.USERTEXT" w:val="&lt;EMPTY&gt;"/>
  </w:docVars>
  <w:rsids>
    <w:rsidRoot w:val="00E86E03"/>
    <w:rsid w:val="00010565"/>
    <w:rsid w:val="00E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C4269AE-6B4A-4C52-94BA-E21F832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paragraph" w:styleId="ListParagraph">
    <w:name w:val="List Paragraph"/>
    <w:aliases w:val="Table/Figure Heading,Colorful List - Accent 11,Dot pt,F5 List Paragraph,List Paragraph1,No Spacing1,List Paragraph Char Char Char,Indicator Text,Numbered Para 1,Bullet 1,Bullet Points,MAIN CONTENT,List Paragraph11,List Paragraph12,L,Ha"/>
    <w:basedOn w:val="Normal"/>
    <w:link w:val="ListParagraphChar"/>
    <w:qFormat/>
    <w:pPr>
      <w:spacing w:after="0" w:line="240" w:lineRule="auto"/>
      <w:ind w:left="720"/>
    </w:pPr>
    <w:rPr>
      <w:rFonts w:ascii="Calibri" w:eastAsia="Calibri" w:hAnsi="Calibri" w:cs="Times New Roman"/>
      <w:lang w:eastAsia="fr-BE"/>
    </w:r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Times New Roman"/>
      <w:sz w:val="20"/>
      <w:szCs w:val="20"/>
      <w:lang w:val="fi-FI" w:eastAsia="fr-BE"/>
    </w:rPr>
  </w:style>
  <w:style w:type="character" w:styleId="FootnoteReference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Footnote#,n,Nota"/>
    <w:basedOn w:val="DefaultParagraphFont"/>
    <w:link w:val="FootnotesymbolCarZchn"/>
    <w:uiPriority w:val="99"/>
    <w:unhideWhenUsed/>
    <w:qFormat/>
    <w:rPr>
      <w:w w:val="100"/>
      <w:sz w:val="20"/>
      <w:szCs w:val="20"/>
      <w:shd w:val="clear" w:color="auto" w:fil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fi-FI" w:eastAsia="fr-BE"/>
    </w:rPr>
  </w:style>
  <w:style w:type="paragraph" w:styleId="NormalWeb">
    <w:name w:val="Normal (Web)"/>
    <w:basedOn w:val="Normal"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ListParagraphChar">
    <w:name w:val="List Paragraph Char"/>
    <w:aliases w:val="Table/Figure Heading Char,Colorful List - Accent 11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qFormat/>
    <w:rPr>
      <w:rFonts w:ascii="Calibri" w:eastAsia="Calibri" w:hAnsi="Calibri" w:cs="Times New Roman"/>
      <w:lang w:val="fi-FI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  <w:lang w:val="fi-FI" w:eastAsia="fr-B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pPr>
      <w:spacing w:after="160" w:line="240" w:lineRule="exact"/>
      <w:jc w:val="both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9"/>
      </w:numPr>
    </w:pPr>
  </w:style>
  <w:style w:type="character" w:customStyle="1" w:styleId="Hyperlink0">
    <w:name w:val="Hyperlink.0"/>
    <w:basedOn w:val="DefaultParagraphFont"/>
    <w:rPr>
      <w:rFonts w:ascii="Times New Roman" w:eastAsia="Times New Roman" w:hAnsi="Times New Roman" w:cs="Times New Roman"/>
      <w:color w:val="0000FF"/>
      <w:u w:val="single" w:color="0000FF"/>
      <w:lang w:val="fi-FI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FI/TXT/PDF/?uri=CELEX:52020DC0057&amp;qid=1588575010915&amp;from=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CF63-0AD4-452C-AFB2-FB6E617A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2089</Words>
  <Characters>15380</Characters>
  <Application>Microsoft Office Word</Application>
  <DocSecurity>0</DocSecurity>
  <Lines>219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HEILEMANN Stefanie (SG)</cp:lastModifiedBy>
  <cp:revision>18</cp:revision>
  <cp:lastPrinted>2020-04-28T19:27:00Z</cp:lastPrinted>
  <dcterms:created xsi:type="dcterms:W3CDTF">2020-04-28T19:14:00Z</dcterms:created>
  <dcterms:modified xsi:type="dcterms:W3CDTF">2020-05-04T12:25:00Z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CP-014</vt:lpwstr>
  </property>
  <property fmtid="{D5CDD505-2E9C-101B-9397-08002B2CF9AE}" pid="7" name="Last edited using">
    <vt:lpwstr>LW 7.0.1, Build 20190916</vt:lpwstr>
  </property>
  <property fmtid="{D5CDD505-2E9C-101B-9397-08002B2CF9AE}" pid="8" name="Created using">
    <vt:lpwstr>LW 7.0.1, Build 20190916</vt:lpwstr>
  </property>
</Properties>
</file>