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4B33B7D-6D77-45B6-8510-C7AA614C5109" style="width:451pt;height:365.5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Bdr>
          <w:top w:val="nil"/>
          <w:left w:val="nil"/>
          <w:bottom w:val="nil"/>
          <w:right w:val="nil"/>
          <w:between w:val="nil"/>
          <w:bar w:val="nil"/>
        </w:pBdr>
        <w:spacing w:before="0" w:after="240"/>
        <w:rPr>
          <w:noProof/>
        </w:rPr>
      </w:pPr>
      <w:r>
        <w:rPr>
          <w:noProof/>
        </w:rPr>
        <w:t>Die direkten und indirekten Auswirkungen des Ausbruchs von COVID-19 nehmen in allen Mitgliedstaaten weiter zu. Die derzeitige Situation ist beispiellos und erfordert daher der Lage angepasste Sondermaßnahmen.</w:t>
      </w:r>
    </w:p>
    <w:p>
      <w:pPr>
        <w:pBdr>
          <w:top w:val="nil"/>
          <w:left w:val="nil"/>
          <w:bottom w:val="nil"/>
          <w:right w:val="nil"/>
          <w:between w:val="nil"/>
          <w:bar w:val="nil"/>
        </w:pBdr>
        <w:spacing w:before="0" w:after="240"/>
        <w:rPr>
          <w:noProof/>
        </w:rPr>
      </w:pPr>
      <w:r>
        <w:rPr>
          <w:noProof/>
        </w:rPr>
        <w:t xml:space="preserve">Im Agrar- und Lebensmittelsektor wurden zahlreiche Schwierigkeiten gemeldet, die auf die umfangreichen Beschränkungen der Bewegungsfreiheit in den Mitgliedstaaten und die verordnete Schließung von Geschäften, Märkten, Restaurants und anderen Gastronomiebetrieben zurückzuführen sind. Durch wirtschaftliche Störungen im Agrarsektor und in ländlichen Gemeinden sind Landwirte und kleine Unternehmen im ländlichen Raum, die landwirtschaftliche Erzeugnisse verarbeiten, mit finanziellen Schwierigkeiten und Liquiditätsproblemen konfrontiert. </w:t>
      </w:r>
    </w:p>
    <w:p>
      <w:pPr>
        <w:pBdr>
          <w:top w:val="nil"/>
          <w:left w:val="nil"/>
          <w:bottom w:val="nil"/>
          <w:right w:val="nil"/>
          <w:between w:val="nil"/>
          <w:bar w:val="nil"/>
        </w:pBdr>
        <w:spacing w:before="0" w:after="240"/>
        <w:rPr>
          <w:noProof/>
        </w:rPr>
      </w:pPr>
      <w:r>
        <w:rPr>
          <w:noProof/>
        </w:rPr>
        <w:t xml:space="preserve">Daher benötigen einige kleine Unternehmen und Landwirte dringend Soforthilfe, um ihre Tätigkeiten aufrechterhalten zu können. </w:t>
      </w:r>
    </w:p>
    <w:p>
      <w:pPr>
        <w:pBdr>
          <w:top w:val="nil"/>
          <w:left w:val="nil"/>
          <w:bottom w:val="nil"/>
          <w:right w:val="nil"/>
          <w:between w:val="nil"/>
          <w:bar w:val="nil"/>
        </w:pBdr>
        <w:spacing w:before="0" w:after="240"/>
        <w:rPr>
          <w:noProof/>
        </w:rPr>
      </w:pPr>
      <w:r>
        <w:rPr>
          <w:noProof/>
        </w:rPr>
        <w:t xml:space="preserve">Da gleichzeitig auch die Arbeit der Verwaltungen eingeschränkt ist und weder Berater potenzielle Begünstigte durch persönliche Beratung vor Ort unterstützen noch Kontrolleure Vor-Ort-Kontrollen oder Ex-ante-Kontrollen vornehmen können, müssen einfach zu handhabende Lösungen angeboten werden, die für die Mitgliedstaaten umsetzbar, für unterschiedliche Situationen vor Ort geeignet und für die Begünstigten leicht zugänglich sind. </w:t>
      </w:r>
    </w:p>
    <w:p>
      <w:pPr>
        <w:pBdr>
          <w:top w:val="nil"/>
          <w:left w:val="nil"/>
          <w:bottom w:val="nil"/>
          <w:right w:val="nil"/>
          <w:between w:val="nil"/>
          <w:bar w:val="nil"/>
        </w:pBdr>
        <w:spacing w:before="0" w:after="240"/>
        <w:rPr>
          <w:noProof/>
        </w:rPr>
      </w:pPr>
      <w:r>
        <w:rPr>
          <w:noProof/>
        </w:rPr>
        <w:t>Diese Unterstützung muss in Form einer befristeten Beihilfe für einen ganz klar definierten Zweck unter außergewöhnlichen Umständen angeboten werden. Um diese Ziele zu erreichen, wird die Unterstützung in Form eines einmaligen Pauschalbetrags für Landwirte und KMU gewährt, die in der Verarbeitung, Vermarktung und/oder Entwicklung landwirtschaftlicher Erzeugnisse tätig sind. Die Zahlungen der Kommission erfolgen gemäß den Mittelzuweisungen und vorbehaltlich verfügbarer Finanzmittel.</w:t>
      </w:r>
    </w:p>
    <w:p>
      <w:pPr>
        <w:pBdr>
          <w:top w:val="nil"/>
          <w:left w:val="nil"/>
          <w:bottom w:val="nil"/>
          <w:right w:val="nil"/>
          <w:between w:val="nil"/>
          <w:bar w:val="nil"/>
        </w:pBdr>
        <w:spacing w:before="0" w:after="240"/>
        <w:rPr>
          <w:noProof/>
        </w:rPr>
      </w:pPr>
      <w:r>
        <w:rPr>
          <w:noProof/>
        </w:rPr>
        <w:t>Damit die im Rahmen der bestehenden Programme zur Entwicklung des ländlichen Raums verfügbaren Mittel möglichst effizient genutzt werden, müssen die Mitgliedstaaten anhand objektiver und nichtdiskriminierender Kriterien begründen, wie sie gewährleisten, dass die Unterstützung den am stärksten betroffenen Betrieben zugutekommt. Die Mitgliedstaaten müssten die Maßnahme im Wege einer Änderung in die EPLR aufnehmen, die Ausgaben wären jedoch ab Beginn des Katastrophenereignisses (Ausbruch von COVID-19) förderfähig.</w:t>
      </w:r>
    </w:p>
    <w:p>
      <w:pPr>
        <w:pBdr>
          <w:top w:val="nil"/>
          <w:left w:val="nil"/>
          <w:bottom w:val="nil"/>
          <w:right w:val="nil"/>
          <w:between w:val="nil"/>
          <w:bar w:val="nil"/>
        </w:pBdr>
        <w:spacing w:before="0" w:after="240"/>
        <w:rPr>
          <w:noProof/>
          <w:lang w:eastAsia="en-GB"/>
        </w:rPr>
      </w:pP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noProof/>
        </w:rPr>
      </w:pPr>
      <w:r>
        <w:rPr>
          <w:noProof/>
        </w:rPr>
        <w:t xml:space="preserve">Der Vorschlag steht im Einklang mit dem allgemeinen Rechtsrahmen für die Gemeinsame Agrarpolitik und die europäischen Struktur- und Investitionsfonds (ESI-Fonds) und beschränkt sich auf eine gezielte Änderung der Verordnung (EU) Nr. 1305/2013. Der Vorschlag ergänzt alle anderen von der Union zur Bewältigung der gegenwärtigen beispiellosen Situation ergriffenen Maßnahmen, insbesondere die Maßnahmen zur Stützung der Märkte. Der Vorschlag lässt die in Artikel 59 Absätze 5 und 6 der Verordnung (EU) Nr. 1305/2013 vorgeschriebenen Mindestausgaben unberührt. </w:t>
      </w:r>
    </w:p>
    <w:p>
      <w:pPr>
        <w:pStyle w:val="ManualHeading2"/>
        <w:rPr>
          <w:rFonts w:eastAsia="Arial Unicode MS"/>
          <w:noProof/>
        </w:rPr>
      </w:pPr>
      <w:r>
        <w:rPr>
          <w:noProof/>
          <w:color w:val="000000"/>
          <w:u w:color="000000"/>
          <w:bdr w:val="nil"/>
        </w:rPr>
        <w:lastRenderedPageBreak/>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Der Vorschlag beschränkt sich auf gezielte Änderungen der Verordnung (EU) Nr. 1305/2013 und wahrt die Übereinstimmung mit der Politik der Union in anderen Bereichen.</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spacing w:before="0" w:after="240"/>
        <w:rPr>
          <w:noProof/>
        </w:rPr>
      </w:pPr>
      <w:r>
        <w:rPr>
          <w:noProof/>
        </w:rPr>
        <w:t xml:space="preserve">Der Vorschlag basiert auf den Artikeln 42 und 43 des Vertrags über die Arbeitsweise der Europäischen Union.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pStyle w:val="ManualHeading2"/>
        <w:tabs>
          <w:tab w:val="clear" w:pos="850"/>
        </w:tabs>
        <w:ind w:left="0" w:firstLine="0"/>
        <w:rPr>
          <w:noProof/>
          <w:sz w:val="23"/>
          <w:szCs w:val="23"/>
        </w:rPr>
      </w:pPr>
      <w:r>
        <w:rPr>
          <w:noProof/>
          <w:sz w:val="23"/>
          <w:szCs w:val="23"/>
        </w:rPr>
        <w:t xml:space="preserve">Der Vertrag über die Arbeitsweise der Europäischen Union sieht vor, dass die Zuständigkeiten für die Landwirtschaft zwischen der Union und den Mitgliedstaaten geteilt sind, aber eine Gemeinsame Agrarpolitik mit gemeinsamen Zielen und einer gemeinsamen Umsetzung eingeführt wird. Mit diesem Vorschlag sollen die gemeinsamen Ziele und die gemeinsame Umsetzung einer neuen Maßnahme zur Entwicklung des ländlichen Raums sichergestellt werden. </w:t>
      </w:r>
    </w:p>
    <w:p>
      <w:pPr>
        <w:pStyle w:val="ManualHeading2"/>
        <w:rPr>
          <w:rFonts w:eastAsia="Arial Unicode MS"/>
          <w:noProof/>
          <w:u w:color="000000"/>
          <w:bdr w:val="nil"/>
        </w:rPr>
      </w:pPr>
      <w:r>
        <w:rPr>
          <w:noProof/>
          <w:sz w:val="23"/>
          <w:szCs w:val="23"/>
        </w:rPr>
        <w:t xml:space="preserve"> </w:t>
      </w:r>
      <w:r>
        <w:rPr>
          <w:noProof/>
          <w:u w:color="000000"/>
          <w:bdr w:val="nil"/>
        </w:rPr>
        <w:t>•</w:t>
      </w:r>
      <w:r>
        <w:rPr>
          <w:noProof/>
        </w:rPr>
        <w:tab/>
      </w:r>
      <w:r>
        <w:rPr>
          <w:noProof/>
          <w:u w:color="000000"/>
          <w:bdr w:val="nil"/>
        </w:rPr>
        <w:t>Verhältnismäßigkeit</w:t>
      </w:r>
    </w:p>
    <w:p>
      <w:pPr>
        <w:pBdr>
          <w:top w:val="nil"/>
          <w:left w:val="nil"/>
          <w:bottom w:val="nil"/>
          <w:right w:val="nil"/>
          <w:between w:val="nil"/>
          <w:bar w:val="nil"/>
        </w:pBdr>
        <w:spacing w:before="0" w:after="240"/>
        <w:rPr>
          <w:rFonts w:eastAsia="Arial Unicode MS"/>
          <w:noProof/>
        </w:rPr>
      </w:pPr>
      <w:r>
        <w:rPr>
          <w:noProof/>
        </w:rPr>
        <w:t>Der Vorschlag enthält begrenzte und gezielte Änderungen, die nicht über das hinausgehen, was erforderlich ist, um das Ziel zu erreichen, Landwirte und in der Verarbeitung, Vermarktung und/oder Entwicklung landwirtschaftlicher Erzeugnisse tätige KMU, die von der COVID-19-Krise besonders stark betroffen sind, ausnahmsweise und befristet zu unterstützen.</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spacing w:before="0" w:after="240"/>
        <w:rPr>
          <w:noProof/>
        </w:rPr>
      </w:pPr>
      <w:r>
        <w:rPr>
          <w:noProof/>
        </w:rPr>
        <w:t>Eine Verordnung stellt das geeignete Instrument dar, um die zur Bewältigung der beispiellosen Umstände benötigte zusätzliche Maßnahme einzuführen.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rPr>
        <w:tab/>
      </w:r>
      <w:r>
        <w:rPr>
          <w:noProof/>
          <w:u w:color="000000"/>
          <w:bdr w:val="nil"/>
        </w:rPr>
        <w:t>Ex-post-Bewertung/Eignungsprüfungen bestehender Rechtsvorschriften</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Konsultation der Interessenträger</w:t>
      </w:r>
    </w:p>
    <w:p>
      <w:pPr>
        <w:pBdr>
          <w:top w:val="nil"/>
          <w:left w:val="nil"/>
          <w:bottom w:val="nil"/>
          <w:right w:val="nil"/>
          <w:between w:val="nil"/>
          <w:bar w:val="nil"/>
        </w:pBdr>
        <w:spacing w:before="0" w:after="240"/>
        <w:rPr>
          <w:noProof/>
        </w:rPr>
      </w:pPr>
      <w:r>
        <w:rPr>
          <w:noProof/>
        </w:rPr>
        <w:t xml:space="preserve">Es wurden keine externen Interessenträger konsultiert. Der Vorschlag beruht jedoch auf Konsultationen, die in den vergangenen Wochen mit den Mitgliedstaaten und Mitgliedern des Europäischen Parlaments durchgeführt wurden. </w:t>
      </w:r>
    </w:p>
    <w:p>
      <w:pPr>
        <w:pStyle w:val="ManualHeading2"/>
        <w:rPr>
          <w:rFonts w:eastAsia="Arial Unicode MS"/>
          <w:noProof/>
          <w:u w:color="000000"/>
          <w:bdr w:val="nil"/>
        </w:rPr>
      </w:pPr>
      <w:r>
        <w:rPr>
          <w:noProof/>
          <w:u w:color="000000"/>
          <w:bdr w:val="nil"/>
        </w:rPr>
        <w:t>•</w:t>
      </w:r>
      <w:r>
        <w:rPr>
          <w:noProof/>
        </w:rPr>
        <w:tab/>
      </w:r>
      <w:r>
        <w:rPr>
          <w:noProof/>
          <w:u w:color="000000"/>
          <w:bdr w:val="nil"/>
        </w:rPr>
        <w:t>Einholung und Nutzung von Expertenwissen</w:t>
      </w:r>
    </w:p>
    <w:p>
      <w:pPr>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Folgenabschätzung</w:t>
      </w:r>
    </w:p>
    <w:p>
      <w:pPr>
        <w:pBdr>
          <w:top w:val="nil"/>
          <w:left w:val="nil"/>
          <w:bottom w:val="nil"/>
          <w:right w:val="nil"/>
          <w:between w:val="nil"/>
          <w:bar w:val="nil"/>
        </w:pBdr>
        <w:spacing w:before="0" w:after="240"/>
        <w:rPr>
          <w:rFonts w:eastAsia="Arial Unicode MS"/>
          <w:noProof/>
        </w:rPr>
      </w:pPr>
      <w:r>
        <w:rPr>
          <w:noProof/>
        </w:rPr>
        <w:t>Zur Erarbeitung der Verordnung (EU) Nr. 1305/2013 wurde eine Folgenabschätzung durchgeführt. Die vorgeschlagenen begrenzten Änderungen erfordern keine separate Folgenabschätzung.</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Effizienz der Rechtsetzung und Vereinfachung</w:t>
      </w:r>
    </w:p>
    <w:p>
      <w:pPr>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Grundrechte</w:t>
      </w:r>
    </w:p>
    <w:p>
      <w:pPr>
        <w:rPr>
          <w:noProof/>
        </w:rPr>
      </w:pPr>
      <w:r>
        <w:rPr>
          <w:noProof/>
        </w:rPr>
        <w:t>Entfällt.</w:t>
      </w:r>
    </w:p>
    <w:p>
      <w:pPr>
        <w:pStyle w:val="ManualHeading1"/>
        <w:rPr>
          <w:noProof/>
        </w:rPr>
      </w:pPr>
      <w:r>
        <w:rPr>
          <w:noProof/>
        </w:rPr>
        <w:t>4.</w:t>
      </w:r>
      <w:r>
        <w:rPr>
          <w:noProof/>
        </w:rPr>
        <w:tab/>
        <w:t>AUSWIRKUNGEN AUF DEN HAUSHALT</w:t>
      </w:r>
    </w:p>
    <w:p>
      <w:pPr>
        <w:rPr>
          <w:noProof/>
        </w:rPr>
      </w:pPr>
      <w:r>
        <w:rPr>
          <w:noProof/>
        </w:rPr>
        <w:t xml:space="preserve">Die vorgeschlagene Änderung zieht keinerlei Änderungen an den jährlichen Obergrenzen des mehrjährigen Finanzrahmens für Mittel für Verpflichtungen und Zahlungen gemäß Anhang I der Verordnung (EU) Nr. 1311/2013 nach sich. Die jährliche Gesamtaufteilung der Mittel für Verpflichtungen im Rahmen des Europäischen Landwirtschaftsfonds für die Entwicklung des ländlichen Raums (ELER) bleibt unverändert. Da eine gewisse Zeit benötigt wird, um diese neue Maßnahme umzusetzen, werden die Zahlungen an die Begünstigten voraussichtlich im vierten Quartal 2020 erfolgen und somit aus dem Haushalt 2021 finanziert werden. Die zur Finanzierung dieser Maßnahme erforderlichen Mittel für Zahlungen werden im Rahmen der ELER-Mittel bereitgestellt, die in den Haushaltsplanentwurf der Kommission für 2021 aufzunehmen sind, und durch einen entsprechend geringeren Bedarf an Mitteln für Zahlungen in den Folgejahren ausgeglichen. </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rPr>
        <w:tab/>
      </w:r>
      <w:r>
        <w:rPr>
          <w:noProof/>
          <w:u w:color="000000"/>
          <w:bdr w:val="nil"/>
        </w:rPr>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Das Monitoring der Durchführung der Maßnahme sowie die diesbezügliche Berichterstattung erfolgen im Rahmen der allgemeinen Berichterstattungsmechanismen gemäß den Verordnungen (EU) Nr. 1303/2013 und 1305/2013.</w:t>
      </w:r>
    </w:p>
    <w:p>
      <w:pPr>
        <w:pStyle w:val="ManualHeading2"/>
        <w:rPr>
          <w:rFonts w:eastAsia="Arial Unicode MS"/>
          <w:noProof/>
          <w:u w:color="000000"/>
          <w:bdr w:val="nil"/>
        </w:rPr>
      </w:pPr>
      <w:r>
        <w:rPr>
          <w:noProof/>
          <w:u w:color="000000"/>
          <w:bdr w:val="nil"/>
        </w:rPr>
        <w:t>•</w:t>
      </w:r>
      <w:r>
        <w:rPr>
          <w:noProof/>
        </w:rPr>
        <w:tab/>
      </w:r>
      <w:r>
        <w:rPr>
          <w:noProof/>
          <w:u w:color="000000"/>
          <w:bdr w:val="nil"/>
        </w:rPr>
        <w:t>Erläuternde Dokumente (bei Richtlinien)</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rPr>
          <w:noProof/>
        </w:rPr>
      </w:pPr>
      <w:r>
        <w:rPr>
          <w:noProof/>
        </w:rPr>
        <w:t xml:space="preserve">Es wird vorgeschlagen, die Verordnung (EU) Nr. 1305/2013 zu ändern. </w:t>
      </w:r>
    </w:p>
    <w:p>
      <w:pPr>
        <w:spacing w:before="0" w:after="200"/>
        <w:jc w:val="left"/>
        <w:rPr>
          <w:noProof/>
        </w:rPr>
        <w:sectPr>
          <w:footerReference w:type="default" r:id="rId14"/>
          <w:footerReference w:type="first" r:id="rId15"/>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2020/0075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Nr. 1305/2013 hinsichtlich spezifischer Maßnahmen zur Gewährung einer befristeten Sonderunterstützung im Rahmen des ELER als Reaktion auf den Ausbruch von COVID-19</w:t>
      </w:r>
    </w:p>
    <w:p>
      <w:pPr>
        <w:pStyle w:val="Institutionquiagit"/>
        <w:rPr>
          <w:noProof/>
        </w:rPr>
      </w:pPr>
      <w:r>
        <w:rPr>
          <w:noProof/>
        </w:rPr>
        <w:t>DAS EUROPÄISCHE PARLAMENT UND DER RAT DER EUROPÄISCHEN UNION —</w:t>
      </w:r>
    </w:p>
    <w:p>
      <w:pPr>
        <w:rPr>
          <w:noProof/>
        </w:rPr>
      </w:pPr>
      <w:r>
        <w:rPr>
          <w:noProof/>
        </w:rPr>
        <w:t xml:space="preserve">gestützt auf den Vertrag über die Arbeitsweise der Europäischen Union, insbesondere auf Artikel 42 und Artikel 43 Absatz 2, </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2"/>
      </w:r>
      <w:r>
        <w:rPr>
          <w:noProof/>
        </w:rPr>
        <w:t xml:space="preserve">, </w:t>
      </w:r>
    </w:p>
    <w:p>
      <w:pPr>
        <w:rPr>
          <w:noProof/>
        </w:rPr>
      </w:pPr>
      <w:r>
        <w:rPr>
          <w:noProof/>
        </w:rPr>
        <w:t>nach Stellungnahme des Ausschusses der Regionen</w:t>
      </w:r>
      <w:r>
        <w:rPr>
          <w:rStyle w:val="FootnoteReference"/>
          <w:noProof/>
        </w:rPr>
        <w:footnoteReference w:id="3"/>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Landwirte und Unternehmen im ländlichen Raum sind von den Folgen der durch den COVID-19-Ausbruch entstandenen Krise auf beispiellose Weise betroffen. Die umfangreichen Beschränkungen der Bewegungsfreiheit in den Mitgliedstaaten und die verordnete Schließung von Geschäften, Märkten, Restaurants und anderen Gastronomiebetrieben haben für wirtschaftliche Störungen im Agrarsektor und in ländlichen Gemeinden gesorgt und bei Landwirten und kleinen Unternehmen im ländlichen Raum, die landwirtschaftliche Erzeugnisse verarbeiten, vermarkten und/oder entwickeln, finanzielle Schwierigkeiten und Liquiditätsprobleme hervorgerufen. Dies hat zu einer Ausnahmesituation geführt, auf die reagiert werden muss.</w:t>
      </w:r>
    </w:p>
    <w:p>
      <w:pPr>
        <w:pStyle w:val="ManualConsidrant"/>
        <w:rPr>
          <w:noProof/>
        </w:rPr>
      </w:pPr>
      <w:r>
        <w:t>(2)</w:t>
      </w:r>
      <w:r>
        <w:tab/>
      </w:r>
      <w:r>
        <w:rPr>
          <w:noProof/>
        </w:rPr>
        <w:t>Um die Auswirkungen der Krise abzumildern, sollten mithilfe einer neuen befristeten Sondermaßnahme Liquiditätsprobleme behoben werden, die die Fortführung landwirtschaftlicher Tätigkeiten und den Fortbestand kleiner in der Verarbeitung, Vermarktung und/oder Entwicklung landwirtschaftlicher Erzeugnisse tätiger Unternehmen gefährden.</w:t>
      </w:r>
    </w:p>
    <w:p>
      <w:pPr>
        <w:pStyle w:val="ManualConsidrant"/>
        <w:rPr>
          <w:noProof/>
        </w:rPr>
      </w:pPr>
      <w:r>
        <w:t>(3)</w:t>
      </w:r>
      <w:r>
        <w:tab/>
      </w:r>
      <w:r>
        <w:rPr>
          <w:noProof/>
        </w:rPr>
        <w:t xml:space="preserve">Diese Unterstützung, mit der die Wettbewerbsfähigkeit von Agrarunternehmen und die Lebensfähigkeit landwirtschaftlicher Betriebe sichergestellt werden sollen, zielt darauf ab, die verfügbaren Mittel auf der Grundlage objektiver und nichtdiskriminierender Kriterien bestmöglich auf die Begünstigten zu konzentrieren, die am stärksten von der Krise betroffen sind. Als Kriterien können bei Landwirten beispielsweise der Erzeugungssektor, die Betriebsform, die Betriebsstruktur, die </w:t>
      </w:r>
      <w:r>
        <w:rPr>
          <w:noProof/>
        </w:rPr>
        <w:lastRenderedPageBreak/>
        <w:t>Vermarktungsform landwirtschaftlicher Erzeugnisse oder die Zahl der beschäftigten Saisonarbeitskräfte und bei KMU der Sektor, die Art der Tätigkeit, die Art der Regionen oder sonstige spezifische Sachzwänge herangezogen werden.</w:t>
      </w:r>
    </w:p>
    <w:p>
      <w:pPr>
        <w:pStyle w:val="ManualConsidrant"/>
        <w:rPr>
          <w:noProof/>
        </w:rPr>
      </w:pPr>
      <w:r>
        <w:t>(4)</w:t>
      </w:r>
      <w:r>
        <w:tab/>
      </w:r>
      <w:r>
        <w:rPr>
          <w:noProof/>
        </w:rPr>
        <w:t xml:space="preserve">Wegen der Dringlichkeit und des Ausnahmecharakters dieser Maßnahme sollten eine Einmalzahlung und ein begrenzter Zeitraum für die Anwendung der Maßnahme festgelegt werden, wobei auf den Grundsatz zu verweisen ist, dass die Zahlungen der Kommission gemäß den Mittelzuweisungen und vorbehaltlich verfügbarer Finanzmittel erfolgen. </w:t>
      </w:r>
    </w:p>
    <w:p>
      <w:pPr>
        <w:pStyle w:val="ManualConsidrant"/>
        <w:rPr>
          <w:noProof/>
        </w:rPr>
      </w:pPr>
      <w:r>
        <w:t>(5)</w:t>
      </w:r>
      <w:r>
        <w:tab/>
      </w:r>
      <w:r>
        <w:rPr>
          <w:noProof/>
        </w:rPr>
        <w:t>Um den am stärksten betroffenen Landwirten oder KMU eine höhere Unterstützung zu gewähren, sollte es den Mitgliedstaaten gestattet werden, die Höhe der Pauschalbeträge für bestimmte Kategorien förderfähiger Begünstigter auf der Grundlage objektiver und nichtdiskriminierender Kriterien anzupassen.</w:t>
      </w:r>
    </w:p>
    <w:p>
      <w:pPr>
        <w:pStyle w:val="ManualConsidrant"/>
        <w:rPr>
          <w:noProof/>
        </w:rPr>
      </w:pPr>
      <w:r>
        <w:t>(6)</w:t>
      </w:r>
      <w:r>
        <w:tab/>
      </w:r>
      <w:r>
        <w:rPr>
          <w:noProof/>
        </w:rPr>
        <w:t>Um eine angemessene Finanzierung der neuen Maßnahme sicherzustellen, ohne andere Ziele der Programme zur Entwicklung des ländlichen Raums zu gefährden, sollte ein Höchstanteil des Unionsbeitrags zu dieser Maßnahme festgesetzt werden.</w:t>
      </w:r>
    </w:p>
    <w:p>
      <w:pPr>
        <w:pStyle w:val="ManualConsidrant"/>
        <w:rPr>
          <w:noProof/>
        </w:rPr>
      </w:pPr>
      <w:r>
        <w:t>(7)</w:t>
      </w:r>
      <w:r>
        <w:tab/>
      </w:r>
      <w:r>
        <w:rPr>
          <w:noProof/>
        </w:rPr>
        <w:t>Die Verordnung (EU) Nr. 1305/2013 sollte daher entsprechend geändert werden.</w:t>
      </w:r>
    </w:p>
    <w:p>
      <w:pPr>
        <w:pStyle w:val="ManualConsidrant"/>
        <w:rPr>
          <w:noProof/>
        </w:rPr>
      </w:pPr>
      <w:r>
        <w:t>(8)</w:t>
      </w:r>
      <w:r>
        <w:tab/>
      </w:r>
      <w:r>
        <w:rPr>
          <w:noProof/>
        </w:rPr>
        <w:t>Wegen des Ausbruchs von COVID-19 und der Dringlichkeit, die damit einhergehende Krise im Bereich der öffentlichen Gesundheit zu bewältigen, wird es als notwendig erachtet, die Ausnahme von der Achtwochenfrist in Anspruch zu nehmen, die nach Artikel 4 des dem Vertrag über die Europäische Union, dem Vertrag über die Arbeitsweise der Europäischen Union und dem Vertrag zur Gründung der Europäischen Atomgemeinschaft beigefügten Protokolls Nr. 1 über die Rolle der nationalen Parlamente in der Europäischen Union vorgesehen ist.</w:t>
      </w:r>
    </w:p>
    <w:p>
      <w:pPr>
        <w:pStyle w:val="ManualConsidrant"/>
        <w:rPr>
          <w:noProof/>
        </w:rPr>
      </w:pPr>
      <w:r>
        <w:t>(9)</w:t>
      </w:r>
      <w:r>
        <w:tab/>
      </w:r>
      <w:r>
        <w:rPr>
          <w:noProof/>
        </w:rPr>
        <w:t xml:space="preserve">Angesichts der Dringlichkeit der Lage im Zusammenhang mit der COVID-19-Krise sollte die vorliegende Verordnung am Tag ihrer Veröffentlichung im </w:t>
      </w:r>
      <w:r>
        <w:rPr>
          <w:i/>
          <w:noProof/>
        </w:rPr>
        <w:t>Amtsblatt der Europäischen Union</w:t>
      </w:r>
      <w:r>
        <w:rPr>
          <w:noProof/>
        </w:rPr>
        <w:t xml:space="preserve"> in Kraft treten —</w:t>
      </w:r>
    </w:p>
    <w:p>
      <w:pPr>
        <w:pStyle w:val="Formuledadoption"/>
        <w:rPr>
          <w:noProof/>
        </w:rPr>
      </w:pPr>
      <w:r>
        <w:rPr>
          <w:noProof/>
        </w:rPr>
        <w:t>HABEN FOLGENDE VERORDNUNG ERLASSEN:</w:t>
      </w:r>
    </w:p>
    <w:p>
      <w:pPr>
        <w:pStyle w:val="Titrearticle"/>
        <w:rPr>
          <w:b/>
          <w:noProof/>
        </w:rPr>
      </w:pPr>
      <w:r>
        <w:rPr>
          <w:noProof/>
        </w:rPr>
        <w:t xml:space="preserve">Artikel 1 </w:t>
      </w:r>
      <w:r>
        <w:rPr>
          <w:noProof/>
        </w:rPr>
        <w:br/>
      </w:r>
      <w:r>
        <w:rPr>
          <w:b/>
          <w:i w:val="0"/>
          <w:noProof/>
        </w:rPr>
        <w:t>Änderung der Verordnung (EU) Nr. 1305/2013</w:t>
      </w:r>
    </w:p>
    <w:p>
      <w:pPr>
        <w:rPr>
          <w:noProof/>
        </w:rPr>
      </w:pPr>
      <w:r>
        <w:rPr>
          <w:noProof/>
        </w:rPr>
        <w:t>Die Verordnung (EU) Nr. 1305/2013 wird wie folgt geändert:</w:t>
      </w:r>
    </w:p>
    <w:p>
      <w:pPr>
        <w:pStyle w:val="ManualNumPar1"/>
        <w:rPr>
          <w:noProof/>
        </w:rPr>
      </w:pPr>
      <w:r>
        <w:rPr>
          <w:noProof/>
        </w:rPr>
        <w:t>1.</w:t>
      </w:r>
      <w:r>
        <w:rPr>
          <w:noProof/>
        </w:rPr>
        <w:tab/>
        <w:t>Folgender Artikel 39b wird eingefügt:</w:t>
      </w:r>
      <w:r>
        <w:rPr>
          <w:noProof/>
          <w:color w:val="1F497D"/>
        </w:rPr>
        <w:t xml:space="preserve"> </w:t>
      </w:r>
    </w:p>
    <w:p>
      <w:pPr>
        <w:pStyle w:val="Titrearticle"/>
        <w:ind w:left="284"/>
        <w:rPr>
          <w:noProof/>
        </w:rPr>
      </w:pPr>
      <w:r>
        <w:rPr>
          <w:noProof/>
        </w:rPr>
        <w:t xml:space="preserve">„Artikel 39b </w:t>
      </w:r>
      <w:r>
        <w:rPr>
          <w:noProof/>
        </w:rPr>
        <w:br/>
        <w:t>Befristete Sonderunterstützung für Landwirte und in der Verarbeitung, Vermarktung und/oder Entwicklung landwirtschaftlicher Erzeugnisse tätige KMU, die von der COVID-19-Krise besonders stark betroffen sind</w:t>
      </w:r>
    </w:p>
    <w:p>
      <w:pPr>
        <w:ind w:left="568"/>
        <w:rPr>
          <w:noProof/>
        </w:rPr>
      </w:pPr>
      <w:r>
        <w:rPr>
          <w:noProof/>
        </w:rPr>
        <w:t xml:space="preserve"> </w:t>
      </w:r>
    </w:p>
    <w:p>
      <w:pPr>
        <w:pStyle w:val="ListNumber"/>
        <w:rPr>
          <w:noProof/>
        </w:rPr>
      </w:pPr>
      <w:r>
        <w:rPr>
          <w:noProof/>
        </w:rPr>
        <w:t xml:space="preserve">Die Unterstützung im Rahmen dieser Maßnahme dient der Soforthilfe für besonders stark von der COVID-19-Krise betroffene Landwirte und KMU, damit diese ihre Geschäftstätigkeit unter den in diesem Artikel festgelegten Bedingungen fortsetzen können. </w:t>
      </w:r>
    </w:p>
    <w:p>
      <w:pPr>
        <w:rPr>
          <w:noProof/>
        </w:rPr>
      </w:pPr>
    </w:p>
    <w:p>
      <w:pPr>
        <w:pStyle w:val="ListNumber"/>
        <w:rPr>
          <w:noProof/>
        </w:rPr>
      </w:pPr>
      <w:r>
        <w:rPr>
          <w:noProof/>
        </w:rPr>
        <w:lastRenderedPageBreak/>
        <w:t>Unterstützung erhalten Landwirte und KMU, die in der Verarbeitung, Vermarktung und/oder Entwicklung von unter Anhang I AEUV fallenden landwirtschaftlichen Erzeugnissen oder von Baumwolle tätig sind, wobei Fischereierzeugnisse ausgenommen sind; bei dem Ergebnis des Produktionsprozesses kann es sich um ein nicht unter Anhang I fallendes Erzeugnis handeln.</w:t>
      </w:r>
    </w:p>
    <w:p>
      <w:pPr>
        <w:rPr>
          <w:noProof/>
        </w:rPr>
      </w:pPr>
    </w:p>
    <w:p>
      <w:pPr>
        <w:pStyle w:val="ListNumber"/>
        <w:rPr>
          <w:noProof/>
        </w:rPr>
      </w:pPr>
      <w:r>
        <w:rPr>
          <w:noProof/>
        </w:rPr>
        <w:t>Die Mitgliedstaaten richten die Unterstützung gezielt auf die am stärksten von der Krise betroffenen Begünstigten aus, indem sie auf der Grundlage der verfügbaren Nachweise die Förderfähigkeitsbedingungen und möglicherweise Auswahlkriterien festlegen, die objektiv und nichtdiskriminierend sein müssen.</w:t>
      </w:r>
    </w:p>
    <w:p>
      <w:pPr>
        <w:rPr>
          <w:noProof/>
        </w:rPr>
      </w:pPr>
    </w:p>
    <w:p>
      <w:pPr>
        <w:pStyle w:val="ListNumber"/>
        <w:rPr>
          <w:noProof/>
        </w:rPr>
      </w:pPr>
      <w:r>
        <w:rPr>
          <w:noProof/>
        </w:rPr>
        <w:t>Die Unterstützung erfolgt in Form eines Pauschalbetrags, der bis zum [31. Dezember 2020] auszuzahlen ist, und die anschließende Erstattung durch die Kommission erfolgt gemäß den Mittelzuweisungen und vorbehaltlich verfügbarer Finanzmittel. Die Höhe der Zahlungen kann nach objektiven und nichtdiskriminierenden Kriterien für verschiedene Kategorien von Begünstigten differenziert werden.</w:t>
      </w:r>
    </w:p>
    <w:p>
      <w:pPr>
        <w:rPr>
          <w:noProof/>
        </w:rPr>
      </w:pPr>
    </w:p>
    <w:p>
      <w:pPr>
        <w:pStyle w:val="ListNumber"/>
        <w:rPr>
          <w:noProof/>
        </w:rPr>
      </w:pPr>
      <w:r>
        <w:rPr>
          <w:noProof/>
        </w:rPr>
        <w:t>Die Unterstützung beläuft sich auf maximal 5000 EUR je Landwirt und 50 000 EUR je KMU.</w:t>
      </w:r>
    </w:p>
    <w:p>
      <w:pPr>
        <w:pStyle w:val="ListParagraph"/>
        <w:ind w:left="568"/>
        <w:rPr>
          <w:noProof/>
        </w:rPr>
      </w:pPr>
    </w:p>
    <w:p>
      <w:pPr>
        <w:pStyle w:val="ListNumber"/>
        <w:rPr>
          <w:noProof/>
        </w:rPr>
      </w:pPr>
      <w:r>
        <w:rPr>
          <w:noProof/>
        </w:rPr>
        <w:t>Bei der Gewährung von Unterstützung nach diesem Artikel berücksichtigen die Mitgliedstaaten Unterstützung, die im Rahmen anderer nationaler Stützungsinstrumente oder solcher der Union oder privater Regelungen gewährt wird, um die Auswirkungen der COVID-19-Krise abzufedern.“</w:t>
      </w:r>
    </w:p>
    <w:p>
      <w:pPr>
        <w:ind w:left="284"/>
        <w:rPr>
          <w:noProof/>
        </w:rPr>
      </w:pPr>
    </w:p>
    <w:p>
      <w:pPr>
        <w:pStyle w:val="ManualNumPar1"/>
        <w:ind w:left="720" w:firstLine="0"/>
        <w:rPr>
          <w:noProof/>
          <w:color w:val="1F497D"/>
        </w:rPr>
      </w:pPr>
      <w:r>
        <w:rPr>
          <w:noProof/>
        </w:rPr>
        <w:t xml:space="preserve"> 2.</w:t>
      </w:r>
      <w:r>
        <w:rPr>
          <w:noProof/>
        </w:rPr>
        <w:tab/>
        <w:t>In Artikel 59 wird folgender Absatz 6a eingefügt:</w:t>
      </w:r>
      <w:r>
        <w:rPr>
          <w:noProof/>
          <w:color w:val="1F497D"/>
        </w:rPr>
        <w:t xml:space="preserve"> </w:t>
      </w:r>
    </w:p>
    <w:p>
      <w:pPr>
        <w:pStyle w:val="ListParagraph"/>
        <w:spacing w:before="0" w:after="0"/>
        <w:contextualSpacing w:val="0"/>
        <w:rPr>
          <w:noProof/>
        </w:rPr>
      </w:pPr>
      <w:r>
        <w:rPr>
          <w:noProof/>
        </w:rPr>
        <w:t>„(6a) Die ELER-Förderung im Rahmen der Maßnahme gemäß Artikel 39b ist auf höchstens 1 % der Gesamtbeteiligung des ELER am Programm zur Entwicklung des ländlichen Raums begrenzt.“</w:t>
      </w:r>
    </w:p>
    <w:p>
      <w:pPr>
        <w:pStyle w:val="ManualNumPar1"/>
        <w:ind w:left="720" w:firstLine="0"/>
        <w:rPr>
          <w:noProof/>
        </w:rPr>
      </w:pPr>
    </w:p>
    <w:p>
      <w:pPr>
        <w:pStyle w:val="ManualNumPar1"/>
        <w:ind w:left="720" w:firstLine="0"/>
        <w:rPr>
          <w:noProof/>
        </w:rPr>
      </w:pPr>
    </w:p>
    <w:p>
      <w:pPr>
        <w:pStyle w:val="ManualNumPar1"/>
        <w:ind w:left="720" w:firstLine="0"/>
        <w:rPr>
          <w:noProof/>
        </w:rPr>
      </w:pPr>
      <w:r>
        <w:rPr>
          <w:noProof/>
        </w:rPr>
        <w:t xml:space="preserve">3. Artikel 49 Absatz 2 wird wie folgt geändert: </w:t>
      </w:r>
    </w:p>
    <w:p>
      <w:pPr>
        <w:pStyle w:val="Text1"/>
        <w:ind w:left="1440"/>
        <w:rPr>
          <w:noProof/>
        </w:rPr>
      </w:pPr>
      <w:r>
        <w:rPr>
          <w:noProof/>
        </w:rPr>
        <w:t>„(2) Die für die Auswahl der Vorhaben verantwortliche Behörde des Mitgliedstaats stellt – mit Ausnahme der Vorhaben im Rahmen des Artikels 18 Absatz 1 Buchstabe b, des Artikels 24 Absatz 1 Buchstabe d sowie der Artikel 28 bis 31, 33 bis 34 und 36 bis 39b – sicher, dass die Vorhaben anhand der in Absatz 1 genannten Auswahlkriterien im Rahmen eines transparenten und gut dokumentierten Verfahrens ausgewählt werden.“</w:t>
      </w:r>
    </w:p>
    <w:p>
      <w:pPr>
        <w:pStyle w:val="Text1"/>
        <w:rPr>
          <w:noProof/>
        </w:rPr>
      </w:pPr>
    </w:p>
    <w:p>
      <w:pPr>
        <w:ind w:left="-76"/>
        <w:rPr>
          <w:noProof/>
        </w:rPr>
      </w:pPr>
    </w:p>
    <w:p>
      <w:pPr>
        <w:pStyle w:val="Titrearticle"/>
        <w:rPr>
          <w:noProof/>
        </w:rPr>
      </w:pPr>
      <w:r>
        <w:rPr>
          <w:noProof/>
        </w:rPr>
        <w:lastRenderedPageBreak/>
        <w:t>Artikel 2</w:t>
      </w:r>
    </w:p>
    <w:p>
      <w:pPr>
        <w:rPr>
          <w:noProof/>
        </w:rPr>
      </w:pPr>
      <w:r>
        <w:rPr>
          <w:noProof/>
        </w:rPr>
        <w:t xml:space="preserve">Diese Verordnung tritt am Tag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lastRenderedPageBreak/>
        <w:t>FINANZBOGEN ZU RECHTSAKTEN</w:t>
      </w:r>
    </w:p>
    <w:p>
      <w:pPr>
        <w:pStyle w:val="ManualHeading1"/>
        <w:rPr>
          <w:noProof/>
        </w:rPr>
      </w:pPr>
      <w:bookmarkStart w:id="1" w:name="_Toc514938007"/>
      <w:bookmarkStart w:id="2" w:name="_Toc520485025"/>
      <w:r>
        <w:t>1.</w:t>
      </w:r>
      <w:r>
        <w:tab/>
      </w:r>
      <w:r>
        <w:rPr>
          <w:noProof/>
        </w:rPr>
        <w:t>RAHMEN DES VORSCHLAGS/DER INITIATIVE</w:t>
      </w:r>
      <w:bookmarkEnd w:id="1"/>
      <w:bookmarkEnd w:id="2"/>
      <w:r>
        <w:rPr>
          <w:noProof/>
        </w:rPr>
        <w:t xml:space="preserve"> </w:t>
      </w:r>
    </w:p>
    <w:p>
      <w:pPr>
        <w:pStyle w:val="ManualHeading2"/>
        <w:rPr>
          <w:noProof/>
        </w:rPr>
      </w:pPr>
      <w:bookmarkStart w:id="3" w:name="_Toc514938008"/>
      <w:bookmarkStart w:id="4" w:name="_Toc520485026"/>
      <w:r>
        <w:t>1.1.</w:t>
      </w:r>
      <w:r>
        <w:tab/>
      </w:r>
      <w:r>
        <w:rPr>
          <w:noProof/>
        </w:rPr>
        <w:t>Bezeichnung des Vorschlags/der Initiative</w:t>
      </w:r>
      <w:bookmarkEnd w:id="3"/>
      <w:bookmarkEnd w:id="4"/>
    </w:p>
    <w:p>
      <w:pPr>
        <w:pStyle w:val="Text1"/>
        <w:pBdr>
          <w:top w:val="single" w:sz="4" w:space="1" w:color="auto"/>
          <w:left w:val="single" w:sz="4" w:space="4" w:color="auto"/>
          <w:bottom w:val="single" w:sz="4" w:space="1" w:color="auto"/>
          <w:right w:val="single" w:sz="4" w:space="4" w:color="auto"/>
        </w:pBdr>
        <w:rPr>
          <w:noProof/>
        </w:rPr>
      </w:pPr>
      <w:r>
        <w:t>Vorschlag für eine Verordnung des Europäischen Parlaments und des Rates zur Änderung der Verordnung (EU) Nr. 1305/2013 hinsichtlich spezifischer Maßnahmen zur Gewährung einer befristeten Sonderunterstützung im Rahmen des ELER als Reaktion auf den Ausbruch von COVID-19</w:t>
      </w:r>
    </w:p>
    <w:p>
      <w:pPr>
        <w:pStyle w:val="ManualHeading2"/>
        <w:rPr>
          <w:bCs/>
          <w:noProof/>
          <w:szCs w:val="24"/>
        </w:rPr>
      </w:pPr>
      <w:bookmarkStart w:id="5" w:name="_Toc514938014"/>
      <w:bookmarkStart w:id="6" w:name="_Toc520485028"/>
      <w:r>
        <w:t>1.2.</w:t>
      </w:r>
      <w:r>
        <w:tab/>
      </w:r>
      <w:r>
        <w:rPr>
          <w:noProof/>
        </w:rPr>
        <w:t>Der Vorschlag/Die Initiative betrifft</w:t>
      </w:r>
      <w:bookmarkEnd w:id="5"/>
      <w:bookmarkEnd w:id="6"/>
      <w:r>
        <w:rPr>
          <w:noProof/>
        </w:rPr>
        <w:t xml:space="preserve"> </w:t>
      </w:r>
    </w:p>
    <w:p>
      <w:pPr>
        <w:pStyle w:val="Text1"/>
        <w:rPr>
          <w:b/>
          <w:noProof/>
          <w:sz w:val="22"/>
        </w:rPr>
      </w:pPr>
      <w:r>
        <w:rPr>
          <w:noProof/>
          <w:sz w:val="22"/>
        </w:rPr>
        <w:sym w:font="Wingdings" w:char="F0A8"/>
      </w:r>
      <w:r>
        <w:rPr>
          <w:b/>
          <w:i/>
          <w:noProof/>
          <w:sz w:val="22"/>
        </w:rPr>
        <w:t xml:space="preserve">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eine neue Maßnahme im Anschluss an ein Pilotprojekt/eine vorbereitende Maßnahme</w:t>
      </w:r>
      <w:r>
        <w:rPr>
          <w:rStyle w:val="FootnoteReference"/>
          <w:b/>
          <w:noProof/>
        </w:rPr>
        <w:footnoteReference w:id="4"/>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die Verlängerung einer bestehenden Maßnahme</w:t>
      </w:r>
      <w:r>
        <w:rPr>
          <w:noProof/>
          <w:sz w:val="22"/>
        </w:rPr>
        <w:t xml:space="preserve"> </w:t>
      </w:r>
    </w:p>
    <w:p>
      <w:pPr>
        <w:pStyle w:val="Text1"/>
        <w:rPr>
          <w:noProof/>
        </w:rPr>
      </w:pPr>
      <w:r>
        <w:rPr>
          <w:noProof/>
          <w:sz w:val="22"/>
        </w:rPr>
        <w:t>X</w:t>
      </w:r>
      <w:r>
        <w:rPr>
          <w:i/>
          <w:noProof/>
          <w:sz w:val="22"/>
        </w:rPr>
        <w:t xml:space="preserve"> </w:t>
      </w:r>
      <w:r>
        <w:rPr>
          <w:b/>
          <w:noProof/>
        </w:rPr>
        <w:t>die Zusammenführung mehrerer oder die Neuausrichtung mindestens einer Maßnahme</w:t>
      </w:r>
      <w:r>
        <w:rPr>
          <w:noProof/>
        </w:rPr>
        <w:t xml:space="preserve"> </w:t>
      </w:r>
    </w:p>
    <w:p>
      <w:pPr>
        <w:pStyle w:val="ManualHeading2"/>
        <w:rPr>
          <w:bCs/>
          <w:noProof/>
          <w:szCs w:val="24"/>
        </w:rPr>
      </w:pPr>
      <w:bookmarkStart w:id="7" w:name="_Toc514938015"/>
      <w:bookmarkStart w:id="8" w:name="_Toc520485029"/>
      <w:r>
        <w:t>1.3.</w:t>
      </w:r>
      <w:r>
        <w:tab/>
      </w:r>
      <w:r>
        <w:rPr>
          <w:noProof/>
        </w:rPr>
        <w:t>Ziel(e)</w:t>
      </w:r>
      <w:bookmarkEnd w:id="7"/>
      <w:bookmarkEnd w:id="8"/>
    </w:p>
    <w:p>
      <w:pPr>
        <w:pStyle w:val="ManualHeading3"/>
        <w:rPr>
          <w:noProof/>
        </w:rPr>
      </w:pPr>
      <w:bookmarkStart w:id="9" w:name="_Toc514938016"/>
      <w:bookmarkStart w:id="10" w:name="_Toc520485030"/>
      <w:r>
        <w:t>1.3.1.</w:t>
      </w:r>
      <w:r>
        <w:tab/>
      </w:r>
      <w:r>
        <w:rPr>
          <w:noProof/>
        </w:rPr>
        <w:t>Allgemeine(s) Ziel(e)</w:t>
      </w:r>
      <w:bookmarkEnd w:id="9"/>
      <w:bookmarkEnd w:id="10"/>
    </w:p>
    <w:p>
      <w:pPr>
        <w:pStyle w:val="Text1"/>
        <w:pBdr>
          <w:top w:val="single" w:sz="4" w:space="1" w:color="auto"/>
          <w:left w:val="single" w:sz="4" w:space="4" w:color="auto"/>
          <w:bottom w:val="single" w:sz="4" w:space="1" w:color="auto"/>
          <w:right w:val="single" w:sz="4" w:space="4" w:color="auto"/>
        </w:pBdr>
      </w:pPr>
      <w:r>
        <w:rPr>
          <w:noProof/>
        </w:rPr>
        <w:t>Einführung einer neuen befristeten Sondermaßnahme zur Behebung von Liquiditätsproblemen, die die Fortführung landwirtschaftlicher Tätigkeiten und den Fortbestand kleiner Unternehmen gefährden, die landwirtschaftliche Erzeugnisse verarbeiten.</w:t>
      </w:r>
      <w:r>
        <w:t xml:space="preserve"> </w:t>
      </w:r>
    </w:p>
    <w:p>
      <w:pPr>
        <w:pStyle w:val="ManualHeading3"/>
        <w:rPr>
          <w:bCs/>
          <w:noProof/>
          <w:szCs w:val="24"/>
        </w:rPr>
      </w:pPr>
      <w:bookmarkStart w:id="11" w:name="_Toc514938018"/>
      <w:bookmarkStart w:id="12" w:name="_Toc520485031"/>
      <w:r>
        <w:t>1.3.2.</w:t>
      </w:r>
      <w:r>
        <w:tab/>
      </w:r>
      <w:r>
        <w:rPr>
          <w:noProof/>
        </w:rPr>
        <w:t>Einzelziel(e)</w:t>
      </w:r>
      <w:bookmarkEnd w:id="11"/>
      <w:bookmarkEnd w:id="12"/>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Einzelziel Nr.</w:t>
      </w:r>
    </w:p>
    <w:p>
      <w:pPr>
        <w:pStyle w:val="Text1"/>
        <w:pBdr>
          <w:top w:val="single" w:sz="4" w:space="1" w:color="auto"/>
          <w:left w:val="single" w:sz="4" w:space="4" w:color="auto"/>
          <w:bottom w:val="single" w:sz="4" w:space="1" w:color="auto"/>
          <w:right w:val="single" w:sz="4" w:space="4" w:color="auto"/>
        </w:pBdr>
      </w:pPr>
      <w:r>
        <w:t>Entfällt.</w:t>
      </w:r>
    </w:p>
    <w:p>
      <w:pPr>
        <w:pStyle w:val="ManualHeading3"/>
        <w:rPr>
          <w:noProof/>
        </w:rPr>
      </w:pPr>
      <w:bookmarkStart w:id="13" w:name="_Toc514938019"/>
      <w:bookmarkStart w:id="14" w:name="_Toc520485032"/>
      <w:r>
        <w:t>1.3.3.</w:t>
      </w:r>
      <w:r>
        <w:tab/>
      </w:r>
      <w:r>
        <w:rPr>
          <w:noProof/>
        </w:rPr>
        <w:t>Erwartete Ergebnisse und Auswirkungen</w:t>
      </w:r>
      <w:bookmarkEnd w:id="13"/>
      <w:bookmarkEnd w:id="14"/>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rPr>
      </w:pPr>
      <w:r>
        <w:t>Entfällt.</w:t>
      </w:r>
    </w:p>
    <w:p>
      <w:pPr>
        <w:pStyle w:val="ManualHeading3"/>
        <w:rPr>
          <w:noProof/>
          <w:szCs w:val="24"/>
        </w:rPr>
      </w:pPr>
      <w:bookmarkStart w:id="15" w:name="_Toc514938023"/>
      <w:bookmarkStart w:id="16" w:name="_Toc520485033"/>
      <w:r>
        <w:t>1.3.4.</w:t>
      </w:r>
      <w:r>
        <w:tab/>
      </w:r>
      <w:r>
        <w:rPr>
          <w:noProof/>
        </w:rPr>
        <w:t>Leistungsindikatoren</w:t>
      </w:r>
      <w:bookmarkEnd w:id="15"/>
      <w:bookmarkEnd w:id="16"/>
    </w:p>
    <w:p>
      <w:pPr>
        <w:pStyle w:val="Text1"/>
        <w:rPr>
          <w:i/>
          <w:noProof/>
          <w:sz w:val="20"/>
        </w:rPr>
      </w:pPr>
      <w:r>
        <w:rPr>
          <w:i/>
          <w:noProof/>
          <w:sz w:val="20"/>
        </w:rPr>
        <w:t>Bitte geben Sie an, anhand welcher Indikatoren sich die Fortschritte und Ergebnisse verfolgen lassen.</w:t>
      </w:r>
    </w:p>
    <w:p>
      <w:pPr>
        <w:pStyle w:val="Text1"/>
        <w:pBdr>
          <w:top w:val="single" w:sz="4" w:space="1" w:color="auto"/>
          <w:left w:val="single" w:sz="4" w:space="4" w:color="auto"/>
          <w:bottom w:val="single" w:sz="4" w:space="1" w:color="auto"/>
          <w:right w:val="single" w:sz="4" w:space="4" w:color="auto"/>
        </w:pBdr>
      </w:pPr>
      <w:r>
        <w:t>Entfällt.</w:t>
      </w:r>
    </w:p>
    <w:p>
      <w:pPr>
        <w:pStyle w:val="ManualHeading2"/>
        <w:rPr>
          <w:bCs/>
          <w:noProof/>
          <w:szCs w:val="24"/>
        </w:rPr>
      </w:pPr>
      <w:bookmarkStart w:id="17" w:name="_Toc514938025"/>
      <w:bookmarkStart w:id="18" w:name="_Toc520485034"/>
      <w:r>
        <w:t>1.4.</w:t>
      </w:r>
      <w:r>
        <w:tab/>
      </w:r>
      <w:r>
        <w:rPr>
          <w:noProof/>
        </w:rPr>
        <w:t>Begründung des Vorschlags/der Initiative</w:t>
      </w:r>
      <w:bookmarkEnd w:id="17"/>
      <w:bookmarkEnd w:id="18"/>
      <w:r>
        <w:rPr>
          <w:noProof/>
        </w:rPr>
        <w:t xml:space="preserve"> </w:t>
      </w:r>
    </w:p>
    <w:p>
      <w:pPr>
        <w:pStyle w:val="ManualHeading3"/>
        <w:rPr>
          <w:noProof/>
        </w:rPr>
      </w:pPr>
      <w:bookmarkStart w:id="19" w:name="_Toc514938026"/>
      <w:bookmarkStart w:id="20" w:name="_Toc520485035"/>
      <w:r>
        <w:t>1.4.1.</w:t>
      </w:r>
      <w:r>
        <w:tab/>
      </w:r>
      <w:r>
        <w:rPr>
          <w:noProof/>
        </w:rPr>
        <w:t>Kurz- oder langfristig zu deckender Bedarf, einschließlich einer detaillierten Zeitleiste für die Durchführung der Initiative</w:t>
      </w:r>
      <w:bookmarkEnd w:id="19"/>
      <w:bookmarkEnd w:id="20"/>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bookmarkStart w:id="21" w:name="_Toc514938029"/>
      <w:bookmarkStart w:id="22" w:name="_Toc520485036"/>
      <w:r>
        <w:t>1.4.2.</w:t>
      </w:r>
      <w:r>
        <w:tab/>
      </w:r>
      <w:r>
        <w:rPr>
          <w:noProof/>
        </w:rPr>
        <w:t>Mehrwert aufgrund des Tätigwerdens der Union (kann sich aus unterschiedlichen Faktoren ergeben, z. B. durch Koordinierung, Rechtssicherheit, größerer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noProof/>
        </w:rPr>
      </w:pPr>
      <w:bookmarkStart w:id="23" w:name="_Toc514938030"/>
      <w:bookmarkStart w:id="24" w:name="_Toc520485037"/>
      <w:r>
        <w:t>1.4.3.</w:t>
      </w:r>
      <w:r>
        <w:tab/>
      </w:r>
      <w:r>
        <w:rPr>
          <w:noProof/>
        </w:rPr>
        <w:t>Aus früheren ähnlichen Maßnahmen gewonnene Erkenntnisse</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noProof/>
        </w:rPr>
      </w:pPr>
      <w:bookmarkStart w:id="25" w:name="_Toc514938033"/>
      <w:bookmarkStart w:id="26" w:name="_Toc520485038"/>
      <w:r>
        <w:t>1.4.4.</w:t>
      </w:r>
      <w:r>
        <w:tab/>
      </w:r>
      <w:r>
        <w:rPr>
          <w:noProof/>
        </w:rPr>
        <w:t>Vereinbarkeit mit dem Mehrjährigen Finanzrahmen sowie mögliche Synergieeffekte mit anderen geeigneten Instrumenten</w:t>
      </w:r>
      <w:bookmarkEnd w:id="25"/>
      <w:bookmarkEnd w:id="26"/>
    </w:p>
    <w:p>
      <w:pPr>
        <w:pStyle w:val="Text1"/>
        <w:pBdr>
          <w:top w:val="single" w:sz="4" w:space="1" w:color="auto"/>
          <w:left w:val="single" w:sz="4" w:space="4" w:color="auto"/>
          <w:bottom w:val="single" w:sz="4" w:space="1" w:color="auto"/>
          <w:right w:val="single" w:sz="4" w:space="4" w:color="auto"/>
        </w:pBdr>
        <w:rPr>
          <w:noProof/>
        </w:rPr>
      </w:pPr>
      <w:r>
        <w:t>Entfällt.</w:t>
      </w:r>
    </w:p>
    <w:p>
      <w:pPr>
        <w:pStyle w:val="ManualHeading3"/>
        <w:rPr>
          <w:noProof/>
        </w:rPr>
      </w:pPr>
      <w:bookmarkStart w:id="27" w:name="_Toc514938036"/>
      <w:bookmarkStart w:id="28" w:name="_Toc520485039"/>
      <w:r>
        <w:t>1.4.5.</w:t>
      </w:r>
      <w:r>
        <w:tab/>
      </w:r>
      <w:r>
        <w:rPr>
          <w:noProof/>
        </w:rPr>
        <w:t>Bewertung der verschiedenen verfügbaren Finanzierungsoptionen, einschließlich der Möglichkeiten für eine Umschichtung</w:t>
      </w:r>
      <w:bookmarkEnd w:id="27"/>
      <w:bookmarkEnd w:id="28"/>
    </w:p>
    <w:p>
      <w:pPr>
        <w:pStyle w:val="Text1"/>
        <w:pBdr>
          <w:top w:val="single" w:sz="4" w:space="1" w:color="auto"/>
          <w:left w:val="single" w:sz="4" w:space="4" w:color="auto"/>
          <w:bottom w:val="single" w:sz="4" w:space="1" w:color="auto"/>
          <w:right w:val="single" w:sz="4" w:space="4" w:color="auto"/>
        </w:pBdr>
        <w:rPr>
          <w:noProof/>
        </w:rPr>
      </w:pPr>
      <w:r>
        <w:t>Entfällt.</w:t>
      </w:r>
    </w:p>
    <w:p>
      <w:pPr>
        <w:pStyle w:val="Text1"/>
        <w:rPr>
          <w:noProof/>
        </w:rPr>
      </w:pPr>
    </w:p>
    <w:p>
      <w:pPr>
        <w:pStyle w:val="ManualHeading2"/>
        <w:rPr>
          <w:bCs/>
          <w:noProof/>
          <w:szCs w:val="24"/>
        </w:rPr>
      </w:pPr>
      <w:r>
        <w:rPr>
          <w:noProof/>
        </w:rPr>
        <w:br w:type="page"/>
      </w:r>
      <w:bookmarkStart w:id="29" w:name="_Toc514938039"/>
      <w:bookmarkStart w:id="30" w:name="_Toc520485040"/>
      <w:r>
        <w:t>1.5.</w:t>
      </w:r>
      <w:r>
        <w:tab/>
      </w:r>
      <w:r>
        <w:rPr>
          <w:noProof/>
        </w:rPr>
        <w:t>Laufzeit und finanzielle Auswirkungen des Vorschlags/der Initiative</w:t>
      </w:r>
      <w:bookmarkEnd w:id="29"/>
      <w:bookmarkEnd w:id="30"/>
    </w:p>
    <w:p>
      <w:pPr>
        <w:pStyle w:val="Text1"/>
        <w:rPr>
          <w:noProof/>
        </w:rPr>
      </w:pPr>
      <w:r>
        <w:rPr>
          <w:noProof/>
        </w:rPr>
        <w:t>X</w:t>
      </w:r>
      <w:r>
        <w:rPr>
          <w:b/>
          <w:i/>
          <w:noProof/>
        </w:rPr>
        <w:t xml:space="preserve"> </w:t>
      </w:r>
      <w:r>
        <w:rPr>
          <w:b/>
          <w:noProof/>
        </w:rPr>
        <w:t xml:space="preserve">befristete Laufzeit </w:t>
      </w:r>
    </w:p>
    <w:p>
      <w:pPr>
        <w:pStyle w:val="ListDash2"/>
        <w:rPr>
          <w:noProof/>
        </w:rPr>
      </w:pPr>
      <w:r>
        <w:rPr>
          <w:noProof/>
        </w:rPr>
        <w:sym w:font="Wingdings" w:char="F0A8"/>
      </w:r>
      <w:r>
        <w:rPr>
          <w:noProof/>
        </w:rPr>
        <w:tab/>
        <w:t xml:space="preserve">Laufzeit: [TT.MM.]JJJJ bis [TT.MM.]JJJJ </w:t>
      </w:r>
    </w:p>
    <w:p>
      <w:pPr>
        <w:pStyle w:val="ListDash2"/>
        <w:rPr>
          <w:noProof/>
        </w:rPr>
      </w:pPr>
      <w:r>
        <w:rPr>
          <w:noProof/>
        </w:rPr>
        <w:t>X</w:t>
      </w:r>
      <w:r>
        <w:rPr>
          <w:noProof/>
        </w:rPr>
        <w:tab/>
        <w:t xml:space="preserve">Keine finanziellen Gesamtauswirkungen bei den Mitteln für Verpflichtungen und den Mitteln für Zahlungen. </w:t>
      </w:r>
    </w:p>
    <w:p>
      <w:pPr>
        <w:pStyle w:val="Text1"/>
        <w:rPr>
          <w:noProof/>
        </w:rPr>
      </w:pPr>
      <w:r>
        <w:rPr>
          <w:noProof/>
        </w:rPr>
        <w:sym w:font="Wingdings" w:char="F0A8"/>
      </w:r>
      <w:r>
        <w:rPr>
          <w:b/>
          <w:i/>
          <w:noProof/>
        </w:rPr>
        <w:t xml:space="preserve"> </w:t>
      </w:r>
      <w:r>
        <w:rPr>
          <w:b/>
          <w:noProof/>
        </w:rPr>
        <w:t>unbefristete Laufzeit</w:t>
      </w:r>
    </w:p>
    <w:p>
      <w:pPr>
        <w:pStyle w:val="ListDash1"/>
        <w:rPr>
          <w:noProof/>
        </w:rPr>
      </w:pPr>
      <w:r>
        <w:rPr>
          <w:noProof/>
        </w:rPr>
        <w:t>Anlaufphase von JJJJ bis JJJJ,</w:t>
      </w:r>
    </w:p>
    <w:p>
      <w:pPr>
        <w:pStyle w:val="ListDash1"/>
        <w:rPr>
          <w:noProof/>
        </w:rPr>
      </w:pPr>
      <w:r>
        <w:rPr>
          <w:noProof/>
        </w:rPr>
        <w:t>anschließend reguläre Umsetzung.</w:t>
      </w:r>
    </w:p>
    <w:p>
      <w:pPr>
        <w:pStyle w:val="ManualHeading2"/>
        <w:rPr>
          <w:bCs/>
          <w:noProof/>
          <w:szCs w:val="24"/>
        </w:rPr>
      </w:pPr>
      <w:bookmarkStart w:id="31" w:name="_Toc514938040"/>
      <w:bookmarkStart w:id="32" w:name="_Toc520485041"/>
      <w:r>
        <w:t>1.6.</w:t>
      </w:r>
      <w:r>
        <w:tab/>
      </w:r>
      <w:r>
        <w:rPr>
          <w:noProof/>
        </w:rPr>
        <w:t>Vorgeschlagene Methode(n) der Mittelverwaltung</w:t>
      </w:r>
      <w:r>
        <w:rPr>
          <w:rStyle w:val="FootnoteReference"/>
          <w:noProof/>
        </w:rPr>
        <w:footnoteReference w:id="5"/>
      </w:r>
      <w:bookmarkEnd w:id="31"/>
      <w:bookmarkEnd w:id="32"/>
    </w:p>
    <w:p>
      <w:pPr>
        <w:pStyle w:val="Text1"/>
        <w:rPr>
          <w:noProof/>
        </w:rPr>
      </w:pPr>
      <w:r>
        <w:rPr>
          <w:noProof/>
        </w:rPr>
        <w:sym w:font="Wingdings" w:char="F0A8"/>
      </w:r>
      <w:r>
        <w:rPr>
          <w:i/>
          <w:noProof/>
        </w:rPr>
        <w:t xml:space="preserve"> </w:t>
      </w:r>
      <w:r>
        <w:rPr>
          <w:b/>
          <w:noProof/>
        </w:rPr>
        <w:t>Direkte Mittelverwaltung</w:t>
      </w:r>
      <w:r>
        <w:rPr>
          <w:noProof/>
        </w:rPr>
        <w:t xml:space="preserve"> durch die Kommission</w:t>
      </w:r>
    </w:p>
    <w:p>
      <w:pPr>
        <w:pStyle w:val="ListDash2"/>
        <w:rPr>
          <w:rFonts w:cs="EUAlbertina"/>
          <w:noProof/>
        </w:rPr>
      </w:pPr>
      <w:r>
        <w:rPr>
          <w:noProof/>
        </w:rPr>
        <w:sym w:font="Wingdings" w:char="F0A8"/>
      </w:r>
      <w:r>
        <w:rPr>
          <w:noProof/>
        </w:rPr>
        <w:t xml:space="preserve">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t>X</w:t>
      </w:r>
      <w:r>
        <w:rPr>
          <w:b/>
          <w:i/>
          <w:noProof/>
        </w:rPr>
        <w:t xml:space="preserve"> </w:t>
      </w:r>
      <w:r>
        <w:rPr>
          <w:b/>
          <w:noProof/>
        </w:rPr>
        <w:t>Geteilte Mittelverwaltung</w:t>
      </w:r>
      <w:r>
        <w:rPr>
          <w:noProof/>
        </w:rPr>
        <w:t xml:space="preserve"> mit Mitgliedstaaten </w:t>
      </w:r>
    </w:p>
    <w:p>
      <w:pPr>
        <w:pStyle w:val="Text1"/>
        <w:rPr>
          <w:noProof/>
        </w:rPr>
      </w:pPr>
      <w:r>
        <w:rPr>
          <w:noProof/>
        </w:rPr>
        <w:sym w:font="Wingdings" w:char="F0A8"/>
      </w:r>
      <w:r>
        <w:rPr>
          <w:i/>
          <w:noProof/>
        </w:rPr>
        <w:t xml:space="preserve"> </w:t>
      </w:r>
      <w:r>
        <w:rPr>
          <w:b/>
          <w:noProof/>
        </w:rPr>
        <w:t>Indirekte Verwaltung</w:t>
      </w:r>
      <w:r>
        <w:rPr>
          <w:noProof/>
        </w:rPr>
        <w:t xml:space="preserve"> 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A8"/>
      </w:r>
      <w:r>
        <w:rPr>
          <w:noProof/>
        </w:rPr>
        <w:t xml:space="preserve"> Einrichtungen im Sinne der Artikel 70 und 71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finanzielle Garantien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finanzielle Garantien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pPr>
      <w:r>
        <w:t>Dieser neue Vorschlag bewirkt keinerlei Änderungen der jährlichen Obergrenzen des Mehrjährigen Finanzrahmens für Mittel für Verpflichtungen und Zahlungen gemäß Anhang I der Verordnung (EU) Nr. 1311/2013. Die jährliche Aufteilung der Mittel für Verpflichtungen für den Europäischen Landwirtschaftsfonds für die Entwicklung des ländlichen Raums bleibt unverändert.</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Insgesamt werden durch diese Maßnahme keine zusätzlichen Mittel für Zahlungen benötigt. Die zur Finanzierung dieser Maßnahme erforderlichen Mittel für Zahlungen des Jahres 2021 werden durch einen geringeren Bedarf an Mitteln für Zahlungen in den Folgejahren ausgeglichen.</w:t>
      </w:r>
    </w:p>
    <w:p>
      <w:pPr>
        <w:pStyle w:val="ManualHeading1"/>
        <w:rPr>
          <w:bCs/>
          <w:noProof/>
          <w:szCs w:val="24"/>
        </w:rPr>
      </w:pPr>
      <w:bookmarkStart w:id="33" w:name="_Toc514938041"/>
      <w:bookmarkStart w:id="34" w:name="_Toc520485042"/>
      <w:r>
        <w:t>2.</w:t>
      </w:r>
      <w:r>
        <w:tab/>
      </w:r>
      <w:r>
        <w:rPr>
          <w:noProof/>
        </w:rPr>
        <w:t>VERWALTUNGSMAẞNAHMEN</w:t>
      </w:r>
      <w:bookmarkEnd w:id="33"/>
      <w:bookmarkEnd w:id="34"/>
      <w:r>
        <w:rPr>
          <w:noProof/>
        </w:rPr>
        <w:t xml:space="preserve"> </w:t>
      </w:r>
    </w:p>
    <w:p>
      <w:pPr>
        <w:pStyle w:val="ManualHeading2"/>
        <w:rPr>
          <w:noProof/>
        </w:rPr>
      </w:pPr>
      <w:bookmarkStart w:id="35" w:name="_Toc514938042"/>
      <w:bookmarkStart w:id="36" w:name="_Toc520485043"/>
      <w:r>
        <w:t>2.1.</w:t>
      </w:r>
      <w:r>
        <w:tab/>
      </w:r>
      <w:r>
        <w:rPr>
          <w:noProof/>
        </w:rPr>
        <w:t>Überwachung und Berichterstattung</w:t>
      </w:r>
      <w:bookmarkEnd w:id="35"/>
      <w:bookmarkEnd w:id="36"/>
      <w:r>
        <w:rPr>
          <w:noProof/>
        </w:rPr>
        <w:t xml:space="preserve"> </w:t>
      </w:r>
    </w:p>
    <w:p>
      <w:pPr>
        <w:pStyle w:val="Text1"/>
        <w:rPr>
          <w:i/>
          <w:noProof/>
          <w:sz w:val="20"/>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t>Entfällt.</w:t>
      </w:r>
    </w:p>
    <w:p>
      <w:pPr>
        <w:pStyle w:val="ManualHeading2"/>
        <w:rPr>
          <w:bCs/>
          <w:noProof/>
          <w:szCs w:val="24"/>
        </w:rPr>
      </w:pPr>
      <w:bookmarkStart w:id="37" w:name="_Toc514938045"/>
      <w:bookmarkStart w:id="38" w:name="_Toc520485044"/>
      <w:r>
        <w:t>2.2.</w:t>
      </w:r>
      <w:r>
        <w:tab/>
      </w:r>
      <w:r>
        <w:rPr>
          <w:noProof/>
        </w:rPr>
        <w:t>Verwaltungs- und Kontrollsystem(e)</w:t>
      </w:r>
      <w:bookmarkEnd w:id="37"/>
      <w:bookmarkEnd w:id="38"/>
      <w:r>
        <w:rPr>
          <w:noProof/>
        </w:rPr>
        <w:t xml:space="preserve"> </w:t>
      </w:r>
    </w:p>
    <w:p>
      <w:pPr>
        <w:pStyle w:val="ManualHeading3"/>
        <w:rPr>
          <w:noProof/>
        </w:rPr>
      </w:pPr>
      <w:bookmarkStart w:id="39" w:name="_Toc514938046"/>
      <w:bookmarkStart w:id="40" w:name="_Toc520485045"/>
      <w:r>
        <w:t>2.2.1.</w:t>
      </w:r>
      <w:r>
        <w:tab/>
      </w:r>
      <w:r>
        <w:rPr>
          <w:noProof/>
        </w:rPr>
        <w:t>Begründung der Methode(n) der Mittelverwaltung, des Durchführungsmechanismus/der Durchführungsmechanismen für die Finanzierung, der Zahlungsmodalitäten und der Kontrollstrategie, wie vorgeschlagen</w:t>
      </w:r>
      <w:bookmarkEnd w:id="39"/>
      <w:bookmarkEnd w:id="40"/>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bookmarkStart w:id="41" w:name="_Toc514938047"/>
      <w:bookmarkStart w:id="42" w:name="_Toc520485046"/>
      <w:r>
        <w:t>2.2.2.</w:t>
      </w:r>
      <w:r>
        <w:tab/>
      </w:r>
      <w:r>
        <w:rPr>
          <w:noProof/>
        </w:rPr>
        <w:t>Angaben zu den ermittelten Risiken und dem/den zu deren Eindämmung eingerichteten System(en) der internen Kontrolle</w:t>
      </w:r>
      <w:bookmarkEnd w:id="41"/>
      <w:bookmarkEnd w:id="42"/>
    </w:p>
    <w:p>
      <w:pPr>
        <w:pStyle w:val="Text1"/>
        <w:pBdr>
          <w:top w:val="single" w:sz="4" w:space="1" w:color="auto"/>
          <w:left w:val="single" w:sz="4" w:space="4" w:color="auto"/>
          <w:bottom w:val="single" w:sz="4" w:space="1" w:color="auto"/>
          <w:right w:val="single" w:sz="4" w:space="4" w:color="auto"/>
        </w:pBdr>
        <w:rPr>
          <w:noProof/>
        </w:rPr>
      </w:pPr>
      <w:r>
        <w:t>Entfällt.</w:t>
      </w:r>
    </w:p>
    <w:p>
      <w:pPr>
        <w:pStyle w:val="ManualHeading3"/>
        <w:rPr>
          <w:noProof/>
        </w:rPr>
      </w:pPr>
      <w:bookmarkStart w:id="43" w:name="_Toc514938048"/>
      <w:bookmarkStart w:id="44" w:name="_Toc520485047"/>
      <w:r>
        <w:t>2.2.3.</w:t>
      </w:r>
      <w:r>
        <w:tab/>
      </w:r>
      <w:r>
        <w:rPr>
          <w:noProof/>
        </w:rPr>
        <w:t>Schätzung und Begründung der Kosteneffizienz der Kontrollen (Verhältnis zwischen den Kontrollkosten und dem Wert der betreffenden verwalteten Mittel) sowie Bewertung des erwarteten Ausmaßes des Fehlerrisikos (bei Zahlung und beim Abschluss)</w:t>
      </w:r>
      <w:bookmarkEnd w:id="43"/>
      <w:bookmarkEnd w:id="4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t>Entfällt.</w:t>
      </w:r>
    </w:p>
    <w:p>
      <w:pPr>
        <w:pStyle w:val="ManualHeading2"/>
        <w:rPr>
          <w:bCs/>
          <w:noProof/>
          <w:szCs w:val="24"/>
        </w:rPr>
      </w:pPr>
      <w:bookmarkStart w:id="45" w:name="_Toc514938049"/>
      <w:bookmarkStart w:id="46" w:name="_Toc520485048"/>
      <w:r>
        <w:t>2.3.</w:t>
      </w:r>
      <w:r>
        <w:tab/>
      </w:r>
      <w:r>
        <w:rPr>
          <w:noProof/>
        </w:rPr>
        <w:t>Prävention von Betrug und Unregelmäßigkeiten</w:t>
      </w:r>
      <w:bookmarkEnd w:id="45"/>
      <w:bookmarkEnd w:id="46"/>
      <w:r>
        <w:rPr>
          <w:noProof/>
        </w:rPr>
        <w:t xml:space="preserve"> </w:t>
      </w:r>
    </w:p>
    <w:p>
      <w:pPr>
        <w:pStyle w:val="Text1"/>
        <w:rPr>
          <w:i/>
          <w:noProof/>
          <w:sz w:val="20"/>
        </w:rPr>
      </w:pPr>
      <w:r>
        <w:rPr>
          <w:i/>
          <w:noProof/>
          <w:sz w:val="20"/>
        </w:rPr>
        <w:t>Bitte geben Sie an, welche Präventions- und Schutzmaßnahmen, z. B. im Rahmen der Betrugsbekämpfungsstrategie, bereits bestehen oder angedacht sind.</w:t>
      </w:r>
    </w:p>
    <w:p>
      <w:pPr>
        <w:pStyle w:val="Text1"/>
        <w:pBdr>
          <w:top w:val="single" w:sz="4" w:space="1" w:color="auto"/>
          <w:left w:val="single" w:sz="4" w:space="4" w:color="auto"/>
          <w:bottom w:val="single" w:sz="4" w:space="1" w:color="auto"/>
          <w:right w:val="single" w:sz="4" w:space="4" w:color="auto"/>
        </w:pBdr>
        <w:rPr>
          <w:noProof/>
        </w:rPr>
      </w:pPr>
      <w:r>
        <w:t>Entfällt.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7" w:name="_Toc514938050"/>
      <w:bookmarkStart w:id="48" w:name="_Toc520485049"/>
      <w:r>
        <w:t>3.</w:t>
      </w:r>
      <w:r>
        <w:tab/>
      </w:r>
      <w:r>
        <w:rPr>
          <w:noProof/>
        </w:rPr>
        <w:t>GESCHÄTZTE FINANZIELLE AUSWIRKUNGEN DES VORSCHLAGS/DER INITIATIVE</w:t>
      </w:r>
      <w:bookmarkEnd w:id="47"/>
      <w:bookmarkEnd w:id="48"/>
      <w:r>
        <w:rPr>
          <w:noProof/>
        </w:rPr>
        <w:t xml:space="preserve"> </w:t>
      </w:r>
    </w:p>
    <w:p>
      <w:pPr>
        <w:pStyle w:val="ManualHeading2"/>
        <w:rPr>
          <w:noProof/>
        </w:rPr>
      </w:pPr>
      <w:bookmarkStart w:id="49" w:name="_Toc514938051"/>
      <w:bookmarkStart w:id="50" w:name="_Toc520485050"/>
      <w:r>
        <w:t>3.1.</w:t>
      </w:r>
      <w:r>
        <w:tab/>
      </w:r>
      <w:r>
        <w:rPr>
          <w:noProof/>
        </w:rPr>
        <w:t>Betroffene Rubrik(en) des Mehrjährigen Finanzrahmens und Ausgabenlinie(n) im Haushaltsplan</w:t>
      </w:r>
      <w:bookmarkEnd w:id="49"/>
      <w:bookmarkEnd w:id="50"/>
      <w:r>
        <w:rPr>
          <w:noProof/>
        </w:rPr>
        <w:t xml:space="preserve"> </w:t>
      </w:r>
    </w:p>
    <w:p>
      <w:pPr>
        <w:pStyle w:val="ListBullet1"/>
        <w:rPr>
          <w:noProof/>
        </w:rPr>
      </w:pPr>
      <w:r>
        <w:rPr>
          <w:noProof/>
        </w:rPr>
        <w:t xml:space="preserve">Bestehende Haushaltslinien </w:t>
      </w:r>
    </w:p>
    <w:p>
      <w:pPr>
        <w:pStyle w:val="Text1"/>
        <w:rPr>
          <w:i/>
          <w:noProof/>
        </w:rPr>
      </w:pPr>
      <w:r>
        <w:rPr>
          <w:i/>
          <w:noProof/>
          <w:u w:val="single"/>
        </w:rPr>
        <w:t>In der Reihenfolge</w:t>
      </w:r>
      <w:r>
        <w:rPr>
          <w:i/>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Art der</w:t>
            </w:r>
            <w:r>
              <w:rPr>
                <w:noProof/>
              </w:rPr>
              <w:t xml:space="preserve"> </w:t>
            </w:r>
            <w:r>
              <w:rPr>
                <w:noProof/>
              </w:rPr>
              <w:br/>
            </w:r>
            <w:r>
              <w:rPr>
                <w:noProof/>
                <w:sz w:val="18"/>
              </w:rPr>
              <w:t>Ausgaben</w:t>
            </w:r>
          </w:p>
        </w:tc>
        <w:tc>
          <w:tcPr>
            <w:tcW w:w="4440" w:type="dxa"/>
            <w:gridSpan w:val="4"/>
            <w:vAlign w:val="center"/>
          </w:tcPr>
          <w:p>
            <w:pPr>
              <w:spacing w:before="60" w:after="60"/>
              <w:jc w:val="center"/>
              <w:rPr>
                <w:noProof/>
              </w:rPr>
            </w:pPr>
            <w:r>
              <w:rPr>
                <w:noProof/>
                <w:sz w:val="20"/>
              </w:rPr>
              <w:t xml:space="preserve">Finanzierungsbeiträge </w:t>
            </w:r>
          </w:p>
        </w:tc>
      </w:tr>
      <w:tr>
        <w:tc>
          <w:tcPr>
            <w:tcW w:w="1080" w:type="dxa"/>
            <w:vMerge/>
            <w:vAlign w:val="center"/>
          </w:tcPr>
          <w:p>
            <w:pPr>
              <w:jc w:val="center"/>
              <w:rPr>
                <w:noProof/>
              </w:rPr>
            </w:pPr>
          </w:p>
        </w:tc>
        <w:tc>
          <w:tcPr>
            <w:tcW w:w="3960" w:type="dxa"/>
            <w:vAlign w:val="center"/>
          </w:tcPr>
          <w:p>
            <w:pPr>
              <w:rPr>
                <w:noProof/>
              </w:rPr>
            </w:pPr>
            <w:r>
              <w:rPr>
                <w:noProof/>
                <w:sz w:val="20"/>
              </w:rPr>
              <w:t>Nummer</w:t>
            </w:r>
            <w:r>
              <w:rPr>
                <w:noProof/>
              </w:rPr>
              <w:br/>
            </w:r>
          </w:p>
        </w:tc>
        <w:tc>
          <w:tcPr>
            <w:tcW w:w="1080" w:type="dxa"/>
            <w:vAlign w:val="center"/>
          </w:tcPr>
          <w:p>
            <w:pPr>
              <w:jc w:val="center"/>
              <w:rPr>
                <w:noProof/>
              </w:rPr>
            </w:pPr>
            <w:r>
              <w:rPr>
                <w:noProof/>
                <w:sz w:val="18"/>
              </w:rPr>
              <w:t>GM/NGM</w:t>
            </w:r>
            <w:r>
              <w:rPr>
                <w:rStyle w:val="FootnoteReference"/>
                <w:noProof/>
                <w:sz w:val="18"/>
              </w:rPr>
              <w:footnoteReference w:id="6"/>
            </w:r>
          </w:p>
        </w:tc>
        <w:tc>
          <w:tcPr>
            <w:tcW w:w="956" w:type="dxa"/>
            <w:vAlign w:val="center"/>
          </w:tcPr>
          <w:p>
            <w:pPr>
              <w:jc w:val="center"/>
              <w:rPr>
                <w:noProof/>
              </w:rPr>
            </w:pPr>
            <w:r>
              <w:rPr>
                <w:noProof/>
                <w:sz w:val="18"/>
              </w:rPr>
              <w:t>von EFTA-Ländern</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rPr>
            </w:pPr>
            <w:r>
              <w:rPr>
                <w:noProof/>
                <w:sz w:val="18"/>
              </w:rPr>
              <w:t>von Kandidatenländern</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rPr>
            </w:pPr>
            <w:r>
              <w:rPr>
                <w:noProof/>
                <w:sz w:val="16"/>
              </w:rPr>
              <w:t xml:space="preserve">nach Artikel 21 Absatz 2 Buchstabe b der Haushaltsordnung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05.046001</w:t>
            </w:r>
            <w:r>
              <w:rPr>
                <w:rStyle w:val="FootnoteReference"/>
                <w:noProof/>
              </w:rPr>
              <w:footnoteReference w:id="9"/>
            </w:r>
          </w:p>
        </w:tc>
        <w:tc>
          <w:tcPr>
            <w:tcW w:w="1080" w:type="dxa"/>
            <w:vAlign w:val="center"/>
          </w:tcPr>
          <w:p>
            <w:pPr>
              <w:jc w:val="center"/>
              <w:rPr>
                <w:noProof/>
                <w:color w:val="0000FF"/>
              </w:rPr>
            </w:pPr>
            <w:r>
              <w:rPr>
                <w:noProof/>
                <w:sz w:val="22"/>
              </w:rPr>
              <w:t>GM</w:t>
            </w:r>
          </w:p>
        </w:tc>
        <w:tc>
          <w:tcPr>
            <w:tcW w:w="956" w:type="dxa"/>
            <w:vAlign w:val="center"/>
          </w:tcPr>
          <w:p>
            <w:pPr>
              <w:jc w:val="center"/>
              <w:rPr>
                <w:noProof/>
                <w:sz w:val="20"/>
                <w:szCs w:val="20"/>
              </w:rPr>
            </w:pPr>
            <w:r>
              <w:rPr>
                <w:noProof/>
                <w:sz w:val="20"/>
                <w:szCs w:val="20"/>
              </w:rPr>
              <w:t>NEIN</w:t>
            </w:r>
          </w:p>
        </w:tc>
        <w:tc>
          <w:tcPr>
            <w:tcW w:w="1080" w:type="dxa"/>
            <w:vAlign w:val="center"/>
          </w:tcPr>
          <w:p>
            <w:pPr>
              <w:jc w:val="center"/>
              <w:rPr>
                <w:noProof/>
                <w:sz w:val="20"/>
                <w:szCs w:val="20"/>
              </w:rPr>
            </w:pPr>
            <w:r>
              <w:rPr>
                <w:noProof/>
                <w:sz w:val="20"/>
                <w:szCs w:val="20"/>
              </w:rPr>
              <w:t>NEIN</w:t>
            </w:r>
          </w:p>
        </w:tc>
        <w:tc>
          <w:tcPr>
            <w:tcW w:w="956" w:type="dxa"/>
            <w:vAlign w:val="center"/>
          </w:tcPr>
          <w:p>
            <w:pPr>
              <w:jc w:val="center"/>
              <w:rPr>
                <w:noProof/>
                <w:sz w:val="20"/>
                <w:szCs w:val="20"/>
              </w:rPr>
            </w:pPr>
            <w:r>
              <w:rPr>
                <w:noProof/>
                <w:sz w:val="20"/>
                <w:szCs w:val="20"/>
              </w:rPr>
              <w:t>NEIN</w:t>
            </w:r>
          </w:p>
        </w:tc>
        <w:tc>
          <w:tcPr>
            <w:tcW w:w="1448" w:type="dxa"/>
            <w:vAlign w:val="center"/>
          </w:tcPr>
          <w:p>
            <w:pPr>
              <w:jc w:val="center"/>
              <w:rPr>
                <w:noProof/>
                <w:sz w:val="20"/>
                <w:szCs w:val="20"/>
              </w:rPr>
            </w:pPr>
            <w:r>
              <w:rPr>
                <w:noProof/>
                <w:sz w:val="20"/>
                <w:szCs w:val="20"/>
              </w:rPr>
              <w:t>NEIN</w:t>
            </w:r>
          </w:p>
        </w:tc>
      </w:tr>
    </w:tbl>
    <w:p>
      <w:pPr>
        <w:pStyle w:val="ListBullet1"/>
        <w:rPr>
          <w:noProof/>
        </w:rPr>
      </w:pPr>
      <w:r>
        <w:rPr>
          <w:noProof/>
        </w:rPr>
        <w:t xml:space="preserve">Neu zu schaffende Haushaltslinien </w:t>
      </w:r>
    </w:p>
    <w:p>
      <w:pPr>
        <w:pStyle w:val="Text1"/>
        <w:rPr>
          <w:i/>
          <w:noProof/>
          <w:sz w:val="20"/>
        </w:rPr>
      </w:pPr>
      <w:r>
        <w:rPr>
          <w:i/>
          <w:noProof/>
          <w:u w:val="single"/>
        </w:rPr>
        <w:t>In der Reihenfolge</w:t>
      </w:r>
      <w:r>
        <w:rPr>
          <w:i/>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Art der</w:t>
            </w:r>
            <w:r>
              <w:rPr>
                <w:noProof/>
              </w:rPr>
              <w:t xml:space="preserve"> </w:t>
            </w:r>
            <w:r>
              <w:rPr>
                <w:noProof/>
              </w:rPr>
              <w:br/>
            </w:r>
            <w:r>
              <w:rPr>
                <w:noProof/>
                <w:sz w:val="18"/>
              </w:rPr>
              <w:t>Ausgaben</w:t>
            </w:r>
          </w:p>
        </w:tc>
        <w:tc>
          <w:tcPr>
            <w:tcW w:w="4440" w:type="dxa"/>
            <w:gridSpan w:val="4"/>
            <w:vAlign w:val="center"/>
          </w:tcPr>
          <w:p>
            <w:pPr>
              <w:spacing w:before="60" w:after="60"/>
              <w:jc w:val="center"/>
              <w:rPr>
                <w:noProof/>
              </w:rPr>
            </w:pPr>
            <w:r>
              <w:rPr>
                <w:noProof/>
                <w:sz w:val="20"/>
              </w:rPr>
              <w:t xml:space="preserve">Finanzierungsbeiträge </w:t>
            </w:r>
          </w:p>
        </w:tc>
      </w:tr>
      <w:tr>
        <w:tc>
          <w:tcPr>
            <w:tcW w:w="1080" w:type="dxa"/>
            <w:vMerge/>
            <w:vAlign w:val="center"/>
          </w:tcPr>
          <w:p>
            <w:pPr>
              <w:jc w:val="center"/>
              <w:rPr>
                <w:noProof/>
              </w:rPr>
            </w:pPr>
          </w:p>
        </w:tc>
        <w:tc>
          <w:tcPr>
            <w:tcW w:w="3960" w:type="dxa"/>
            <w:vAlign w:val="center"/>
          </w:tcPr>
          <w:p>
            <w:pPr>
              <w:rPr>
                <w:noProof/>
              </w:rPr>
            </w:pPr>
            <w:r>
              <w:rPr>
                <w:noProof/>
                <w:sz w:val="20"/>
              </w:rPr>
              <w:t>Nummer</w:t>
            </w:r>
            <w:r>
              <w:rPr>
                <w:noProof/>
              </w:rPr>
              <w:br/>
            </w:r>
          </w:p>
        </w:tc>
        <w:tc>
          <w:tcPr>
            <w:tcW w:w="1080" w:type="dxa"/>
            <w:vAlign w:val="center"/>
          </w:tcPr>
          <w:p>
            <w:pPr>
              <w:jc w:val="center"/>
              <w:rPr>
                <w:noProof/>
              </w:rPr>
            </w:pPr>
            <w:r>
              <w:rPr>
                <w:noProof/>
                <w:sz w:val="18"/>
              </w:rPr>
              <w:t>GM/NGM</w:t>
            </w:r>
          </w:p>
        </w:tc>
        <w:tc>
          <w:tcPr>
            <w:tcW w:w="956" w:type="dxa"/>
            <w:vAlign w:val="center"/>
          </w:tcPr>
          <w:p>
            <w:pPr>
              <w:jc w:val="center"/>
              <w:rPr>
                <w:noProof/>
                <w:sz w:val="18"/>
              </w:rPr>
            </w:pPr>
            <w:r>
              <w:rPr>
                <w:noProof/>
                <w:sz w:val="18"/>
              </w:rPr>
              <w:t>von EFTA-Ländern</w:t>
            </w:r>
          </w:p>
        </w:tc>
        <w:tc>
          <w:tcPr>
            <w:tcW w:w="1080" w:type="dxa"/>
            <w:vAlign w:val="center"/>
          </w:tcPr>
          <w:p>
            <w:pPr>
              <w:jc w:val="center"/>
              <w:rPr>
                <w:noProof/>
                <w:sz w:val="18"/>
              </w:rPr>
            </w:pPr>
            <w:r>
              <w:rPr>
                <w:noProof/>
                <w:sz w:val="18"/>
              </w:rPr>
              <w:t>von Kandidatenländern</w:t>
            </w: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rPr>
            </w:pPr>
            <w:r>
              <w:rPr>
                <w:noProof/>
                <w:sz w:val="16"/>
              </w:rPr>
              <w:t xml:space="preserve">nach Artikel 21 Absatz 2 Buchstabe b der Haushaltsordnung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Entfällt.</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sz w:val="20"/>
                <w:szCs w:val="20"/>
              </w:rPr>
            </w:pPr>
            <w:r>
              <w:rPr>
                <w:noProof/>
                <w:sz w:val="20"/>
                <w:szCs w:val="20"/>
              </w:rPr>
              <w:t>JA/NEIN</w:t>
            </w:r>
          </w:p>
        </w:tc>
        <w:tc>
          <w:tcPr>
            <w:tcW w:w="1080" w:type="dxa"/>
            <w:vAlign w:val="center"/>
          </w:tcPr>
          <w:p>
            <w:pPr>
              <w:jc w:val="center"/>
              <w:rPr>
                <w:noProof/>
                <w:color w:val="0000FF"/>
                <w:sz w:val="20"/>
                <w:szCs w:val="20"/>
              </w:rPr>
            </w:pPr>
            <w:r>
              <w:rPr>
                <w:noProof/>
                <w:sz w:val="20"/>
                <w:szCs w:val="20"/>
              </w:rPr>
              <w:t>JA/NEIN</w:t>
            </w:r>
          </w:p>
        </w:tc>
        <w:tc>
          <w:tcPr>
            <w:tcW w:w="956" w:type="dxa"/>
            <w:vAlign w:val="center"/>
          </w:tcPr>
          <w:p>
            <w:pPr>
              <w:jc w:val="center"/>
              <w:rPr>
                <w:noProof/>
                <w:color w:val="0000FF"/>
                <w:sz w:val="20"/>
                <w:szCs w:val="20"/>
              </w:rPr>
            </w:pPr>
            <w:r>
              <w:rPr>
                <w:noProof/>
                <w:sz w:val="20"/>
                <w:szCs w:val="20"/>
              </w:rPr>
              <w:t>JA/NEIN</w:t>
            </w:r>
          </w:p>
        </w:tc>
        <w:tc>
          <w:tcPr>
            <w:tcW w:w="1448" w:type="dxa"/>
            <w:vAlign w:val="center"/>
          </w:tcPr>
          <w:p>
            <w:pPr>
              <w:jc w:val="center"/>
              <w:rPr>
                <w:noProof/>
                <w:sz w:val="20"/>
                <w:szCs w:val="20"/>
              </w:rPr>
            </w:pPr>
            <w:r>
              <w:rPr>
                <w:noProof/>
                <w:sz w:val="20"/>
                <w:szCs w:val="20"/>
              </w:rPr>
              <w:t>JA/NEIN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1" w:name="_Toc514938052"/>
      <w:bookmarkStart w:id="52" w:name="_Toc520485051"/>
      <w:r>
        <w:t>3.2.</w:t>
      </w:r>
      <w:r>
        <w:tab/>
      </w:r>
      <w:r>
        <w:rPr>
          <w:noProof/>
        </w:rPr>
        <w:t>Geschätzte finanzielle Auswirkungen des Vorschlags auf die Mittel</w:t>
      </w:r>
      <w:bookmarkEnd w:id="51"/>
      <w:bookmarkEnd w:id="52"/>
      <w:r>
        <w:rPr>
          <w:noProof/>
        </w:rPr>
        <w:t xml:space="preserve"> </w:t>
      </w:r>
    </w:p>
    <w:p>
      <w:pPr>
        <w:pStyle w:val="ManualHeading3"/>
        <w:rPr>
          <w:noProof/>
        </w:rPr>
      </w:pPr>
      <w:bookmarkStart w:id="53" w:name="_Toc514938053"/>
      <w:bookmarkStart w:id="54" w:name="_Toc520485052"/>
      <w:r>
        <w:t>3.2.1.</w:t>
      </w:r>
      <w:r>
        <w:tab/>
      </w:r>
      <w:r>
        <w:rPr>
          <w:noProof/>
        </w:rPr>
        <w:t>Übersicht über die geschätzten Auswirkungen auf die operativen Mittel</w:t>
      </w:r>
      <w:bookmarkEnd w:id="53"/>
      <w:bookmarkEnd w:id="54"/>
      <w:r>
        <w:rPr>
          <w:noProof/>
        </w:rPr>
        <w:t xml:space="preserve"> </w:t>
      </w:r>
    </w:p>
    <w:p>
      <w:pPr>
        <w:pStyle w:val="ListDash1"/>
        <w:rPr>
          <w:noProof/>
        </w:rPr>
      </w:pPr>
      <w:r>
        <w:rPr>
          <w:noProof/>
        </w:rPr>
        <w:sym w:font="Wingdings" w:char="F0A8"/>
      </w:r>
      <w:r>
        <w:rPr>
          <w:noProof/>
        </w:rPr>
        <w:tab/>
        <w:t xml:space="preserve">Für den Vorschlag/die Initiative werden keine operativen Mittel benötigt. </w:t>
      </w:r>
    </w:p>
    <w:p>
      <w:pPr>
        <w:pStyle w:val="ListDash1"/>
        <w:rPr>
          <w:noProof/>
        </w:rPr>
      </w:pPr>
      <w:r>
        <w:rPr>
          <w:noProof/>
        </w:rPr>
        <w:t>X</w:t>
      </w:r>
      <w:r>
        <w:rPr>
          <w:noProof/>
        </w:rPr>
        <w:tab/>
        <w:t>Für den Vorschlag/die Initiative werden die folgenden operativen Mittel benötigt:</w:t>
      </w:r>
    </w:p>
    <w:p>
      <w:pPr>
        <w:jc w:val="right"/>
        <w:rPr>
          <w:noProof/>
          <w:sz w:val="18"/>
          <w:szCs w:val="18"/>
        </w:rPr>
      </w:pPr>
      <w:r>
        <w:rPr>
          <w:noProof/>
          <w:sz w:val="18"/>
          <w:szCs w:val="18"/>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Rubrik des Mehrjährigen</w:t>
            </w:r>
            <w:r>
              <w:rPr>
                <w:noProof/>
              </w:rPr>
              <w:t xml:space="preserve"> </w:t>
            </w:r>
            <w:r>
              <w:rPr>
                <w:noProof/>
              </w:rPr>
              <w:br/>
            </w:r>
            <w:r>
              <w:rPr>
                <w:b/>
                <w:noProof/>
                <w:sz w:val="22"/>
              </w:rPr>
              <w:t xml:space="preserve">Finanzrahmens </w:t>
            </w:r>
          </w:p>
        </w:tc>
        <w:tc>
          <w:tcPr>
            <w:tcW w:w="1080" w:type="dxa"/>
            <w:vAlign w:val="center"/>
          </w:tcPr>
          <w:p>
            <w:pPr>
              <w:spacing w:before="60" w:after="60"/>
              <w:jc w:val="center"/>
              <w:rPr>
                <w:noProof/>
                <w:sz w:val="22"/>
              </w:rPr>
            </w:pPr>
            <w:r>
              <w:rPr>
                <w:noProof/>
                <w:sz w:val="22"/>
              </w:rPr>
              <w:t>Nummer</w:t>
            </w:r>
          </w:p>
          <w:p>
            <w:pPr>
              <w:spacing w:before="60" w:after="60"/>
              <w:jc w:val="center"/>
              <w:rPr>
                <w:noProof/>
              </w:rPr>
            </w:pPr>
            <w:r>
              <w:rPr>
                <w:noProof/>
                <w:sz w:val="22"/>
              </w:rPr>
              <w:t>2</w:t>
            </w:r>
          </w:p>
        </w:tc>
        <w:tc>
          <w:tcPr>
            <w:tcW w:w="7817" w:type="dxa"/>
            <w:vAlign w:val="center"/>
          </w:tcPr>
          <w:p>
            <w:pPr>
              <w:spacing w:before="60" w:after="60"/>
              <w:rPr>
                <w:noProof/>
              </w:rPr>
            </w:pPr>
            <w:r>
              <w:rPr>
                <w:noProof/>
              </w:rPr>
              <w:t>Nachhaltiges Wachstum: natürliche Ressourcen</w:t>
            </w:r>
          </w:p>
        </w:tc>
      </w:tr>
    </w:tbl>
    <w:p>
      <w:pPr>
        <w:rPr>
          <w:b/>
          <w:i/>
          <w:noProof/>
        </w:rPr>
      </w:pPr>
    </w:p>
    <w:p>
      <w:pPr>
        <w:rPr>
          <w:b/>
          <w:i/>
          <w:noProof/>
        </w:rPr>
      </w:pPr>
      <w:r>
        <w:rPr>
          <w:b/>
          <w:i/>
          <w:noProof/>
        </w:rPr>
        <w:t xml:space="preserve">Es gibt keine Auswirkungen auf die Mittel für Verpflichtungen. Da diese Änderung durch Änderungen der Programme zur Entwicklung des ländlichen Raums der Mitgliedstaaten innerhalb des vereinbarten Finanzrahmens finanziert wird, werden insgesamt keine zusätzlichen Mittel für Zahlungen benötigt. Alle Zahlungen für diese Maßnahme müssen durch niedrigere Zahlungen für andere Maßnahmen zur Entwicklung des ländlichen Raums ausgeglichen werden. </w:t>
      </w:r>
    </w:p>
    <w:p>
      <w:pPr>
        <w:rPr>
          <w:b/>
          <w:i/>
          <w:noProof/>
        </w:rPr>
      </w:pPr>
      <w:r>
        <w:rPr>
          <w:b/>
          <w:i/>
          <w:noProof/>
        </w:rPr>
        <w:t xml:space="preserve">Es wird davon ausgegangen, dass der Vorschlag hinsichtlich der Mittelausstattung für 2020 keine Auswirkungen auf die Mittel für Zahlungen für den ELER hat. Da die Mitgliedstaaten Zeit brauchen, um diese neue Maßnahme umzusetzen, werden die entsprechenden Ausgaben voraussichtlich im vierten Quartal 2020 gemeldet werden und sich somit auf den Haushalt 2021 auswirken. Die entsprechenden Auswirkungen auf die Mittel für Zahlungen, die mit rund 650 Mio. EUR veranschlagt werden, werden sich im Haushaltsplanentwurf 2021 bei den zu beantragenden Mitteln für Zahlungen niederschlagen. Dieser Mehrbedarf wird durch einen geringeren Bedarf bei den Mitteln für Zahlungen in den Folgejahren ausgeglichen (siehe nachstehende Schätzungen). </w:t>
      </w: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GD AGRI</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Jahr</w:t>
            </w:r>
            <w:r>
              <w:rPr>
                <w:noProof/>
              </w:rPr>
              <w:t xml:space="preserve"> </w:t>
            </w:r>
            <w:r>
              <w:rPr>
                <w:noProof/>
              </w:rPr>
              <w:br/>
            </w:r>
            <w:r>
              <w:rPr>
                <w:noProof/>
                <w:sz w:val="20"/>
              </w:rPr>
              <w:t>2020</w:t>
            </w:r>
          </w:p>
        </w:tc>
        <w:tc>
          <w:tcPr>
            <w:tcW w:w="868" w:type="dxa"/>
            <w:vAlign w:val="center"/>
          </w:tcPr>
          <w:p>
            <w:pPr>
              <w:jc w:val="center"/>
              <w:rPr>
                <w:noProof/>
                <w:sz w:val="20"/>
              </w:rPr>
            </w:pPr>
            <w:r>
              <w:rPr>
                <w:noProof/>
                <w:sz w:val="20"/>
              </w:rPr>
              <w:t>Jahr</w:t>
            </w:r>
            <w:r>
              <w:rPr>
                <w:noProof/>
              </w:rPr>
              <w:t xml:space="preserve"> </w:t>
            </w:r>
            <w:r>
              <w:rPr>
                <w:noProof/>
              </w:rPr>
              <w:br/>
            </w:r>
            <w:r>
              <w:rPr>
                <w:noProof/>
                <w:sz w:val="20"/>
              </w:rPr>
              <w:t>2021</w:t>
            </w:r>
          </w:p>
        </w:tc>
        <w:tc>
          <w:tcPr>
            <w:tcW w:w="868" w:type="dxa"/>
            <w:vAlign w:val="center"/>
          </w:tcPr>
          <w:p>
            <w:pPr>
              <w:jc w:val="center"/>
              <w:rPr>
                <w:noProof/>
                <w:sz w:val="20"/>
              </w:rPr>
            </w:pPr>
            <w:r>
              <w:rPr>
                <w:noProof/>
                <w:sz w:val="20"/>
              </w:rPr>
              <w:t>Jahr</w:t>
            </w:r>
            <w:r>
              <w:rPr>
                <w:noProof/>
              </w:rPr>
              <w:t xml:space="preserve"> </w:t>
            </w:r>
            <w:r>
              <w:rPr>
                <w:noProof/>
              </w:rPr>
              <w:br/>
            </w:r>
            <w:r>
              <w:rPr>
                <w:noProof/>
                <w:sz w:val="20"/>
              </w:rPr>
              <w:t>2022</w:t>
            </w:r>
          </w:p>
        </w:tc>
        <w:tc>
          <w:tcPr>
            <w:tcW w:w="868" w:type="dxa"/>
            <w:vAlign w:val="center"/>
          </w:tcPr>
          <w:p>
            <w:pPr>
              <w:jc w:val="center"/>
              <w:rPr>
                <w:noProof/>
                <w:sz w:val="22"/>
              </w:rPr>
            </w:pPr>
            <w:r>
              <w:rPr>
                <w:noProof/>
                <w:sz w:val="20"/>
              </w:rPr>
              <w:t>Jahr</w:t>
            </w:r>
            <w:r>
              <w:rPr>
                <w:noProof/>
              </w:rPr>
              <w:t xml:space="preserve"> </w:t>
            </w:r>
            <w:r>
              <w:rPr>
                <w:noProof/>
              </w:rPr>
              <w:br/>
            </w:r>
            <w:r>
              <w:rPr>
                <w:noProof/>
                <w:sz w:val="22"/>
              </w:rPr>
              <w:t>2023</w:t>
            </w:r>
          </w:p>
        </w:tc>
        <w:tc>
          <w:tcPr>
            <w:tcW w:w="2604" w:type="dxa"/>
            <w:gridSpan w:val="3"/>
            <w:vAlign w:val="center"/>
          </w:tcPr>
          <w:p>
            <w:pPr>
              <w:jc w:val="center"/>
              <w:rPr>
                <w:b/>
                <w:noProof/>
                <w:sz w:val="18"/>
              </w:rPr>
            </w:pPr>
            <w:r>
              <w:rPr>
                <w:noProof/>
                <w:sz w:val="18"/>
              </w:rPr>
              <w:t>Bei länger andauernden Auswirkungen (siehe 1.6.) bitte weitere Spalten einfügen.</w:t>
            </w:r>
          </w:p>
        </w:tc>
        <w:tc>
          <w:tcPr>
            <w:tcW w:w="1777"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05.046001</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+650</w:t>
            </w:r>
          </w:p>
        </w:tc>
        <w:tc>
          <w:tcPr>
            <w:tcW w:w="868" w:type="dxa"/>
            <w:vAlign w:val="center"/>
          </w:tcPr>
          <w:p>
            <w:pPr>
              <w:spacing w:before="20" w:after="20"/>
              <w:jc w:val="right"/>
              <w:rPr>
                <w:noProof/>
                <w:sz w:val="20"/>
              </w:rPr>
            </w:pPr>
            <w:r>
              <w:rPr>
                <w:noProof/>
                <w:sz w:val="20"/>
              </w:rPr>
              <w:t>-325</w:t>
            </w:r>
          </w:p>
        </w:tc>
        <w:tc>
          <w:tcPr>
            <w:tcW w:w="868" w:type="dxa"/>
            <w:vAlign w:val="center"/>
          </w:tcPr>
          <w:p>
            <w:pPr>
              <w:spacing w:before="20" w:after="20"/>
              <w:jc w:val="right"/>
              <w:rPr>
                <w:noProof/>
                <w:sz w:val="20"/>
              </w:rPr>
            </w:pPr>
            <w:r>
              <w:rPr>
                <w:noProof/>
                <w:sz w:val="20"/>
              </w:rPr>
              <w:t>-325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r>
        <w:trPr>
          <w:trHeight w:val="619"/>
        </w:trPr>
        <w:tc>
          <w:tcPr>
            <w:tcW w:w="6054" w:type="dxa"/>
            <w:gridSpan w:val="4"/>
            <w:vAlign w:val="center"/>
          </w:tcPr>
          <w:p>
            <w:pPr>
              <w:spacing w:before="20" w:after="20"/>
              <w:rPr>
                <w:noProof/>
              </w:rPr>
            </w:pPr>
            <w:r>
              <w:rPr>
                <w:noProof/>
                <w:sz w:val="21"/>
              </w:rPr>
              <w:t>Aus der Dotation bestimmter spezifischer Programme finanzierte Verwaltungsausgaben</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rPr>
              <w:t>Entfällt.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Mittel INSGESAMT</w:t>
            </w:r>
            <w:r>
              <w:rPr>
                <w:noProof/>
              </w:rPr>
              <w:t xml:space="preserve"> </w:t>
            </w:r>
            <w:r>
              <w:rPr>
                <w:noProof/>
              </w:rPr>
              <w:br/>
            </w:r>
            <w:r>
              <w:rPr>
                <w:b/>
                <w:noProof/>
                <w:sz w:val="22"/>
              </w:rPr>
              <w:t>für die GD AGRI</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=1a+1b+3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+650</w:t>
            </w:r>
          </w:p>
        </w:tc>
        <w:tc>
          <w:tcPr>
            <w:tcW w:w="868" w:type="dxa"/>
            <w:vAlign w:val="center"/>
          </w:tcPr>
          <w:p>
            <w:pPr>
              <w:spacing w:before="20" w:after="20"/>
              <w:jc w:val="right"/>
              <w:rPr>
                <w:noProof/>
                <w:sz w:val="20"/>
              </w:rPr>
            </w:pPr>
            <w:r>
              <w:rPr>
                <w:noProof/>
                <w:sz w:val="20"/>
              </w:rPr>
              <w:t>-325</w:t>
            </w:r>
          </w:p>
        </w:tc>
        <w:tc>
          <w:tcPr>
            <w:tcW w:w="868" w:type="dxa"/>
            <w:vAlign w:val="center"/>
          </w:tcPr>
          <w:p>
            <w:pPr>
              <w:spacing w:before="20" w:after="20"/>
              <w:jc w:val="right"/>
              <w:rPr>
                <w:noProof/>
                <w:sz w:val="20"/>
              </w:rPr>
            </w:pPr>
            <w:r>
              <w:rPr>
                <w:noProof/>
                <w:sz w:val="20"/>
              </w:rPr>
              <w:t>-325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rPr>
          <w:noProof/>
        </w:rPr>
      </w:pPr>
    </w:p>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Operative Mittel INSGESAMT </w:t>
            </w:r>
          </w:p>
        </w:tc>
        <w:tc>
          <w:tcPr>
            <w:tcW w:w="1440" w:type="dxa"/>
            <w:vAlign w:val="center"/>
          </w:tcPr>
          <w:p>
            <w:pPr>
              <w:spacing w:beforeLines="20" w:before="48" w:afterLines="20" w:after="48"/>
              <w:rPr>
                <w:noProof/>
                <w:sz w:val="18"/>
              </w:rPr>
            </w:pPr>
            <w:r>
              <w:rPr>
                <w:noProof/>
                <w:sz w:val="18"/>
              </w:rPr>
              <w:t>Verpflichtungen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+650</w:t>
            </w:r>
          </w:p>
        </w:tc>
        <w:tc>
          <w:tcPr>
            <w:tcW w:w="868" w:type="dxa"/>
            <w:vAlign w:val="center"/>
          </w:tcPr>
          <w:p>
            <w:pPr>
              <w:spacing w:before="20" w:after="20"/>
              <w:jc w:val="right"/>
              <w:rPr>
                <w:noProof/>
                <w:sz w:val="20"/>
              </w:rPr>
            </w:pPr>
            <w:r>
              <w:rPr>
                <w:noProof/>
                <w:sz w:val="20"/>
              </w:rPr>
              <w:t>-325</w:t>
            </w:r>
          </w:p>
        </w:tc>
        <w:tc>
          <w:tcPr>
            <w:tcW w:w="868" w:type="dxa"/>
            <w:vAlign w:val="center"/>
          </w:tcPr>
          <w:p>
            <w:pPr>
              <w:spacing w:before="20" w:after="20"/>
              <w:jc w:val="right"/>
              <w:rPr>
                <w:noProof/>
                <w:sz w:val="20"/>
              </w:rPr>
            </w:pPr>
            <w:r>
              <w:rPr>
                <w:noProof/>
                <w:sz w:val="20"/>
              </w:rPr>
              <w:t>-325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 xml:space="preserve">Aus der Dotation bestimmter spezifischer Programme finanzierte Verwaltungsausgaben INSGESAMT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Mittel INSGESAMT</w:t>
            </w:r>
            <w:r>
              <w:rPr>
                <w:noProof/>
              </w:rPr>
              <w:t xml:space="preserve"> </w:t>
            </w:r>
            <w:r>
              <w:rPr>
                <w:noProof/>
              </w:rPr>
              <w:br/>
            </w:r>
            <w:r>
              <w:rPr>
                <w:b/>
                <w:noProof/>
                <w:sz w:val="22"/>
              </w:rPr>
              <w:t>unter der Rubrik 2</w:t>
            </w:r>
            <w:r>
              <w:rPr>
                <w:noProof/>
              </w:rPr>
              <w:t xml:space="preserve"> </w:t>
            </w:r>
            <w:r>
              <w:rPr>
                <w:noProof/>
              </w:rPr>
              <w:br/>
            </w:r>
            <w:r>
              <w:rPr>
                <w:noProof/>
                <w:sz w:val="22"/>
              </w:rPr>
              <w:t>des Mehrjährigen Finanzrahmens</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Zahlungen</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+650</w:t>
            </w:r>
          </w:p>
        </w:tc>
        <w:tc>
          <w:tcPr>
            <w:tcW w:w="868" w:type="dxa"/>
            <w:vAlign w:val="center"/>
          </w:tcPr>
          <w:p>
            <w:pPr>
              <w:spacing w:before="20" w:after="20"/>
              <w:jc w:val="right"/>
              <w:rPr>
                <w:noProof/>
                <w:sz w:val="20"/>
              </w:rPr>
            </w:pPr>
            <w:r>
              <w:rPr>
                <w:noProof/>
                <w:sz w:val="20"/>
              </w:rPr>
              <w:t>-325</w:t>
            </w:r>
          </w:p>
        </w:tc>
        <w:tc>
          <w:tcPr>
            <w:tcW w:w="868" w:type="dxa"/>
            <w:vAlign w:val="center"/>
          </w:tcPr>
          <w:p>
            <w:pPr>
              <w:spacing w:before="20" w:after="20"/>
              <w:jc w:val="right"/>
              <w:rPr>
                <w:noProof/>
                <w:sz w:val="20"/>
              </w:rPr>
            </w:pPr>
            <w:r>
              <w:rPr>
                <w:noProof/>
                <w:sz w:val="20"/>
              </w:rPr>
              <w:t>-325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Rubrik des Mehrjährigen</w:t>
            </w:r>
            <w:r>
              <w:rPr>
                <w:noProof/>
              </w:rPr>
              <w:t xml:space="preserve"> </w:t>
            </w:r>
            <w:r>
              <w:rPr>
                <w:noProof/>
              </w:rPr>
              <w:br/>
            </w:r>
            <w:r>
              <w:rPr>
                <w:b/>
                <w:noProof/>
                <w:sz w:val="22"/>
              </w:rPr>
              <w:t xml:space="preserve">Finanzrahmens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Verwaltungsausgaben</w:t>
            </w:r>
          </w:p>
        </w:tc>
      </w:tr>
    </w:tbl>
    <w:p>
      <w:pPr>
        <w:jc w:val="left"/>
        <w:rPr>
          <w:noProof/>
          <w:sz w:val="20"/>
        </w:rPr>
      </w:pPr>
      <w:r>
        <w:rPr>
          <w:noProof/>
        </w:rPr>
        <w:t xml:space="preserve">Zum Ausfüllen dieses Teils ist die „Tabelle für Verwaltungsausgaben“ zu verwenden, die zuerst in den </w:t>
      </w:r>
      <w:hyperlink r:id="rId16" w:history="1">
        <w:r>
          <w:rPr>
            <w:rStyle w:val="Hyperlink"/>
            <w:noProof/>
          </w:rPr>
          <w:t>Anhang des Finanzbogens zu Rechtsakten</w:t>
        </w:r>
      </w:hyperlink>
      <w:r>
        <w:rPr>
          <w:noProof/>
        </w:rPr>
        <w:t xml:space="preserve"> (Anhang V der Internen Vorschriften), der für die dienststellenübergreifende Konsultation in DECIDE hochgeladen wird, aufgenommen wird.</w:t>
      </w:r>
    </w:p>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N</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N+3</w:t>
            </w:r>
          </w:p>
        </w:tc>
        <w:tc>
          <w:tcPr>
            <w:tcW w:w="2604" w:type="dxa"/>
            <w:gridSpan w:val="3"/>
            <w:vAlign w:val="center"/>
          </w:tcPr>
          <w:p>
            <w:pPr>
              <w:jc w:val="center"/>
              <w:rPr>
                <w:b/>
                <w:noProof/>
                <w:sz w:val="18"/>
              </w:rPr>
            </w:pPr>
            <w:r>
              <w:rPr>
                <w:noProof/>
                <w:sz w:val="18"/>
              </w:rPr>
              <w:t xml:space="preserve">Bei länger andauernden Auswirkungen (siehe 1.6.) bitte weitere Spalten einfügen. </w:t>
            </w:r>
          </w:p>
        </w:tc>
        <w:tc>
          <w:tcPr>
            <w:tcW w:w="1777" w:type="dxa"/>
            <w:vAlign w:val="center"/>
          </w:tcPr>
          <w:p>
            <w:pPr>
              <w:jc w:val="center"/>
              <w:rPr>
                <w:b/>
                <w:noProof/>
                <w:sz w:val="20"/>
              </w:rPr>
            </w:pPr>
            <w:r>
              <w:rPr>
                <w:b/>
                <w:noProof/>
                <w:sz w:val="20"/>
              </w:rPr>
              <w:t>INSGESAMT</w:t>
            </w:r>
          </w:p>
        </w:tc>
      </w:tr>
      <w:tr>
        <w:trPr>
          <w:gridAfter w:val="10"/>
          <w:wAfter w:w="9947" w:type="dxa"/>
        </w:trPr>
        <w:tc>
          <w:tcPr>
            <w:tcW w:w="3960" w:type="dxa"/>
            <w:vAlign w:val="center"/>
          </w:tcPr>
          <w:p>
            <w:pPr>
              <w:spacing w:before="60" w:after="60"/>
              <w:jc w:val="center"/>
              <w:rPr>
                <w:noProof/>
              </w:rPr>
            </w:pPr>
            <w:r>
              <w:rPr>
                <w:noProof/>
                <w:sz w:val="22"/>
              </w:rPr>
              <w:t>GD: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Personal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Sonstige Verwaltungsausgaben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GD &lt;…….&gt; INSGESAMT</w:t>
            </w:r>
          </w:p>
        </w:tc>
        <w:tc>
          <w:tcPr>
            <w:tcW w:w="2094" w:type="dxa"/>
            <w:gridSpan w:val="2"/>
            <w:vAlign w:val="center"/>
          </w:tcPr>
          <w:p>
            <w:pPr>
              <w:rPr>
                <w:noProof/>
                <w:sz w:val="14"/>
              </w:rPr>
            </w:pPr>
            <w:r>
              <w:rPr>
                <w:noProof/>
                <w:sz w:val="18"/>
              </w:rPr>
              <w:t xml:space="preserve">Mittel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Mittel INSGESAMT</w:t>
            </w:r>
            <w:r>
              <w:rPr>
                <w:noProof/>
              </w:rPr>
              <w:t xml:space="preserve"> </w:t>
            </w:r>
            <w:r>
              <w:rPr>
                <w:noProof/>
              </w:rPr>
              <w:br/>
            </w:r>
            <w:r>
              <w:rPr>
                <w:b/>
                <w:noProof/>
                <w:sz w:val="22"/>
              </w:rPr>
              <w:t>unter der RUBRIK 5</w:t>
            </w:r>
            <w:r>
              <w:rPr>
                <w:noProof/>
              </w:rPr>
              <w:t xml:space="preserve"> </w:t>
            </w:r>
            <w:r>
              <w:rPr>
                <w:noProof/>
              </w:rPr>
              <w:br/>
            </w:r>
            <w:r>
              <w:rPr>
                <w:noProof/>
                <w:sz w:val="22"/>
              </w:rPr>
              <w:t>des Mehrjährigen Finanzrahmens</w:t>
            </w:r>
            <w:r>
              <w:rPr>
                <w:b/>
                <w:noProof/>
                <w:sz w:val="22"/>
              </w:rPr>
              <w:t xml:space="preserve"> </w:t>
            </w:r>
          </w:p>
        </w:tc>
        <w:tc>
          <w:tcPr>
            <w:tcW w:w="2094" w:type="dxa"/>
            <w:vAlign w:val="center"/>
          </w:tcPr>
          <w:p>
            <w:pPr>
              <w:spacing w:before="40" w:after="40"/>
              <w:rPr>
                <w:noProof/>
              </w:rPr>
            </w:pPr>
            <w:r>
              <w:rPr>
                <w:noProof/>
                <w:sz w:val="18"/>
              </w:rPr>
              <w:t>(Verpflichtungen insges. = Zahlungen insges.)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2023</w:t>
            </w:r>
          </w:p>
        </w:tc>
        <w:tc>
          <w:tcPr>
            <w:tcW w:w="2604" w:type="dxa"/>
            <w:gridSpan w:val="3"/>
            <w:vAlign w:val="center"/>
          </w:tcPr>
          <w:p>
            <w:pPr>
              <w:jc w:val="center"/>
              <w:rPr>
                <w:b/>
                <w:noProof/>
                <w:sz w:val="18"/>
              </w:rPr>
            </w:pPr>
            <w:r>
              <w:rPr>
                <w:noProof/>
                <w:sz w:val="18"/>
              </w:rPr>
              <w:t>Bei länger andauernden Auswirkungen (siehe 1.6.) bitte weitere Spalten einfügen.</w:t>
            </w:r>
          </w:p>
        </w:tc>
        <w:tc>
          <w:tcPr>
            <w:tcW w:w="1777" w:type="dxa"/>
            <w:vAlign w:val="center"/>
          </w:tcPr>
          <w:p>
            <w:pPr>
              <w:jc w:val="center"/>
              <w:rPr>
                <w:b/>
                <w:noProof/>
                <w:sz w:val="20"/>
              </w:rPr>
            </w:pPr>
            <w:r>
              <w:rPr>
                <w:b/>
                <w:noProof/>
                <w:sz w:val="20"/>
              </w:rPr>
              <w:t>INSGESAMT</w:t>
            </w:r>
          </w:p>
        </w:tc>
      </w:tr>
      <w:tr>
        <w:tc>
          <w:tcPr>
            <w:tcW w:w="3960" w:type="dxa"/>
            <w:vMerge w:val="restart"/>
            <w:shd w:val="clear" w:color="auto" w:fill="C0C0C0"/>
            <w:vAlign w:val="center"/>
          </w:tcPr>
          <w:p>
            <w:pPr>
              <w:jc w:val="center"/>
              <w:rPr>
                <w:b/>
                <w:noProof/>
              </w:rPr>
            </w:pPr>
            <w:r>
              <w:rPr>
                <w:b/>
                <w:noProof/>
                <w:sz w:val="22"/>
              </w:rPr>
              <w:t>Mittel INSGESAMT</w:t>
            </w:r>
            <w:r>
              <w:rPr>
                <w:noProof/>
              </w:rPr>
              <w:t xml:space="preserve"> </w:t>
            </w:r>
            <w:r>
              <w:rPr>
                <w:noProof/>
              </w:rPr>
              <w:br/>
            </w:r>
            <w:r>
              <w:rPr>
                <w:b/>
                <w:noProof/>
                <w:sz w:val="22"/>
              </w:rPr>
              <w:t>unter den RUBRIKEN 1 bis 5</w:t>
            </w:r>
            <w:r>
              <w:rPr>
                <w:noProof/>
              </w:rPr>
              <w:t xml:space="preserve"> </w:t>
            </w:r>
            <w:r>
              <w:rPr>
                <w:noProof/>
              </w:rPr>
              <w:br/>
            </w:r>
            <w:r>
              <w:rPr>
                <w:noProof/>
                <w:sz w:val="22"/>
              </w:rP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60" w:after="60"/>
              <w:jc w:val="right"/>
              <w:rPr>
                <w:noProof/>
                <w:sz w:val="20"/>
              </w:rPr>
            </w:pPr>
            <w:r>
              <w:rPr>
                <w:noProof/>
                <w:sz w:val="20"/>
              </w:rPr>
              <w:t>+650</w:t>
            </w:r>
          </w:p>
        </w:tc>
        <w:tc>
          <w:tcPr>
            <w:tcW w:w="868" w:type="dxa"/>
            <w:vAlign w:val="center"/>
          </w:tcPr>
          <w:p>
            <w:pPr>
              <w:spacing w:before="60" w:after="60"/>
              <w:jc w:val="right"/>
              <w:rPr>
                <w:noProof/>
                <w:sz w:val="20"/>
              </w:rPr>
            </w:pPr>
            <w:r>
              <w:rPr>
                <w:noProof/>
                <w:sz w:val="20"/>
              </w:rPr>
              <w:t>-325</w:t>
            </w:r>
          </w:p>
        </w:tc>
        <w:tc>
          <w:tcPr>
            <w:tcW w:w="868" w:type="dxa"/>
            <w:vAlign w:val="center"/>
          </w:tcPr>
          <w:p>
            <w:pPr>
              <w:spacing w:before="60" w:after="60"/>
              <w:jc w:val="right"/>
              <w:rPr>
                <w:noProof/>
                <w:sz w:val="20"/>
              </w:rPr>
            </w:pPr>
            <w:r>
              <w:rPr>
                <w:noProof/>
                <w:sz w:val="20"/>
              </w:rPr>
              <w:t>-325</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bCs/>
          <w:noProof/>
          <w:szCs w:val="24"/>
        </w:rPr>
      </w:pPr>
      <w:bookmarkStart w:id="55" w:name="_Toc514938054"/>
      <w:bookmarkStart w:id="56" w:name="_Toc520485053"/>
      <w:r>
        <w:t>3.2.2.</w:t>
      </w:r>
      <w:r>
        <w:tab/>
      </w:r>
      <w:r>
        <w:rPr>
          <w:noProof/>
        </w:rPr>
        <w:t>Geschätzte Ergebnisse, die mit operativen Mitteln finanziert werden</w:t>
      </w:r>
      <w:bookmarkEnd w:id="55"/>
      <w:bookmarkEnd w:id="56"/>
      <w:r>
        <w:rPr>
          <w:noProof/>
        </w:rPr>
        <w:t xml:space="preserve"> </w:t>
      </w:r>
    </w:p>
    <w:p>
      <w:pPr>
        <w:jc w:val="right"/>
        <w:rPr>
          <w:noProof/>
          <w:sz w:val="20"/>
        </w:rPr>
      </w:pPr>
      <w:r>
        <w:rPr>
          <w:noProof/>
          <w:sz w:val="20"/>
        </w:rPr>
        <w:t>Mittel für Verpflichtungen in Mio. EUR (3 Dezimalstellen)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Ziele und Ergebnisse angeben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Jahr</w:t>
            </w:r>
            <w:r>
              <w:rPr>
                <w:noProof/>
              </w:rPr>
              <w:t xml:space="preserve"> </w:t>
            </w:r>
            <w:r>
              <w:rPr>
                <w:noProof/>
              </w:rPr>
              <w:br/>
            </w:r>
            <w:r>
              <w:rPr>
                <w:b/>
                <w:noProof/>
                <w:sz w:val="18"/>
              </w:rPr>
              <w:t>N</w:t>
            </w:r>
          </w:p>
        </w:tc>
        <w:tc>
          <w:tcPr>
            <w:tcW w:w="1260" w:type="dxa"/>
            <w:gridSpan w:val="2"/>
            <w:vAlign w:val="center"/>
          </w:tcPr>
          <w:p>
            <w:pPr>
              <w:ind w:right="-29"/>
              <w:jc w:val="center"/>
              <w:rPr>
                <w:noProof/>
                <w:sz w:val="18"/>
                <w:szCs w:val="18"/>
              </w:rPr>
            </w:pPr>
            <w:r>
              <w:rPr>
                <w:noProof/>
                <w:sz w:val="18"/>
              </w:rPr>
              <w:t>Jahr</w:t>
            </w:r>
            <w:r>
              <w:rPr>
                <w:noProof/>
              </w:rPr>
              <w:t xml:space="preserve"> </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Jahr</w:t>
            </w:r>
            <w:r>
              <w:rPr>
                <w:noProof/>
              </w:rPr>
              <w:t xml:space="preserve"> </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Jahr</w:t>
            </w:r>
            <w:r>
              <w:rPr>
                <w:noProof/>
              </w:rPr>
              <w:t xml:space="preserve"> </w:t>
            </w:r>
            <w:r>
              <w:rPr>
                <w:noProof/>
              </w:rPr>
              <w:br/>
            </w:r>
            <w:r>
              <w:rPr>
                <w:b/>
                <w:noProof/>
                <w:sz w:val="18"/>
              </w:rPr>
              <w:t>N+3</w:t>
            </w:r>
          </w:p>
        </w:tc>
        <w:tc>
          <w:tcPr>
            <w:tcW w:w="3600" w:type="dxa"/>
            <w:gridSpan w:val="6"/>
            <w:vAlign w:val="center"/>
          </w:tcPr>
          <w:p>
            <w:pPr>
              <w:jc w:val="center"/>
              <w:rPr>
                <w:noProof/>
                <w:sz w:val="18"/>
                <w:szCs w:val="18"/>
              </w:rPr>
            </w:pPr>
            <w:r>
              <w:rPr>
                <w:noProof/>
                <w:sz w:val="18"/>
              </w:rPr>
              <w:t>Bei länger andauernden Auswirkungen (siehe 1.6.) bitte weitere Spalten einfügen.</w:t>
            </w:r>
          </w:p>
        </w:tc>
        <w:tc>
          <w:tcPr>
            <w:tcW w:w="1620" w:type="dxa"/>
            <w:gridSpan w:val="2"/>
            <w:tcBorders>
              <w:left w:val="nil"/>
              <w:bottom w:val="nil"/>
            </w:tcBorders>
            <w:vAlign w:val="center"/>
          </w:tcPr>
          <w:p>
            <w:pPr>
              <w:ind w:right="-29"/>
              <w:jc w:val="center"/>
              <w:rPr>
                <w:noProof/>
                <w:sz w:val="18"/>
                <w:szCs w:val="18"/>
              </w:rPr>
            </w:pPr>
            <w:r>
              <w:rPr>
                <w:b/>
                <w:noProof/>
                <w:sz w:val="18"/>
              </w:rPr>
              <w:t>INSGESAMT</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ERGEBNISSE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Art</w:t>
            </w:r>
            <w:r>
              <w:rPr>
                <w:rStyle w:val="FootnoteReference"/>
                <w:noProof/>
                <w:sz w:val="18"/>
              </w:rPr>
              <w:footnoteReference w:id="10"/>
            </w:r>
          </w:p>
          <w:p>
            <w:pPr>
              <w:spacing w:before="0" w:after="0"/>
              <w:jc w:val="center"/>
              <w:rPr>
                <w:noProof/>
                <w:sz w:val="18"/>
                <w:szCs w:val="18"/>
              </w:rPr>
            </w:pPr>
          </w:p>
        </w:tc>
        <w:tc>
          <w:tcPr>
            <w:tcW w:w="701" w:type="dxa"/>
            <w:vAlign w:val="center"/>
          </w:tcPr>
          <w:p>
            <w:pPr>
              <w:jc w:val="center"/>
              <w:rPr>
                <w:noProof/>
                <w:sz w:val="18"/>
                <w:szCs w:val="18"/>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Gesamtzahl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Gesamtkosten</w:t>
            </w:r>
          </w:p>
        </w:tc>
      </w:tr>
      <w:tr>
        <w:trPr>
          <w:jc w:val="center"/>
        </w:trPr>
        <w:tc>
          <w:tcPr>
            <w:tcW w:w="2844" w:type="dxa"/>
            <w:gridSpan w:val="3"/>
            <w:vAlign w:val="center"/>
          </w:tcPr>
          <w:p>
            <w:pPr>
              <w:spacing w:before="60" w:after="60"/>
              <w:ind w:right="-29"/>
              <w:jc w:val="center"/>
              <w:rPr>
                <w:noProof/>
                <w:sz w:val="18"/>
                <w:szCs w:val="18"/>
              </w:rPr>
            </w:pPr>
            <w:r>
              <w:rPr>
                <w:noProof/>
                <w:sz w:val="18"/>
              </w:rPr>
              <w:t>EINZELZIEL Nr. 1</w:t>
            </w:r>
            <w:r>
              <w:rPr>
                <w:rStyle w:val="FootnoteReference"/>
                <w:noProof/>
                <w:sz w:val="18"/>
              </w:rPr>
              <w:footnoteReference w:id="11"/>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0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0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0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Zwischensumme für Einzelziel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EINZELZIEL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0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Zwischensumme für Einzelziel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INSGESAMT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17"/>
          <w:footerReference w:type="default" r:id="rId18"/>
          <w:headerReference w:type="first" r:id="rId19"/>
          <w:footerReference w:type="first" r:id="rId20"/>
          <w:pgSz w:w="16840" w:h="11907" w:orient="landscape" w:code="9"/>
          <w:pgMar w:top="1134" w:right="1418" w:bottom="567" w:left="1418" w:header="709" w:footer="709" w:gutter="0"/>
          <w:cols w:space="708"/>
          <w:docGrid w:linePitch="360"/>
        </w:sectPr>
      </w:pPr>
    </w:p>
    <w:p>
      <w:pPr>
        <w:pStyle w:val="ManualHeading3"/>
        <w:rPr>
          <w:bCs/>
          <w:noProof/>
          <w:szCs w:val="24"/>
        </w:rPr>
      </w:pPr>
      <w:bookmarkStart w:id="57" w:name="_Toc514938055"/>
      <w:bookmarkStart w:id="58" w:name="_Toc520485054"/>
      <w:r>
        <w:t>3.2.3.</w:t>
      </w:r>
      <w:r>
        <w:tab/>
      </w:r>
      <w:r>
        <w:rPr>
          <w:noProof/>
        </w:rPr>
        <w:t>Übersicht über die geschätzten Auswirkungen auf die Verwaltungsmittel</w:t>
      </w:r>
      <w:bookmarkEnd w:id="57"/>
      <w:bookmarkEnd w:id="58"/>
      <w:r>
        <w:rPr>
          <w:noProof/>
        </w:rPr>
        <w:t xml:space="preserve"> </w:t>
      </w:r>
    </w:p>
    <w:p>
      <w:pPr>
        <w:pStyle w:val="ListDash1"/>
        <w:rPr>
          <w:noProof/>
        </w:rPr>
      </w:pPr>
      <w:r>
        <w:rPr>
          <w:noProof/>
        </w:rPr>
        <w:t>X</w:t>
      </w:r>
      <w:r>
        <w:rPr>
          <w:noProof/>
        </w:rPr>
        <w:tab/>
        <w:t xml:space="preserve">Für den Vorschlag/die Initiative werden keine Verwaltungsmittel benötigt. </w:t>
      </w:r>
    </w:p>
    <w:p>
      <w:pPr>
        <w:pStyle w:val="ListDash1"/>
        <w:rPr>
          <w:noProof/>
        </w:rPr>
      </w:pPr>
      <w:r>
        <w:rPr>
          <w:noProof/>
        </w:rPr>
        <w:sym w:font="Wingdings" w:char="F0A8"/>
      </w:r>
      <w:r>
        <w:rPr>
          <w:noProof/>
        </w:rPr>
        <w:tab/>
        <w:t>Für den Vorschlag/die Initiative werden die folgenden Verwaltungsmittel benötigt:</w:t>
      </w:r>
    </w:p>
    <w:p>
      <w:pPr>
        <w:jc w:val="right"/>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N</w:t>
            </w:r>
            <w:r>
              <w:rPr>
                <w:rStyle w:val="FootnoteReference"/>
                <w:b/>
                <w:noProof/>
                <w:sz w:val="16"/>
              </w:rPr>
              <w:footnoteReference w:id="12"/>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Bei länger andauernden Auswirkungen (siehe 1.6.) bitte weitere Spalten einfügen.</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rPr>
              <w:t xml:space="preserve"> </w:t>
            </w:r>
            <w:r>
              <w:rPr>
                <w:noProof/>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5</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5</w:t>
            </w:r>
            <w:r>
              <w:rPr>
                <w:rStyle w:val="FootnoteReference"/>
                <w:b/>
                <w:noProof/>
                <w:sz w:val="16"/>
              </w:rPr>
              <w:footnoteReference w:id="13"/>
            </w:r>
            <w:r>
              <w:rPr>
                <w:noProof/>
              </w:rPr>
              <w:t xml:space="preserve"> </w:t>
            </w:r>
            <w:r>
              <w:rPr>
                <w:noProof/>
              </w:rPr>
              <w:br/>
            </w:r>
            <w:r>
              <w:rPr>
                <w:b/>
                <w:noProof/>
                <w:sz w:val="16"/>
              </w:rPr>
              <w:t>des Mehrjährigen Finanzrahmens</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w:t>
            </w:r>
            <w:r>
              <w:rPr>
                <w:noProof/>
              </w:rPr>
              <w:br/>
            </w:r>
            <w:r>
              <w:rPr>
                <w:noProof/>
                <w:sz w:val="16"/>
              </w:rPr>
              <w:t>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w:t>
            </w:r>
            <w:r>
              <w:rPr>
                <w:noProof/>
              </w:rPr>
              <w:t xml:space="preserve"> </w:t>
            </w:r>
            <w:r>
              <w:rPr>
                <w:noProof/>
              </w:rPr>
              <w:br/>
            </w:r>
            <w:r>
              <w:rPr>
                <w:b/>
                <w:noProof/>
                <w:sz w:val="16"/>
              </w:rPr>
              <w:t>außerhalb der RUBRIK 5</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Der Mittelbedarf für Personal- und sonstige Verwaltungsausgaben wird durch der Verwaltung der Maßnahme zugeordnete Mittel der GD oder GD-interne Personalumschichtung gedeckt. Hinzu kommen etwaige zusätzliche Mittel, die der für die Verwaltung der Maßnahme zuständigen GD nach Maßgabe der verfügbaren Mittel im Rahmen der jährlichen Mittelzuweisung zugeteilt werden.</w:t>
      </w:r>
    </w:p>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Geschätzter Personalbedarf </w:t>
      </w:r>
    </w:p>
    <w:p>
      <w:pPr>
        <w:pStyle w:val="ListDash1"/>
        <w:rPr>
          <w:noProof/>
        </w:rPr>
      </w:pPr>
      <w:r>
        <w:rPr>
          <w:noProof/>
        </w:rPr>
        <w:t>X</w:t>
      </w:r>
      <w:r>
        <w:rPr>
          <w:noProof/>
        </w:rPr>
        <w:tab/>
        <w:t xml:space="preserve">Für den Vorschlag/die Initiative wird kein Personal benötigt. </w:t>
      </w:r>
    </w:p>
    <w:p>
      <w:pPr>
        <w:pStyle w:val="ListDash1"/>
        <w:rPr>
          <w:noProof/>
        </w:rPr>
      </w:pPr>
      <w:r>
        <w:rPr>
          <w:noProof/>
        </w:rPr>
        <w:sym w:font="Wingdings" w:char="F0A8"/>
      </w:r>
      <w:r>
        <w:rPr>
          <w:noProof/>
        </w:rPr>
        <w:tab/>
        <w:t>Für den Vorschlag/die Initiative wird folgendes Personal benötigt:</w:t>
      </w:r>
    </w:p>
    <w:p>
      <w:pPr>
        <w:spacing w:after="60"/>
        <w:jc w:val="right"/>
        <w:rPr>
          <w:i/>
          <w:noProof/>
          <w:sz w:val="20"/>
        </w:rPr>
      </w:pPr>
      <w:r>
        <w:rPr>
          <w:i/>
          <w:noProof/>
          <w:sz w:val="20"/>
        </w:rPr>
        <w:t>Schätzung in Vollzeitäquivalenten</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Jahr</w:t>
            </w:r>
            <w:r>
              <w:rPr>
                <w:noProof/>
              </w:rPr>
              <w:t xml:space="preserve"> </w:t>
            </w:r>
            <w:r>
              <w:rPr>
                <w:noProof/>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Jahr</w:t>
            </w:r>
            <w:r>
              <w:rPr>
                <w:noProof/>
              </w:rPr>
              <w:t xml:space="preserve"> </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szCs w:val="16"/>
              </w:rPr>
              <w:t xml:space="preserve">Jahr </w:t>
            </w:r>
            <w:r>
              <w:rPr>
                <w:b/>
                <w:noProof/>
                <w:sz w:val="16"/>
                <w:szCs w:val="16"/>
              </w:rPr>
              <w:t>N+2</w:t>
            </w:r>
          </w:p>
        </w:tc>
        <w:tc>
          <w:tcPr>
            <w:tcW w:w="600" w:type="dxa"/>
            <w:shd w:val="clear" w:color="auto" w:fill="auto"/>
            <w:vAlign w:val="center"/>
          </w:tcPr>
          <w:p>
            <w:pPr>
              <w:spacing w:before="20" w:after="20"/>
              <w:jc w:val="center"/>
              <w:rPr>
                <w:noProof/>
                <w:sz w:val="16"/>
                <w:szCs w:val="16"/>
              </w:rPr>
            </w:pPr>
            <w:r>
              <w:rPr>
                <w:noProof/>
                <w:sz w:val="16"/>
                <w:szCs w:val="16"/>
              </w:rPr>
              <w:t xml:space="preserve">Jahr </w:t>
            </w:r>
            <w:r>
              <w:rPr>
                <w:b/>
                <w:noProof/>
                <w:sz w:val="16"/>
                <w:szCs w:val="16"/>
              </w:rPr>
              <w:t>N+3</w:t>
            </w:r>
          </w:p>
        </w:tc>
        <w:tc>
          <w:tcPr>
            <w:tcW w:w="600" w:type="dxa"/>
            <w:gridSpan w:val="3"/>
            <w:shd w:val="clear" w:color="auto" w:fill="auto"/>
            <w:vAlign w:val="center"/>
          </w:tcPr>
          <w:p>
            <w:pPr>
              <w:jc w:val="center"/>
              <w:rPr>
                <w:b/>
                <w:noProof/>
                <w:sz w:val="16"/>
                <w:szCs w:val="16"/>
              </w:rPr>
            </w:pPr>
            <w:r>
              <w:rPr>
                <w:noProof/>
                <w:sz w:val="16"/>
              </w:rPr>
              <w:t>Bei länger andauernden Auswirkungen (siehe 1.6.) bitte weitere Spalten einfügen.</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w:t>
            </w:r>
            <w:r>
              <w:rPr>
                <w:b/>
                <w:noProof/>
                <w:sz w:val="16"/>
              </w:rPr>
              <w:t>Im Stellenplan vorgesehene Planstellen (Beamte und Bedienstete auf Zeit)</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(am Sitz und in den Vertretungen der Kommission)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(in den Delegationen)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(indirekte Forschung)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(direkte Forschung)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Externes Personal (in Vollzeitäquivalenten – VZÄ)</w:t>
            </w:r>
            <w:r>
              <w:rPr>
                <w:rStyle w:val="FootnoteReference"/>
                <w:b/>
                <w:noProof/>
                <w:sz w:val="16"/>
              </w:rPr>
              <w:footnoteReference w:id="14"/>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(VB, ANS und LAK der Globaldotation)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(VB, ÖB, ANS, LAK und JFD in den Delegationen)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01 04 </w:t>
            </w:r>
            <w:r>
              <w:rPr>
                <w:b/>
                <w:noProof/>
                <w:sz w:val="16"/>
                <w:szCs w:val="16"/>
              </w:rPr>
              <w:t>yy</w:t>
            </w:r>
            <w:r>
              <w:rPr>
                <w:b/>
                <w:i/>
                <w:noProof/>
                <w:sz w:val="16"/>
              </w:rPr>
              <w:t xml:space="preserve"> </w:t>
            </w:r>
            <w:r>
              <w:rPr>
                <w:rStyle w:val="FootnoteReference"/>
                <w:b/>
                <w:i/>
                <w:noProof/>
                <w:sz w:val="16"/>
              </w:rPr>
              <w:footnoteReference w:id="15"/>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0 am Sitz</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0 in den Delegationen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01 05 02/12/22 (VB, ANS und LAK der indirekten Forschung)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(VB, ANS und LAK der direkten Forschung)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Sonstige Haushaltslinien (bitte angeben)</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INSGESAMT</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steht für den jeweiligen Politikbereich bzw. Haushaltstitel.</w:t>
      </w:r>
    </w:p>
    <w:p>
      <w:pPr>
        <w:pStyle w:val="Text1"/>
        <w:rPr>
          <w:noProof/>
          <w:sz w:val="18"/>
          <w:szCs w:val="18"/>
        </w:rPr>
      </w:pPr>
      <w:r>
        <w:rPr>
          <w:noProof/>
          <w:sz w:val="18"/>
        </w:rPr>
        <w:t>Der Personalbedarf wird durch der Verwaltung der Maßnahme zugeordnetes Personal der GD oder GD-interne Personalumschichtung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Beamte und Zeitbedienstete</w:t>
            </w:r>
          </w:p>
        </w:tc>
        <w:tc>
          <w:tcPr>
            <w:tcW w:w="7200" w:type="dxa"/>
          </w:tcPr>
          <w:p>
            <w:pPr>
              <w:rPr>
                <w:noProof/>
                <w:sz w:val="20"/>
              </w:rPr>
            </w:pPr>
          </w:p>
        </w:tc>
      </w:tr>
      <w:tr>
        <w:tc>
          <w:tcPr>
            <w:tcW w:w="3240" w:type="dxa"/>
          </w:tcPr>
          <w:p>
            <w:pPr>
              <w:spacing w:before="60" w:after="60"/>
              <w:rPr>
                <w:noProof/>
                <w:sz w:val="20"/>
              </w:rPr>
            </w:pPr>
            <w:r>
              <w:rPr>
                <w:noProof/>
                <w:sz w:val="20"/>
              </w:rPr>
              <w:t>Externes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59" w:name="_Toc514938056"/>
      <w:bookmarkStart w:id="60" w:name="_Toc520485055"/>
      <w:r>
        <w:t>3.2.4.</w:t>
      </w:r>
      <w:r>
        <w:tab/>
      </w:r>
      <w:r>
        <w:rPr>
          <w:noProof/>
        </w:rPr>
        <w:t>Vereinbarkeit mit dem Mehrjährigen Finanzrahmen</w:t>
      </w:r>
      <w:bookmarkEnd w:id="59"/>
      <w:bookmarkEnd w:id="60"/>
      <w:r>
        <w:rPr>
          <w:noProof/>
        </w:rPr>
        <w:t xml:space="preserve"> </w:t>
      </w:r>
    </w:p>
    <w:p>
      <w:pPr>
        <w:pStyle w:val="Text1"/>
        <w:rPr>
          <w:noProof/>
        </w:rPr>
      </w:pPr>
      <w:r>
        <w:rPr>
          <w:noProof/>
        </w:rPr>
        <w:t>Der Vorschlag/Die Initiative</w:t>
      </w:r>
    </w:p>
    <w:p>
      <w:pPr>
        <w:pStyle w:val="ListDash1"/>
        <w:rPr>
          <w:noProof/>
        </w:rPr>
      </w:pPr>
      <w:r>
        <w:rPr>
          <w:noProof/>
        </w:rPr>
        <w:t>X</w:t>
      </w:r>
      <w:r>
        <w:rPr>
          <w:noProof/>
        </w:rPr>
        <w:tab/>
        <w:t>kann durch Umschichtungen innerhalb der entsprechenden Rubrik des Mehrjährigen Finanzrahmens (MFR) in voller Höhe finanziert werden.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Neuprogrammierung unter Angabe der betreffenden Haushaltslinien und der entsprechenden Beträge.</w:t>
      </w:r>
      <w:r>
        <w:rPr>
          <w:noProof/>
        </w:rPr>
        <w:t xml:space="preserve"> </w:t>
      </w:r>
      <w:r>
        <w:rPr>
          <w:noProof/>
          <w:sz w:val="20"/>
        </w:rPr>
        <w:t>Bitte legen Sie im Falle einer größeren Neuprogrammierung eine Excel-Tabelle vor.</w:t>
      </w:r>
    </w:p>
    <w:p>
      <w:pPr>
        <w:pStyle w:val="ListDash1"/>
        <w:rPr>
          <w:noProof/>
        </w:rPr>
      </w:pPr>
      <w:r>
        <w:rPr>
          <w:noProof/>
        </w:rPr>
        <w:sym w:font="Wingdings" w:char="F0A8"/>
      </w:r>
      <w:r>
        <w:rPr>
          <w:noProof/>
        </w:rPr>
        <w:tab/>
        <w:t>erfordert die Inanspruchnahme des verbleibenden Spielraums unter der einschlägigen Rubrik des MFR und/oder den Einsatz der besonderen Instrumente im Sinne der MFR-Verordnung.</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der entsprechenden Beträge und der vorgeschlagenen einzusetzenden Instrumente.</w:t>
      </w:r>
    </w:p>
    <w:p>
      <w:pPr>
        <w:pStyle w:val="ListDash1"/>
        <w:rPr>
          <w:noProof/>
        </w:rPr>
      </w:pPr>
      <w:r>
        <w:rPr>
          <w:noProof/>
        </w:rPr>
        <w:sym w:font="Wingdings" w:char="F0A8"/>
      </w:r>
      <w:r>
        <w:rPr>
          <w:noProof/>
        </w:rPr>
        <w:tab/>
        <w:t>erfordert eine Revision des MFR.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pPr>
        <w:pStyle w:val="ManualHeading3"/>
        <w:rPr>
          <w:bCs/>
          <w:noProof/>
          <w:szCs w:val="24"/>
        </w:rPr>
      </w:pPr>
      <w:bookmarkStart w:id="61" w:name="_Toc514938058"/>
      <w:bookmarkStart w:id="62" w:name="_Toc520485056"/>
      <w:r>
        <w:t>3.2.5.</w:t>
      </w:r>
      <w:r>
        <w:tab/>
      </w:r>
      <w:r>
        <w:rPr>
          <w:noProof/>
        </w:rPr>
        <w:t>Finanzierungsbeteiligung Dritter</w:t>
      </w:r>
      <w:bookmarkEnd w:id="61"/>
      <w:bookmarkEnd w:id="62"/>
      <w:r>
        <w:rPr>
          <w:noProof/>
        </w:rPr>
        <w:t xml:space="preserve"> </w:t>
      </w:r>
    </w:p>
    <w:p>
      <w:pPr>
        <w:pStyle w:val="Text1"/>
        <w:rPr>
          <w:noProof/>
        </w:rPr>
      </w:pPr>
      <w:r>
        <w:rPr>
          <w:noProof/>
        </w:rPr>
        <w:t>Der Vorschlag/Die Initiative</w:t>
      </w:r>
    </w:p>
    <w:p>
      <w:pPr>
        <w:pStyle w:val="ListDash1"/>
        <w:rPr>
          <w:noProof/>
        </w:rPr>
      </w:pPr>
      <w:r>
        <w:rPr>
          <w:noProof/>
        </w:rPr>
        <w:sym w:font="Wingdings" w:char="F0A8"/>
      </w:r>
      <w:r>
        <w:rPr>
          <w:noProof/>
        </w:rPr>
        <w:tab/>
        <w:t>sieht keine Kofinanzierung durch Dritte vor.</w:t>
      </w:r>
    </w:p>
    <w:p>
      <w:pPr>
        <w:pStyle w:val="ListDash1"/>
        <w:rPr>
          <w:noProof/>
        </w:rPr>
      </w:pPr>
      <w:r>
        <w:rPr>
          <w:noProof/>
        </w:rPr>
        <w:sym w:font="Wingdings" w:char="F0A8"/>
      </w:r>
      <w:r>
        <w:rPr>
          <w:noProof/>
        </w:rPr>
        <w:tab/>
        <w:t>sieht folgende Kofinanzierung durch Dritte vor:</w:t>
      </w:r>
    </w:p>
    <w:p>
      <w:pPr>
        <w:jc w:val="right"/>
        <w:rPr>
          <w:noProof/>
          <w:sz w:val="20"/>
        </w:rPr>
      </w:pPr>
      <w:r>
        <w:rPr>
          <w:noProof/>
          <w:sz w:val="20"/>
        </w:rPr>
        <w:t>Mittel 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w:t>
            </w:r>
            <w:r>
              <w:rPr>
                <w:rStyle w:val="FootnoteReference"/>
                <w:b/>
                <w:noProof/>
                <w:sz w:val="20"/>
              </w:rPr>
              <w:footnoteReference w:id="16"/>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Bei länger andauernden Auswirkungen (siehe 1.6.) bitte weitere Spalten einfügen.</w:t>
            </w:r>
          </w:p>
        </w:tc>
        <w:tc>
          <w:tcPr>
            <w:tcW w:w="1158" w:type="dxa"/>
            <w:vAlign w:val="center"/>
          </w:tcPr>
          <w:p>
            <w:pPr>
              <w:spacing w:before="60" w:after="60"/>
              <w:jc w:val="center"/>
              <w:rPr>
                <w:noProof/>
                <w:sz w:val="20"/>
              </w:rPr>
            </w:pPr>
            <w:r>
              <w:rPr>
                <w:noProof/>
                <w:sz w:val="20"/>
              </w:rPr>
              <w:t>Insgesamt</w:t>
            </w:r>
          </w:p>
        </w:tc>
      </w:tr>
      <w:tr>
        <w:trPr>
          <w:cantSplit/>
        </w:trPr>
        <w:tc>
          <w:tcPr>
            <w:tcW w:w="2340" w:type="dxa"/>
          </w:tcPr>
          <w:p>
            <w:pPr>
              <w:rPr>
                <w:noProof/>
              </w:rPr>
            </w:pPr>
            <w:r>
              <w:rPr>
                <w:noProof/>
                <w:sz w:val="20"/>
              </w:rPr>
              <w:t>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bookmarkStart w:id="63" w:name="_Toc514938059"/>
      <w:bookmarkStart w:id="64" w:name="_Toc520485057"/>
      <w:r>
        <w:t>3.3.</w:t>
      </w:r>
      <w:r>
        <w:tab/>
      </w:r>
      <w:r>
        <w:rPr>
          <w:noProof/>
        </w:rPr>
        <w:t>Geschätzte Auswirkungen auf die Einnahmen</w:t>
      </w:r>
      <w:bookmarkEnd w:id="63"/>
      <w:bookmarkEnd w:id="64"/>
      <w:r>
        <w:rPr>
          <w:noProof/>
        </w:rPr>
        <w:t xml:space="preserve"> </w:t>
      </w:r>
    </w:p>
    <w:p>
      <w:pPr>
        <w:pStyle w:val="ListDash1"/>
        <w:rPr>
          <w:noProof/>
        </w:rPr>
      </w:pPr>
      <w:r>
        <w:rPr>
          <w:noProof/>
        </w:rPr>
        <w:t>X</w:t>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Tiret2"/>
        <w:numPr>
          <w:ilvl w:val="0"/>
          <w:numId w:val="17"/>
        </w:numPr>
        <w:rPr>
          <w:noProof/>
        </w:rPr>
      </w:pPr>
      <w:r>
        <w:rPr>
          <w:noProof/>
        </w:rPr>
        <w:sym w:font="Wingdings" w:char="F0A8"/>
      </w:r>
      <w:r>
        <w:rPr>
          <w:noProof/>
        </w:rPr>
        <w:tab/>
        <w:t xml:space="preserve">auf die Eigenmittel </w:t>
      </w:r>
    </w:p>
    <w:p>
      <w:pPr>
        <w:pStyle w:val="Tiret2"/>
        <w:rPr>
          <w:noProof/>
        </w:rPr>
      </w:pPr>
      <w:r>
        <w:rPr>
          <w:noProof/>
        </w:rPr>
        <w:sym w:font="Wingdings" w:char="F0A8"/>
      </w:r>
      <w:r>
        <w:rPr>
          <w:noProof/>
        </w:rPr>
        <w:tab/>
        <w:t>auf die übrigen Einnahmen</w:t>
      </w:r>
    </w:p>
    <w:p>
      <w:pPr>
        <w:pStyle w:val="Tiret2"/>
        <w:rPr>
          <w:noProof/>
        </w:rPr>
      </w:pPr>
      <w:r>
        <w:rPr>
          <w:noProof/>
        </w:rPr>
        <w:sym w:font="Wingdings" w:char="F0A8"/>
      </w:r>
      <w:r>
        <w:rPr>
          <w:noProof/>
        </w:rPr>
        <w:tab/>
        <w:t>Bitte geben Sie an, ob die Einnahmen bestimmten Ausgabenlinien zugewiesen sind.</w:t>
      </w:r>
    </w:p>
    <w:p>
      <w:pPr>
        <w:ind w:left="4320"/>
        <w:rPr>
          <w:i/>
          <w:noProof/>
          <w:sz w:val="20"/>
        </w:rPr>
      </w:pPr>
      <w:r>
        <w:rPr>
          <w:noProof/>
        </w:rPr>
        <w:t xml:space="preserve">     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325" w:type="dxa"/>
            <w:vMerge w:val="restart"/>
            <w:vAlign w:val="center"/>
          </w:tcPr>
          <w:p>
            <w:pPr>
              <w:jc w:val="center"/>
              <w:rPr>
                <w:noProof/>
                <w:sz w:val="18"/>
              </w:rPr>
            </w:pPr>
            <w:r>
              <w:rPr>
                <w:noProof/>
                <w:sz w:val="18"/>
              </w:rPr>
              <w:t>Für das laufende Haushaltsjahr zur Verfügung stehende Mittel</w:t>
            </w:r>
          </w:p>
        </w:tc>
        <w:tc>
          <w:tcPr>
            <w:tcW w:w="7151" w:type="dxa"/>
            <w:gridSpan w:val="7"/>
            <w:vAlign w:val="center"/>
          </w:tcPr>
          <w:p>
            <w:pPr>
              <w:jc w:val="center"/>
              <w:rPr>
                <w:noProof/>
                <w:sz w:val="18"/>
              </w:rPr>
            </w:pPr>
            <w:r>
              <w:rPr>
                <w:noProof/>
                <w:sz w:val="18"/>
              </w:rPr>
              <w:t>Auswirkungen des Vorschlags/der Initiative</w:t>
            </w:r>
            <w:r>
              <w:rPr>
                <w:rStyle w:val="FootnoteReference"/>
                <w:noProof/>
                <w:sz w:val="18"/>
              </w:rPr>
              <w:footnoteReference w:id="17"/>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Jahr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Jahr</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Jahr</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Jahr</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Bei länger andauernden Auswirkungen (siehe 1.6.) bitte weitere Spalten einfügen.</w:t>
            </w:r>
          </w:p>
        </w:tc>
      </w:tr>
      <w:tr>
        <w:trPr>
          <w:trHeight w:val="388"/>
        </w:trPr>
        <w:tc>
          <w:tcPr>
            <w:tcW w:w="2144" w:type="dxa"/>
            <w:vAlign w:val="center"/>
          </w:tcPr>
          <w:p>
            <w:pPr>
              <w:spacing w:before="40" w:after="40"/>
              <w:rPr>
                <w:noProof/>
                <w:sz w:val="18"/>
              </w:rPr>
            </w:pPr>
            <w:r>
              <w:rPr>
                <w:noProof/>
                <w:sz w:val="18"/>
              </w:rPr>
              <w:t>Artikel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zweckgebundenen Einnahmen die betreffende(n) Ausgabenlinie(n) im Haushaltsplan 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Sonstige Anmerkungen (bei der Ermittlung der Auswirkungen auf die Einnahmen verwendete Methode/Formel oder weitere Informationen).</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ABl. C  vom , S. .</w:t>
      </w:r>
    </w:p>
  </w:footnote>
  <w:footnote w:id="3">
    <w:p>
      <w:pPr>
        <w:pStyle w:val="FootnoteText"/>
      </w:pPr>
      <w:r>
        <w:rPr>
          <w:rStyle w:val="FootnoteReference"/>
        </w:rPr>
        <w:footnoteRef/>
      </w:r>
      <w:r>
        <w:tab/>
        <w:t>ABl. C  vom , S. .</w:t>
      </w:r>
    </w:p>
  </w:footnote>
  <w:footnote w:id="4">
    <w:p>
      <w:pPr>
        <w:pStyle w:val="FootnoteText"/>
        <w:rPr>
          <w:szCs w:val="24"/>
        </w:rPr>
      </w:pPr>
      <w:r>
        <w:rPr>
          <w:rStyle w:val="FootnoteReference"/>
        </w:rPr>
        <w:footnoteRef/>
      </w:r>
      <w:r>
        <w:tab/>
        <w:t>Im Sinne des Artikels 58 Absatz 2 Buchstabe a oder b der Haushaltsordnung.</w:t>
      </w:r>
    </w:p>
  </w:footnote>
  <w:footnote w:id="5">
    <w:p>
      <w:pPr>
        <w:pStyle w:val="FootnoteText"/>
        <w:jc w:val="lef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1" w:history="1">
        <w:r>
          <w:rPr>
            <w:rStyle w:val="Hyperlink"/>
          </w:rPr>
          <w:t>https://myintracomm.ec.europa.eu/budgweb/EN/man/budgmanag/Pages/budgmanag.aspx</w:t>
        </w:r>
      </w:hyperlink>
      <w:r>
        <w:t xml:space="preserve"> </w:t>
      </w:r>
    </w:p>
  </w:footnote>
  <w:footnote w:id="6">
    <w:p>
      <w:pPr>
        <w:pStyle w:val="FootnoteText"/>
        <w:rPr>
          <w:szCs w:val="24"/>
        </w:rPr>
      </w:pPr>
      <w:r>
        <w:rPr>
          <w:rStyle w:val="FootnoteReference"/>
        </w:rPr>
        <w:footnoteRef/>
      </w:r>
      <w:r>
        <w:tab/>
        <w:t>GM = Getrennte Mittel/NGM = Nichtgetrennte Mittel.</w:t>
      </w:r>
    </w:p>
  </w:footnote>
  <w:footnote w:id="7">
    <w:p>
      <w:pPr>
        <w:pStyle w:val="FootnoteText"/>
        <w:rPr>
          <w:szCs w:val="24"/>
        </w:rPr>
      </w:pPr>
      <w:r>
        <w:rPr>
          <w:rStyle w:val="FootnoteReference"/>
        </w:rPr>
        <w:footnoteRef/>
      </w:r>
      <w:r>
        <w:tab/>
        <w:t xml:space="preserve">EFTA: Europäische Freihandelsassoziation. </w:t>
      </w:r>
    </w:p>
  </w:footnote>
  <w:footnote w:id="8">
    <w:p>
      <w:pPr>
        <w:pStyle w:val="FootnoteText"/>
        <w:rPr>
          <w:szCs w:val="24"/>
        </w:rPr>
      </w:pPr>
      <w:r>
        <w:rPr>
          <w:rStyle w:val="FootnoteReference"/>
        </w:rPr>
        <w:footnoteRef/>
      </w:r>
      <w:r>
        <w:tab/>
        <w:t>Kandidatenländer und gegebenenfalls potenzielle Kandidaten des Westbalkans.</w:t>
      </w:r>
    </w:p>
  </w:footnote>
  <w:footnote w:id="9">
    <w:p>
      <w:pPr>
        <w:pStyle w:val="FootnoteText"/>
      </w:pPr>
      <w:r>
        <w:rPr>
          <w:rStyle w:val="FootnoteReference"/>
        </w:rPr>
        <w:footnoteRef/>
      </w:r>
      <w:r>
        <w:tab/>
        <w:t>Haushaltslinie 08.0301 ab dem Haushaltsjahr 2021.</w:t>
      </w:r>
    </w:p>
  </w:footnote>
  <w:footnote w:id="10">
    <w:p>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11">
    <w:p>
      <w:pPr>
        <w:pStyle w:val="FootnoteText"/>
        <w:rPr>
          <w:szCs w:val="24"/>
        </w:rPr>
      </w:pPr>
      <w:r>
        <w:rPr>
          <w:rStyle w:val="FootnoteReference"/>
        </w:rPr>
        <w:footnoteRef/>
      </w:r>
      <w:r>
        <w:tab/>
        <w:t xml:space="preserve">Wie unter 1.4.2. („Einzelziel(e)…“) beschrieben. </w:t>
      </w:r>
    </w:p>
  </w:footnote>
  <w:footnote w:id="12">
    <w:p>
      <w:pPr>
        <w:pStyle w:val="FootnoteText"/>
        <w:rPr>
          <w:sz w:val="18"/>
          <w:szCs w:val="18"/>
        </w:rPr>
      </w:pPr>
      <w:r>
        <w:rPr>
          <w:rStyle w:val="FootnoteReference"/>
        </w:rPr>
        <w:footnoteRef/>
      </w:r>
      <w:r>
        <w:tab/>
      </w:r>
      <w:r>
        <w:rPr>
          <w:sz w:val="18"/>
          <w:szCs w:val="18"/>
        </w:rPr>
        <w:t>Das Jahr N ist das Jahr, in dem mit der Umsetzung des Vorschlags/der Initiative begonnen wird. Bitte ersetzen Sie „N“ durch das vermutlich erste Jahr der Umsetzung (z. B. 2021). Dasselbe gilt für die folgenden Jahre.</w:t>
      </w:r>
    </w:p>
  </w:footnote>
  <w:footnote w:id="13">
    <w:p>
      <w:pPr>
        <w:pStyle w:val="FootnoteText"/>
        <w:rPr>
          <w:szCs w:val="24"/>
        </w:rPr>
      </w:pPr>
      <w:r>
        <w:rPr>
          <w:rStyle w:val="FootnoteReference"/>
        </w:rPr>
        <w:footnoteRef/>
      </w:r>
      <w:r>
        <w:tab/>
      </w:r>
      <w:r>
        <w:rPr>
          <w:sz w:val="18"/>
          <w:szCs w:val="18"/>
        </w:rPr>
        <w:t>Technische und/oder administrative Hilfe und Ausgaben zur Unterstützung der Durchführung von Programmen bzw. Maßnahmen der EU (vormalige BA-Linien), indirekte Forschung, direkte Forschung.</w:t>
      </w:r>
    </w:p>
  </w:footnote>
  <w:footnote w:id="14">
    <w:p>
      <w:pPr>
        <w:pStyle w:val="FootnoteText"/>
        <w:rPr>
          <w:szCs w:val="24"/>
        </w:rPr>
      </w:pPr>
      <w:r>
        <w:rPr>
          <w:rStyle w:val="FootnoteReference"/>
        </w:rPr>
        <w:footnoteRef/>
      </w:r>
      <w:r>
        <w:tab/>
        <w:t xml:space="preserve">VB = Vertragsbedienstete, ÖB = örtliche Bedienstete, ANS = abgeordnete nationale Sachverständige, LAK = Leiharbeitskräfte, JFD = Juniorfachkräfte in Delegationen. </w:t>
      </w:r>
    </w:p>
  </w:footnote>
  <w:footnote w:id="15">
    <w:p>
      <w:pPr>
        <w:pStyle w:val="FootnoteText"/>
        <w:rPr>
          <w:szCs w:val="24"/>
        </w:rPr>
      </w:pPr>
      <w:r>
        <w:rPr>
          <w:rStyle w:val="FootnoteReference"/>
        </w:rPr>
        <w:footnoteRef/>
      </w:r>
      <w:r>
        <w:tab/>
        <w:t>Teilobergrenze für aus operativen Mitteln finanziertes externes Personal (vormalige BA-Linien).</w:t>
      </w:r>
    </w:p>
  </w:footnote>
  <w:footnote w:id="16">
    <w:p>
      <w:pPr>
        <w:pStyle w:val="FootnoteText"/>
      </w:pPr>
      <w:r>
        <w:rPr>
          <w:rStyle w:val="FootnoteReference"/>
        </w:rPr>
        <w:footnoteRef/>
      </w:r>
      <w:r>
        <w:tab/>
        <w:t>Das Jahr N ist das Jahr, in dem mit der Umsetzung des Vorschlags/der Initiative begonnen wird. Bitte ersetzen Sie „N“ durch das vermutlich erste Jahr der Umsetzung (z. B. 2021). Dasselbe gilt für die folgenden Jahre.</w:t>
      </w:r>
    </w:p>
  </w:footnote>
  <w:footnote w:id="17">
    <w:p>
      <w:pPr>
        <w:pStyle w:val="FootnoteText"/>
        <w:rPr>
          <w:szCs w:val="24"/>
        </w:rPr>
      </w:pPr>
      <w:r>
        <w:rPr>
          <w:rStyle w:val="FootnoteReference"/>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994E0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7EF0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493AAA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484C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4833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570E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EA7312"/>
    <w:lvl w:ilvl="0">
      <w:start w:val="1"/>
      <w:numFmt w:val="decimal"/>
      <w:pStyle w:val="ListNumber"/>
      <w:lvlText w:val="(%1)"/>
      <w:lvlJc w:val="left"/>
      <w:pPr>
        <w:tabs>
          <w:tab w:val="num" w:pos="360"/>
        </w:tabs>
        <w:ind w:left="360" w:hanging="360"/>
      </w:pPr>
      <w:rPr>
        <w:rFonts w:hint="default"/>
      </w:rPr>
    </w:lvl>
  </w:abstractNum>
  <w:abstractNum w:abstractNumId="7">
    <w:nsid w:val="FFFFFF89"/>
    <w:multiLevelType w:val="singleLevel"/>
    <w:tmpl w:val="27F659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5"/>
    <w:lvlOverride w:ilvl="0">
      <w:startOverride w:val="1"/>
    </w:lvlOverride>
  </w:num>
  <w:num w:numId="6">
    <w:abstractNumId w:val="6"/>
  </w:num>
  <w:num w:numId="7">
    <w:abstractNumId w:val="2"/>
  </w:num>
  <w:num w:numId="8">
    <w:abstractNumId w:val="1"/>
  </w:num>
  <w:num w:numId="9">
    <w:abstractNumId w:val="0"/>
  </w:num>
  <w:num w:numId="10">
    <w:abstractNumId w:val="8"/>
  </w:num>
  <w:num w:numId="11">
    <w:abstractNumId w:val="18"/>
  </w:num>
  <w:num w:numId="12">
    <w:abstractNumId w:val="17"/>
  </w:num>
  <w:num w:numId="13">
    <w:abstractNumId w:val="13"/>
  </w:num>
  <w:num w:numId="14">
    <w:abstractNumId w:val="23"/>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num>
  <w:num w:numId="18">
    <w:abstractNumId w:val="22"/>
  </w:num>
  <w:num w:numId="19">
    <w:abstractNumId w:val="14"/>
  </w:num>
  <w:num w:numId="20">
    <w:abstractNumId w:val="24"/>
  </w:num>
  <w:num w:numId="21">
    <w:abstractNumId w:val="12"/>
  </w:num>
  <w:num w:numId="22">
    <w:abstractNumId w:val="15"/>
  </w:num>
  <w:num w:numId="23">
    <w:abstractNumId w:val="10"/>
  </w:num>
  <w:num w:numId="24">
    <w:abstractNumId w:val="23"/>
  </w:num>
  <w:num w:numId="25">
    <w:abstractNumId w:val="9"/>
  </w:num>
  <w:num w:numId="26">
    <w:abstractNumId w:val="16"/>
  </w:num>
  <w:num w:numId="27">
    <w:abstractNumId w:val="20"/>
  </w:num>
  <w:num w:numId="28">
    <w:abstractNumId w:val="21"/>
  </w:num>
  <w:num w:numId="29">
    <w:abstractNumId w:val="11"/>
  </w:num>
  <w:num w:numId="30">
    <w:abstractNumId w:val="19"/>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7 18:33:0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04B33B7D-6D77-45B6-8510-C7AA614C5109"/>
    <w:docVar w:name="LW_COVERPAGE_TYPE" w:val="1"/>
    <w:docVar w:name="LW_CROSSREFERENCE" w:val="&lt;UNUSED&gt;"/>
    <w:docVar w:name="LW_DocType" w:val="COM"/>
    <w:docVar w:name="LW_EMISSION" w:val="30.4.2020"/>
    <w:docVar w:name="LW_EMISSION_ISODATE" w:val="2020-04-30"/>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75"/>
    <w:docVar w:name="LW_REF.II.NEW.CP_YEAR" w:val="2020"/>
    <w:docVar w:name="LW_REF.INST.NEW" w:val="COM"/>
    <w:docVar w:name="LW_REF.INST.NEW_ADOPTED" w:val="final"/>
    <w:docVar w:name="LW_REF.INST.NEW_TEXT" w:val="(2020)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Änderung der Verordnung (EU) Nr. 1305/2013 hinsichtlich spezifischer Maßnahmen zur Gewährung einer befristeten Sonderunterstützung im Rahmen des ELER als Reaktion auf den Ausbruch von COVID-19"/>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e-D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3"/>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de-DE"/>
    </w:rPr>
  </w:style>
  <w:style w:type="character" w:customStyle="1" w:styleId="FooterCoverPageChar">
    <w:name w:val="Footer Cover Page Char"/>
    <w:basedOn w:val="TOCHeadingChar"/>
    <w:link w:val="FooterCoverPage"/>
    <w:rPr>
      <w:rFonts w:ascii="Times New Roman" w:hAnsi="Times New Roman" w:cs="Times New Roman"/>
      <w:b w:val="0"/>
      <w:sz w:val="24"/>
      <w:lang w:val="de-DE"/>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de-DE"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e-D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3"/>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de-DE"/>
    </w:rPr>
  </w:style>
  <w:style w:type="character" w:customStyle="1" w:styleId="FooterCoverPageChar">
    <w:name w:val="Footer Cover Page Char"/>
    <w:basedOn w:val="TOCHeadingChar"/>
    <w:link w:val="FooterCoverPage"/>
    <w:rPr>
      <w:rFonts w:ascii="Times New Roman" w:hAnsi="Times New Roman" w:cs="Times New Roman"/>
      <w:b w:val="0"/>
      <w:sz w:val="24"/>
      <w:lang w:val="de-DE"/>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de-DE"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9352">
      <w:bodyDiv w:val="1"/>
      <w:marLeft w:val="0"/>
      <w:marRight w:val="0"/>
      <w:marTop w:val="0"/>
      <w:marBottom w:val="0"/>
      <w:divBdr>
        <w:top w:val="none" w:sz="0" w:space="0" w:color="auto"/>
        <w:left w:val="none" w:sz="0" w:space="0" w:color="auto"/>
        <w:bottom w:val="none" w:sz="0" w:space="0" w:color="auto"/>
        <w:right w:val="none" w:sz="0" w:space="0" w:color="auto"/>
      </w:divBdr>
    </w:div>
    <w:div w:id="109515952">
      <w:bodyDiv w:val="1"/>
      <w:marLeft w:val="0"/>
      <w:marRight w:val="0"/>
      <w:marTop w:val="0"/>
      <w:marBottom w:val="0"/>
      <w:divBdr>
        <w:top w:val="none" w:sz="0" w:space="0" w:color="auto"/>
        <w:left w:val="none" w:sz="0" w:space="0" w:color="auto"/>
        <w:bottom w:val="none" w:sz="0" w:space="0" w:color="auto"/>
        <w:right w:val="none" w:sz="0" w:space="0" w:color="auto"/>
      </w:divBdr>
    </w:div>
    <w:div w:id="239412536">
      <w:bodyDiv w:val="1"/>
      <w:marLeft w:val="0"/>
      <w:marRight w:val="0"/>
      <w:marTop w:val="0"/>
      <w:marBottom w:val="0"/>
      <w:divBdr>
        <w:top w:val="none" w:sz="0" w:space="0" w:color="auto"/>
        <w:left w:val="none" w:sz="0" w:space="0" w:color="auto"/>
        <w:bottom w:val="none" w:sz="0" w:space="0" w:color="auto"/>
        <w:right w:val="none" w:sz="0" w:space="0" w:color="auto"/>
      </w:divBdr>
      <w:divsChild>
        <w:div w:id="48304366">
          <w:marLeft w:val="0"/>
          <w:marRight w:val="0"/>
          <w:marTop w:val="0"/>
          <w:marBottom w:val="0"/>
          <w:divBdr>
            <w:top w:val="none" w:sz="0" w:space="0" w:color="auto"/>
            <w:left w:val="none" w:sz="0" w:space="0" w:color="auto"/>
            <w:bottom w:val="none" w:sz="0" w:space="0" w:color="auto"/>
            <w:right w:val="none" w:sz="0" w:space="0" w:color="auto"/>
          </w:divBdr>
          <w:divsChild>
            <w:div w:id="517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3782">
      <w:bodyDiv w:val="1"/>
      <w:marLeft w:val="0"/>
      <w:marRight w:val="0"/>
      <w:marTop w:val="0"/>
      <w:marBottom w:val="0"/>
      <w:divBdr>
        <w:top w:val="none" w:sz="0" w:space="0" w:color="auto"/>
        <w:left w:val="none" w:sz="0" w:space="0" w:color="auto"/>
        <w:bottom w:val="none" w:sz="0" w:space="0" w:color="auto"/>
        <w:right w:val="none" w:sz="0" w:space="0" w:color="auto"/>
      </w:divBdr>
    </w:div>
    <w:div w:id="336541489">
      <w:bodyDiv w:val="1"/>
      <w:marLeft w:val="0"/>
      <w:marRight w:val="0"/>
      <w:marTop w:val="0"/>
      <w:marBottom w:val="0"/>
      <w:divBdr>
        <w:top w:val="none" w:sz="0" w:space="0" w:color="auto"/>
        <w:left w:val="none" w:sz="0" w:space="0" w:color="auto"/>
        <w:bottom w:val="none" w:sz="0" w:space="0" w:color="auto"/>
        <w:right w:val="none" w:sz="0" w:space="0" w:color="auto"/>
      </w:divBdr>
    </w:div>
    <w:div w:id="413014906">
      <w:bodyDiv w:val="1"/>
      <w:marLeft w:val="0"/>
      <w:marRight w:val="0"/>
      <w:marTop w:val="0"/>
      <w:marBottom w:val="0"/>
      <w:divBdr>
        <w:top w:val="none" w:sz="0" w:space="0" w:color="auto"/>
        <w:left w:val="none" w:sz="0" w:space="0" w:color="auto"/>
        <w:bottom w:val="none" w:sz="0" w:space="0" w:color="auto"/>
        <w:right w:val="none" w:sz="0" w:space="0" w:color="auto"/>
      </w:divBdr>
    </w:div>
    <w:div w:id="759641325">
      <w:bodyDiv w:val="1"/>
      <w:marLeft w:val="0"/>
      <w:marRight w:val="0"/>
      <w:marTop w:val="0"/>
      <w:marBottom w:val="0"/>
      <w:divBdr>
        <w:top w:val="none" w:sz="0" w:space="0" w:color="auto"/>
        <w:left w:val="none" w:sz="0" w:space="0" w:color="auto"/>
        <w:bottom w:val="none" w:sz="0" w:space="0" w:color="auto"/>
        <w:right w:val="none" w:sz="0" w:space="0" w:color="auto"/>
      </w:divBdr>
    </w:div>
    <w:div w:id="792333122">
      <w:bodyDiv w:val="1"/>
      <w:marLeft w:val="0"/>
      <w:marRight w:val="0"/>
      <w:marTop w:val="0"/>
      <w:marBottom w:val="0"/>
      <w:divBdr>
        <w:top w:val="none" w:sz="0" w:space="0" w:color="auto"/>
        <w:left w:val="none" w:sz="0" w:space="0" w:color="auto"/>
        <w:bottom w:val="none" w:sz="0" w:space="0" w:color="auto"/>
        <w:right w:val="none" w:sz="0" w:space="0" w:color="auto"/>
      </w:divBdr>
    </w:div>
    <w:div w:id="840584757">
      <w:bodyDiv w:val="1"/>
      <w:marLeft w:val="0"/>
      <w:marRight w:val="0"/>
      <w:marTop w:val="0"/>
      <w:marBottom w:val="0"/>
      <w:divBdr>
        <w:top w:val="none" w:sz="0" w:space="0" w:color="auto"/>
        <w:left w:val="none" w:sz="0" w:space="0" w:color="auto"/>
        <w:bottom w:val="none" w:sz="0" w:space="0" w:color="auto"/>
        <w:right w:val="none" w:sz="0" w:space="0" w:color="auto"/>
      </w:divBdr>
    </w:div>
    <w:div w:id="1020399835">
      <w:bodyDiv w:val="1"/>
      <w:marLeft w:val="0"/>
      <w:marRight w:val="0"/>
      <w:marTop w:val="0"/>
      <w:marBottom w:val="0"/>
      <w:divBdr>
        <w:top w:val="none" w:sz="0" w:space="0" w:color="auto"/>
        <w:left w:val="none" w:sz="0" w:space="0" w:color="auto"/>
        <w:bottom w:val="none" w:sz="0" w:space="0" w:color="auto"/>
        <w:right w:val="none" w:sz="0" w:space="0" w:color="auto"/>
      </w:divBdr>
    </w:div>
    <w:div w:id="1036199854">
      <w:bodyDiv w:val="1"/>
      <w:marLeft w:val="0"/>
      <w:marRight w:val="0"/>
      <w:marTop w:val="0"/>
      <w:marBottom w:val="0"/>
      <w:divBdr>
        <w:top w:val="none" w:sz="0" w:space="0" w:color="auto"/>
        <w:left w:val="none" w:sz="0" w:space="0" w:color="auto"/>
        <w:bottom w:val="none" w:sz="0" w:space="0" w:color="auto"/>
        <w:right w:val="none" w:sz="0" w:space="0" w:color="auto"/>
      </w:divBdr>
    </w:div>
    <w:div w:id="1058164167">
      <w:bodyDiv w:val="1"/>
      <w:marLeft w:val="0"/>
      <w:marRight w:val="0"/>
      <w:marTop w:val="0"/>
      <w:marBottom w:val="0"/>
      <w:divBdr>
        <w:top w:val="none" w:sz="0" w:space="0" w:color="auto"/>
        <w:left w:val="none" w:sz="0" w:space="0" w:color="auto"/>
        <w:bottom w:val="none" w:sz="0" w:space="0" w:color="auto"/>
        <w:right w:val="none" w:sz="0" w:space="0" w:color="auto"/>
      </w:divBdr>
    </w:div>
    <w:div w:id="1251161004">
      <w:bodyDiv w:val="1"/>
      <w:marLeft w:val="0"/>
      <w:marRight w:val="0"/>
      <w:marTop w:val="0"/>
      <w:marBottom w:val="0"/>
      <w:divBdr>
        <w:top w:val="none" w:sz="0" w:space="0" w:color="auto"/>
        <w:left w:val="none" w:sz="0" w:space="0" w:color="auto"/>
        <w:bottom w:val="none" w:sz="0" w:space="0" w:color="auto"/>
        <w:right w:val="none" w:sz="0" w:space="0" w:color="auto"/>
      </w:divBdr>
    </w:div>
    <w:div w:id="1256859194">
      <w:bodyDiv w:val="1"/>
      <w:marLeft w:val="0"/>
      <w:marRight w:val="0"/>
      <w:marTop w:val="0"/>
      <w:marBottom w:val="0"/>
      <w:divBdr>
        <w:top w:val="none" w:sz="0" w:space="0" w:color="auto"/>
        <w:left w:val="none" w:sz="0" w:space="0" w:color="auto"/>
        <w:bottom w:val="none" w:sz="0" w:space="0" w:color="auto"/>
        <w:right w:val="none" w:sz="0" w:space="0" w:color="auto"/>
      </w:divBdr>
    </w:div>
    <w:div w:id="1294874134">
      <w:bodyDiv w:val="1"/>
      <w:marLeft w:val="0"/>
      <w:marRight w:val="0"/>
      <w:marTop w:val="0"/>
      <w:marBottom w:val="0"/>
      <w:divBdr>
        <w:top w:val="none" w:sz="0" w:space="0" w:color="auto"/>
        <w:left w:val="none" w:sz="0" w:space="0" w:color="auto"/>
        <w:bottom w:val="none" w:sz="0" w:space="0" w:color="auto"/>
        <w:right w:val="none" w:sz="0" w:space="0" w:color="auto"/>
      </w:divBdr>
    </w:div>
    <w:div w:id="1403678544">
      <w:bodyDiv w:val="1"/>
      <w:marLeft w:val="0"/>
      <w:marRight w:val="0"/>
      <w:marTop w:val="0"/>
      <w:marBottom w:val="0"/>
      <w:divBdr>
        <w:top w:val="none" w:sz="0" w:space="0" w:color="auto"/>
        <w:left w:val="none" w:sz="0" w:space="0" w:color="auto"/>
        <w:bottom w:val="none" w:sz="0" w:space="0" w:color="auto"/>
        <w:right w:val="none" w:sz="0" w:space="0" w:color="auto"/>
      </w:divBdr>
    </w:div>
    <w:div w:id="1948852339">
      <w:bodyDiv w:val="1"/>
      <w:marLeft w:val="0"/>
      <w:marRight w:val="0"/>
      <w:marTop w:val="0"/>
      <w:marBottom w:val="0"/>
      <w:divBdr>
        <w:top w:val="none" w:sz="0" w:space="0" w:color="auto"/>
        <w:left w:val="none" w:sz="0" w:space="0" w:color="auto"/>
        <w:bottom w:val="none" w:sz="0" w:space="0" w:color="auto"/>
        <w:right w:val="none" w:sz="0" w:space="0" w:color="auto"/>
      </w:divBdr>
    </w:div>
    <w:div w:id="1983999061">
      <w:bodyDiv w:val="1"/>
      <w:marLeft w:val="0"/>
      <w:marRight w:val="0"/>
      <w:marTop w:val="0"/>
      <w:marBottom w:val="0"/>
      <w:divBdr>
        <w:top w:val="none" w:sz="0" w:space="0" w:color="auto"/>
        <w:left w:val="none" w:sz="0" w:space="0" w:color="auto"/>
        <w:bottom w:val="none" w:sz="0" w:space="0" w:color="auto"/>
        <w:right w:val="none" w:sz="0" w:space="0" w:color="auto"/>
      </w:divBdr>
    </w:div>
    <w:div w:id="2069644947">
      <w:bodyDiv w:val="1"/>
      <w:marLeft w:val="0"/>
      <w:marRight w:val="0"/>
      <w:marTop w:val="0"/>
      <w:marBottom w:val="0"/>
      <w:divBdr>
        <w:top w:val="none" w:sz="0" w:space="0" w:color="auto"/>
        <w:left w:val="none" w:sz="0" w:space="0" w:color="auto"/>
        <w:bottom w:val="none" w:sz="0" w:space="0" w:color="auto"/>
        <w:right w:val="none" w:sz="0" w:space="0" w:color="auto"/>
      </w:divBdr>
    </w:div>
    <w:div w:id="2147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intracomm.ec.europa.eu/budgweb/EN/leg/internal/Documents/2016-5-legislative-financial-statement-ann-en.doc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62e97ea9-7ea3-481f-81a3-2d45a5a9b393">Not Started</EC_Collab_Status>
    <EC_Collab_DocumentLanguage xmlns="62e97ea9-7ea3-481f-81a3-2d45a5a9b393">EN</EC_Collab_DocumentLanguage>
    <EC_Collab_Reference xmlns="62e97ea9-7ea3-481f-81a3-2d45a5a9b3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9934AA0B36B1384886ADB3E40549A2B0" ma:contentTypeVersion="0" ma:contentTypeDescription="Create a new document in this library." ma:contentTypeScope="" ma:versionID="2ccea2f6a9419b2cc6372d603c4d829b">
  <xsd:schema xmlns:xsd="http://www.w3.org/2001/XMLSchema" xmlns:xs="http://www.w3.org/2001/XMLSchema" xmlns:p="http://schemas.microsoft.com/office/2006/metadata/properties" xmlns:ns2="http://schemas.microsoft.com/sharepoint/v3/fields" xmlns:ns3="62e97ea9-7ea3-481f-81a3-2d45a5a9b393" targetNamespace="http://schemas.microsoft.com/office/2006/metadata/properties" ma:root="true" ma:fieldsID="e99a88584d72bb20f25083a2210d0d03" ns2:_="" ns3:_="">
    <xsd:import namespace="http://schemas.microsoft.com/sharepoint/v3/fields"/>
    <xsd:import namespace="62e97ea9-7ea3-481f-81a3-2d45a5a9b393"/>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e97ea9-7ea3-481f-81a3-2d45a5a9b39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A58C45-29C4-4014-94DF-4206643B6015}">
  <ds:schemaRefs>
    <ds:schemaRef ds:uri="http://schemas.microsoft.com/sharepoint/v3/contenttype/forms"/>
  </ds:schemaRefs>
</ds:datastoreItem>
</file>

<file path=customXml/itemProps2.xml><?xml version="1.0" encoding="utf-8"?>
<ds:datastoreItem xmlns:ds="http://schemas.openxmlformats.org/officeDocument/2006/customXml" ds:itemID="{05716F78-C311-4872-8C4A-C603A696F179}">
  <ds:schemaRefs>
    <ds:schemaRef ds:uri="http://purl.org/dc/dcmitype/"/>
    <ds:schemaRef ds:uri="http://purl.org/dc/elements/1.1/"/>
    <ds:schemaRef ds:uri="http://schemas.microsoft.com/office/2006/metadata/properties"/>
    <ds:schemaRef ds:uri="62e97ea9-7ea3-481f-81a3-2d45a5a9b39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DCE3FE85-EE68-4FCA-AD13-79181A2C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2e97ea9-7ea3-481f-81a3-2d45a5a9b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D46B3-ECA7-4641-B41A-46DB265E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22</Pages>
  <Words>3808</Words>
  <Characters>26013</Characters>
  <Application>Microsoft Office Word</Application>
  <DocSecurity>0</DocSecurity>
  <Lines>1369</Lines>
  <Paragraphs>514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2020-05-06T11:33:00Z</dcterms:created>
  <dcterms:modified xsi:type="dcterms:W3CDTF">2020-05-07T16:33:00Z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0x010100258AA79CEB83498886A3A08681123250009934AA0B36B1384886ADB3E40549A2B0</vt:lpwstr>
  </property>
  <property fmtid="{D5CDD505-2E9C-101B-9397-08002B2CF9AE}" pid="11" name="DQCStatus">
    <vt:lpwstr>Green (DQC version 03)</vt:lpwstr>
  </property>
</Properties>
</file>