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7A5CB46-A124-4949-9D47-E874B5E4CB79"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rFonts w:eastAsia="Times New Roman"/>
          <w:noProof/>
          <w:szCs w:val="24"/>
        </w:rPr>
      </w:pPr>
      <w:r>
        <w:rPr>
          <w:noProof/>
        </w:rPr>
        <w:t>A Tanács 2017. december 5-én elfogadta a 2006/112/EK irányelvnek</w:t>
      </w:r>
      <w:r>
        <w:rPr>
          <w:rStyle w:val="FootnoteReference"/>
          <w:rFonts w:eastAsia="Times New Roman"/>
          <w:noProof/>
          <w:szCs w:val="24"/>
        </w:rPr>
        <w:footnoteReference w:id="1"/>
      </w:r>
      <w:r>
        <w:rPr>
          <w:noProof/>
        </w:rPr>
        <w:t xml:space="preserve"> [a továbbiakban: héairányelv] és a 2009/132/EK irányelvnek</w:t>
      </w:r>
      <w:r>
        <w:rPr>
          <w:rStyle w:val="FootnoteReference"/>
          <w:rFonts w:eastAsia="Times New Roman"/>
          <w:noProof/>
          <w:szCs w:val="24"/>
        </w:rPr>
        <w:footnoteReference w:id="2"/>
      </w:r>
      <w:r>
        <w:rPr>
          <w:noProof/>
        </w:rPr>
        <w:t xml:space="preserve"> a szolgáltatásnyújtásra és a termékek távértékesítésére vonatkozó bizonyos hozzáadottértékadó-kötelezettségek tekintetében történő módosításáról szóló (EU) 2017/2455 irányelvet</w:t>
      </w:r>
      <w:r>
        <w:rPr>
          <w:rStyle w:val="FootnoteReference"/>
          <w:noProof/>
        </w:rPr>
        <w:footnoteReference w:id="3"/>
      </w:r>
      <w:r>
        <w:rPr>
          <w:noProof/>
        </w:rPr>
        <w:t xml:space="preserve"> (a továbbiakban: az e-kereskedelemre vonatkozó héairányelv).</w:t>
      </w:r>
    </w:p>
    <w:p>
      <w:pPr>
        <w:rPr>
          <w:rFonts w:eastAsia="Times New Roman"/>
          <w:noProof/>
          <w:szCs w:val="24"/>
        </w:rPr>
      </w:pPr>
      <w:r>
        <w:rPr>
          <w:noProof/>
        </w:rPr>
        <w:t>A Tanács 2019. november 21-én elfogadta a héairányelvnek a termékek távértékesítésére és bizonyos belföldi termékértékesítésekre vonatkozó rendelkezések tekintetében történő módosításáról szóló (EU) 2019/1995 irányelvet</w:t>
      </w:r>
      <w:r>
        <w:rPr>
          <w:rStyle w:val="FootnoteReference"/>
          <w:rFonts w:eastAsia="Times New Roman"/>
          <w:noProof/>
          <w:szCs w:val="24"/>
        </w:rPr>
        <w:footnoteReference w:id="4"/>
      </w:r>
      <w:r>
        <w:rPr>
          <w:noProof/>
        </w:rPr>
        <w:t xml:space="preserve"> (a továbbiakban: az e-kereskedelemre vonatkozó második héairányelv).</w:t>
      </w:r>
    </w:p>
    <w:p>
      <w:pPr>
        <w:rPr>
          <w:rFonts w:eastAsia="Times New Roman"/>
          <w:noProof/>
          <w:szCs w:val="24"/>
        </w:rPr>
      </w:pPr>
      <w:r>
        <w:rPr>
          <w:noProof/>
        </w:rPr>
        <w:t>A határokon átnyúló elektronikus kiskereskedelmet érintő héaszabályozás korszerűsítésére irányuló átfogó jogszabálycsomagot (a továbbiakban: az e-kereskedelmre vonatkozó héacsomag) alkotó jogszabályok zöme 2021. január 1-jét jelölte meg az alkalmazás kezdőnapjaként, ami elegendő időt biztosított a tagállamoknak jogszabályaik és informatikai rendszereik módosítására.</w:t>
      </w:r>
    </w:p>
    <w:p>
      <w:pPr>
        <w:rPr>
          <w:rFonts w:eastAsia="Times New Roman"/>
          <w:noProof/>
          <w:szCs w:val="24"/>
        </w:rPr>
      </w:pPr>
      <w:r>
        <w:rPr>
          <w:noProof/>
        </w:rPr>
        <w:t>A Bizottság 2020. február 14-én mérleget készített a tagállamok felkészültségének aktuális szintjéről; ebből az alkalomból a legtöbb tagállam megerősítette, hogy képes lesz arra, hogy kellő időben megkezdje a szabályok alkalmazását. Két tagállam kételyének adott hangot azzal kapcsolatban, hogy megfelelő időben készen áll-e majd az alkalmazásra, és annak legalább egy évvel történő elhalasztását kérte. A Bizottság felajánlotta segítségét a nehézségekkel szembesülő tagállamoknak annak érdekében, hogy le tudják küzdeni az akadályokat, és továbbra is bízott benne, hogy minden tagállam fel tud készülni 2021. január 1-jéig.</w:t>
      </w:r>
    </w:p>
    <w:p>
      <w:pPr>
        <w:rPr>
          <w:rFonts w:eastAsia="Times New Roman"/>
          <w:noProof/>
          <w:szCs w:val="24"/>
        </w:rPr>
      </w:pPr>
      <w:r>
        <w:rPr>
          <w:noProof/>
        </w:rPr>
        <w:t xml:space="preserve">A Covid19-válság előre nem látott kitörése és annak jelentős hatása miatt azonban a tagállamok kénytelenek voltak átértékelni prioritásaikat és az e-kereskedelemre vonatkozó héacsomagról a világjárvány leküzdésére átcsoportosítani erőforrásaikat. Ezért immár más olyan tagállamok is vannak, amelyek nem tudják garantálni, hogy 2021. január 1-jéig le tudják zárni az új szabályok alkalmazására irányuló előkészítő munkát, ideértve az említett irányelvek kellő időben történő átültetését. Nagy a kockázata annak, hogy késedelmet szenved e-kereskedelemre vonatkozó héairányelvekben megállapított szabályok végrehajtásához szükséges nemzeti szintű informatikai rendszer működésbe léptetése, ami azzal járna, hogy számos tagállam nem lesz képes 2021. január 1-jétől alkalmazni az új szabályokat. Hasonló aggályokat fogalmaztak meg fontos gazdasági szereplők is, különösen a postai szolgáltatók és a futárszolgálatok, amelyek szorgalmazták, hogy a Bizottság a Covid19-válságra tekintettel </w:t>
      </w:r>
      <w:r>
        <w:rPr>
          <w:noProof/>
        </w:rPr>
        <w:lastRenderedPageBreak/>
        <w:t>halassza el hat hónappal az e-kereskedelemre vonatkozó héacsomag alkalmazásának kezdőnapját.</w:t>
      </w:r>
    </w:p>
    <w:p>
      <w:pPr>
        <w:rPr>
          <w:rFonts w:eastAsia="Times New Roman"/>
          <w:noProof/>
          <w:szCs w:val="24"/>
        </w:rPr>
      </w:pPr>
      <w:r>
        <w:rPr>
          <w:noProof/>
        </w:rPr>
        <w:t>A Bizottság 2020. április 24-én megbeszélést folytatott a tagállamokkal, hogy felmérje, hol tartanak az új szabályok 2021. január 1-jétől kezdődő alkalmazására való felkészülésben. A tagállamok többsége továbbra is úgy nyilatkozott, hogy képes lesz a szabályok alkalmazásának időben történő megkezdésére, de e tagállamok is hangsúlyozták, hogy az e-kereskedelemre vonatkozó héacsomag működésével kapcsolatos rendelkezések azon az elven alapulnak, hogy minden tagállamnak képesnek kell lennie e rendelkezések helyes alkalmazására, ezért készek támogatni egy legfeljebb hat hónapos halasztást.</w:t>
      </w:r>
    </w:p>
    <w:p>
      <w:pPr>
        <w:rPr>
          <w:rFonts w:eastAsia="Times New Roman"/>
          <w:noProof/>
          <w:szCs w:val="24"/>
        </w:rPr>
      </w:pPr>
      <w:r>
        <w:rPr>
          <w:noProof/>
        </w:rPr>
        <w:t>A fentiek figyelembevételével e javaslat arra irányul, hogy az (EU) 2017/2455 és az (EU) 2019/1995 tanácsi irányelvben foglalt módosítások alkalmazásának 2021. január 1-jében meghatározott kezdőnapját hat hónappal későbbre halassza. Ily módon az alkalmazás új kezdőnapja ezért 2021. július 1-je lesz. A halasztás javasolt időtartama azért hat hónap, mert a tagállamok további költségvetési veszteségeinek minimalizálása érdekében a késedelmet a lehető legrövidebb időre kell korlátozni.</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rPr>
          <w:noProof/>
        </w:rPr>
      </w:pPr>
      <w:bookmarkStart w:id="1" w:name="_Toc460579991"/>
      <w:r>
        <w:rPr>
          <w:noProof/>
        </w:rPr>
        <w:t>E javaslat általános célkitűzései a következők: a belső piac zavartalan működése, az uniós vállalkozások versenyképessége és a digitális gazdaság célravezető adóztatásának biztosítása.</w:t>
      </w:r>
      <w:bookmarkEnd w:id="1"/>
      <w:r>
        <w:rPr>
          <w:noProof/>
        </w:rPr>
        <w:t xml:space="preserve"> Az e-kereskedelemre vonatkozó héacsomag összhangban van a héa tekintetében a rendeltetési hely elvének jövőbeni alkalmazásával, ahogyan az a héára vonatkozó, a Tanács által támogatott közelmúltbeli cselekvési tervben szerepel</w:t>
      </w:r>
      <w:r>
        <w:rPr>
          <w:rStyle w:val="FootnoteReference"/>
          <w:noProof/>
          <w:szCs w:val="24"/>
        </w:rPr>
        <w:footnoteReference w:id="5"/>
      </w:r>
      <w:r>
        <w:rPr>
          <w:noProof/>
        </w:rPr>
        <w:t>.</w:t>
      </w:r>
    </w:p>
    <w:p>
      <w:pPr>
        <w:spacing w:before="0" w:after="0"/>
        <w:rPr>
          <w:noProof/>
          <w:szCs w:val="24"/>
        </w:rPr>
      </w:pPr>
      <w:r>
        <w:rPr>
          <w:noProof/>
        </w:rPr>
        <w:t>A héára vonatkozó cselekvési terv mellett az e-kereskedelemre vonatkozó héacsomagot szintén kulcsfontosságú kezdeményezésként határozta meg az európai digitális egységes piaci stratégia</w:t>
      </w:r>
      <w:r>
        <w:rPr>
          <w:rStyle w:val="FootnoteReference"/>
          <w:noProof/>
          <w:lang w:eastAsia="en-GB"/>
        </w:rPr>
        <w:footnoteReference w:id="6"/>
      </w:r>
      <w:r>
        <w:rPr>
          <w:noProof/>
        </w:rPr>
        <w:t xml:space="preserve"> (a továbbiakban: digitális egységes piaci stratégia), valamint az egységes piaci stratégia</w:t>
      </w:r>
      <w:r>
        <w:rPr>
          <w:rStyle w:val="FootnoteReference"/>
          <w:noProof/>
          <w:lang w:eastAsia="en-GB"/>
        </w:rPr>
        <w:footnoteReference w:id="7"/>
      </w:r>
      <w:r>
        <w:rPr>
          <w:noProof/>
        </w:rPr>
        <w:t xml:space="preserve"> és az e-kormányzati cselekvési terv</w:t>
      </w:r>
      <w:r>
        <w:rPr>
          <w:rStyle w:val="FootnoteReference"/>
          <w:noProof/>
          <w:lang w:eastAsia="en-GB"/>
        </w:rPr>
        <w:footnoteReference w:id="8"/>
      </w:r>
      <w:r>
        <w:rPr>
          <w:noProof/>
        </w:rPr>
        <w:t>.</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rPr>
        <w:tab/>
      </w:r>
      <w:r>
        <w:rPr>
          <w:noProof/>
          <w:u w:color="000000"/>
          <w:bdr w:val="nil"/>
        </w:rPr>
        <w:t>Jogalap</w:t>
      </w:r>
    </w:p>
    <w:p>
      <w:pPr>
        <w:pBdr>
          <w:top w:val="nil"/>
          <w:left w:val="nil"/>
          <w:bottom w:val="nil"/>
          <w:right w:val="nil"/>
          <w:between w:val="nil"/>
          <w:bar w:val="nil"/>
        </w:pBdr>
        <w:spacing w:before="0" w:after="240"/>
        <w:rPr>
          <w:rFonts w:eastAsia="Arial Unicode MS"/>
          <w:noProof/>
        </w:rPr>
      </w:pPr>
      <w:r>
        <w:rPr>
          <w:noProof/>
          <w:u w:color="000000"/>
          <w:bdr w:val="nil"/>
        </w:rPr>
        <w:t>A javaslat jogalapja az Európai Unió működéséről szóló szerződés (EUMSZ) 113. cikke. Az említett cikk értelmében a Tanács az Európai Parlamenttel, valamint az Európai Gazdasági és Szociális Bizottsággal folytatott konzultációt követően, különleges jogalkotási eljárás keretében, egyhangúlag rendelkezéseket fogad el a közvetett adózás területére vonatkozó tagállami szabályok harmonizálására.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Szubszidiaritás (nem kizárólagos hatáskör esetén) </w:t>
      </w:r>
    </w:p>
    <w:p>
      <w:pPr>
        <w:spacing w:before="0" w:after="240"/>
        <w:rPr>
          <w:rFonts w:eastAsia="Times New Roman"/>
          <w:noProof/>
          <w:szCs w:val="24"/>
        </w:rPr>
      </w:pPr>
      <w:r>
        <w:rPr>
          <w:noProof/>
        </w:rPr>
        <w:t xml:space="preserve">Ez a javaslat későbbre halasztja az e-kereskedelemre vonatkozó héairányelvek alkalmazásának 2021. január 1-jében megjelölt kezdőnapját. A Tanács ezeket az irányelveket 2017 decemberében és 2019 novemberében fogadta el, és 2020. december 31-ig valamennyi tagállamnak át kell ültetnie őket a nemzeti jogba. Ez a javaslat a Covid19-válság kitörésének következményeként és az arra való reagálás jegyében készült. A válság a jelenlegi szükséghelyzet kezelésével összefüggésben nemzeti szintű kihívások elé állítja a tagállamokat, egyes tagállamok számára pedig megnehezíti annak biztosítását, hogy az informatikai rendszereik vonatkozásában előírt módosítások végrehajtása időben </w:t>
      </w:r>
      <w:r>
        <w:rPr>
          <w:noProof/>
        </w:rPr>
        <w:lastRenderedPageBreak/>
        <w:t>megtörténjen. Az e-kereskedelemre vonatkozó héacsomag működését szabályozó rendelkezések azon az elven alapulnak, hogy minden tagállamnak képesnek kell lennie helyes alkalmazásukra.</w:t>
      </w:r>
    </w:p>
    <w:p>
      <w:pPr>
        <w:spacing w:before="0" w:after="240"/>
        <w:rPr>
          <w:rFonts w:eastAsia="Times New Roman"/>
          <w:noProof/>
          <w:szCs w:val="20"/>
        </w:rPr>
      </w:pPr>
      <w:r>
        <w:rPr>
          <w:noProof/>
        </w:rPr>
        <w:t>Tekintettel arra, hogy a héa uniós szinten harmonizált adó, a tagállamok saját hatáskörben nem állapíthatnak meg eltérő szabályokat. Ennélfogva az e-kereskedelemre vonatkozó héaszabályok módosítására irányuló bármely kezdeményezéshez – ideértve az alkalmazás kezdőnapjának megváltoztatását is – bizottsági javaslat szükséges, tehát az ilyen kezdeményezések nem valósíthatók meg egyoldalú nemzeti intézkedésekkel.</w:t>
      </w:r>
    </w:p>
    <w:p>
      <w:pPr>
        <w:pBdr>
          <w:top w:val="nil"/>
          <w:left w:val="nil"/>
          <w:bottom w:val="nil"/>
          <w:right w:val="nil"/>
          <w:between w:val="nil"/>
          <w:bar w:val="nil"/>
        </w:pBdr>
        <w:spacing w:before="0" w:after="240"/>
        <w:rPr>
          <w:rFonts w:eastAsia="Times New Roman"/>
          <w:noProof/>
          <w:szCs w:val="20"/>
        </w:rPr>
      </w:pPr>
      <w:r>
        <w:rPr>
          <w:noProof/>
        </w:rPr>
        <w:t>A javaslat ezért megfelel a szubszidiaritás elvének.</w:t>
      </w:r>
    </w:p>
    <w:p>
      <w:pPr>
        <w:pStyle w:val="ManualHeading2"/>
        <w:rPr>
          <w:rFonts w:eastAsia="Arial Unicode MS"/>
          <w:noProof/>
          <w:u w:color="000000"/>
          <w:bdr w:val="nil"/>
        </w:rPr>
      </w:pPr>
      <w:r>
        <w:rPr>
          <w:noProof/>
          <w:u w:color="000000"/>
          <w:bdr w:val="nil"/>
        </w:rPr>
        <w:t>•</w:t>
      </w:r>
      <w:r>
        <w:rPr>
          <w:noProof/>
        </w:rPr>
        <w:tab/>
      </w:r>
      <w:r>
        <w:rPr>
          <w:noProof/>
          <w:u w:color="000000"/>
          <w:bdr w:val="nil"/>
        </w:rPr>
        <w:t>Arányosság</w:t>
      </w:r>
    </w:p>
    <w:p>
      <w:pPr>
        <w:pBdr>
          <w:top w:val="nil"/>
          <w:left w:val="nil"/>
          <w:bottom w:val="nil"/>
          <w:right w:val="nil"/>
          <w:between w:val="nil"/>
          <w:bar w:val="nil"/>
        </w:pBdr>
        <w:spacing w:before="0" w:after="240"/>
        <w:rPr>
          <w:rFonts w:eastAsia="Arial Unicode MS"/>
          <w:noProof/>
        </w:rPr>
      </w:pPr>
      <w:r>
        <w:rPr>
          <w:noProof/>
        </w:rPr>
        <w:t>A javaslat összhangban van az arányosság elvével, azaz nem mutat túl a Szerződések célkitűzéseinek és különösen az egységes piac zavartalan működésének megvalósításához szükséges mértéken. Az arányosságra is vonatkozik az, ami a szubszidiaritásra, nevezetesen, hogy az e-kereskedelemre vonatkozó héairányelvek alkalmazása tekintetében kitűzött kezdőnapok módosítására irányuló javaslat nélkül a tagállamoknak nem áll módjukban kezelni ezeket a problémákat.</w:t>
      </w:r>
    </w:p>
    <w:p>
      <w:pPr>
        <w:pStyle w:val="ManualHeading2"/>
        <w:rPr>
          <w:rFonts w:eastAsia="Arial Unicode MS"/>
          <w:noProof/>
          <w:u w:color="000000"/>
          <w:bdr w:val="nil"/>
        </w:rPr>
      </w:pPr>
      <w:r>
        <w:rPr>
          <w:noProof/>
          <w:u w:color="000000"/>
          <w:bdr w:val="nil"/>
        </w:rPr>
        <w:t>•</w:t>
      </w:r>
      <w:r>
        <w:rPr>
          <w:noProof/>
        </w:rPr>
        <w:tab/>
      </w:r>
      <w:r>
        <w:rPr>
          <w:noProof/>
          <w:u w:color="000000"/>
          <w:bdr w:val="nil"/>
        </w:rPr>
        <w:t>A jogi aktus típusának megválasztása</w:t>
      </w:r>
    </w:p>
    <w:p>
      <w:pPr>
        <w:pBdr>
          <w:top w:val="nil"/>
          <w:left w:val="nil"/>
          <w:bottom w:val="nil"/>
          <w:right w:val="nil"/>
          <w:between w:val="nil"/>
          <w:bar w:val="nil"/>
        </w:pBdr>
        <w:spacing w:before="0" w:after="240"/>
        <w:rPr>
          <w:rFonts w:eastAsia="Arial Unicode MS"/>
          <w:noProof/>
        </w:rPr>
      </w:pPr>
      <w:r>
        <w:rPr>
          <w:noProof/>
        </w:rPr>
        <w:t>A javaslat módosítja az (EU) 2017/2455 és az (EU) 2019/1995 tanácsi irányelvet. E célra egy tanácsi határozat a legalkalmasabb eszköz, mivel csupán az átültetési határidő és az alkalmazás kezdőnapja módosul.</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noProof/>
          <w:u w:color="000000"/>
          <w:bdr w:val="nil"/>
        </w:rPr>
      </w:pPr>
      <w:r>
        <w:rPr>
          <w:noProof/>
          <w:u w:color="000000"/>
          <w:bdr w:val="nil"/>
        </w:rPr>
        <w:t>•</w:t>
      </w:r>
      <w:r>
        <w:rPr>
          <w:noProof/>
        </w:rPr>
        <w:tab/>
      </w:r>
      <w:r>
        <w:rPr>
          <w:noProof/>
          <w:u w:color="000000"/>
          <w:bdr w:val="nil"/>
        </w:rPr>
        <w:t>Az érdekelt felekkel folytatott konzultációk</w:t>
      </w:r>
    </w:p>
    <w:p>
      <w:pPr>
        <w:pBdr>
          <w:top w:val="nil"/>
          <w:left w:val="nil"/>
          <w:bottom w:val="nil"/>
          <w:right w:val="nil"/>
          <w:between w:val="nil"/>
          <w:bar w:val="nil"/>
        </w:pBdr>
        <w:spacing w:before="0" w:after="240"/>
        <w:rPr>
          <w:noProof/>
        </w:rPr>
      </w:pPr>
      <w:r>
        <w:rPr>
          <w:noProof/>
        </w:rPr>
        <w:t>A Bizottsággal több tagállam, valamint postai szolgáltatók és futárszolgálatok is felvették a kapcsolatot, akik hangsúlyozták, hogy a Covid19-válság kitörése miatt igen valószínűtlen, hogy informatikai rendszereik 2021. január 1-jére készen állnak és működőképesek lesznek az e-kereskedelemre vonatkozó héacsomag alkalmazása és végrehajtása szempontjából.</w:t>
      </w:r>
    </w:p>
    <w:p>
      <w:pPr>
        <w:rPr>
          <w:rFonts w:eastAsia="Times New Roman"/>
          <w:noProof/>
          <w:szCs w:val="24"/>
        </w:rPr>
      </w:pPr>
      <w:r>
        <w:rPr>
          <w:noProof/>
        </w:rPr>
        <w:t>A Bizottság 2020. április 24-én megbeszélést folytatott a tagállamokkal, hogy felmérje, hol tartanak az új szabályok 2021. január 1-jétől kezdődő alkalmazására való felkészülésben. A tagállamok többsége továbbra is úgy nyilatkozott, hogy képes lesz a szabályok alkalmazásának időben történő megkezdésére, de e tagállamok is hangsúlyozták, hogy az e-kereskedelemre vonatkozó héacsomag működésével kapcsolatos rendelkezések azon az elven alapulnak, hogy minden tagállamnak képesnek kell lennie e rendelkezések helyes alkalmazására, ezért készek támogatni egy legfeljebb hat hónapos halasztást.</w:t>
      </w:r>
    </w:p>
    <w:p>
      <w:pPr>
        <w:pStyle w:val="ManualHeading2"/>
        <w:rPr>
          <w:rFonts w:eastAsia="Arial Unicode MS"/>
          <w:noProof/>
          <w:u w:color="000000"/>
          <w:bdr w:val="nil"/>
        </w:rPr>
      </w:pPr>
      <w:r>
        <w:rPr>
          <w:noProof/>
          <w:u w:color="000000"/>
          <w:bdr w:val="nil"/>
        </w:rPr>
        <w:t>•</w:t>
      </w:r>
      <w:r>
        <w:rPr>
          <w:noProof/>
        </w:rPr>
        <w:tab/>
      </w:r>
      <w:r>
        <w:rPr>
          <w:noProof/>
          <w:u w:color="000000"/>
          <w:bdr w:val="nil"/>
        </w:rPr>
        <w:t>Hatásvizsgálat</w:t>
      </w:r>
    </w:p>
    <w:p>
      <w:pPr>
        <w:rPr>
          <w:rFonts w:eastAsia="Arial Unicode MS"/>
          <w:noProof/>
        </w:rPr>
      </w:pPr>
      <w:r>
        <w:rPr>
          <w:noProof/>
        </w:rPr>
        <w:t>Az e-kereskedelemre vonatkozó héairányelv elfogadását megalapozó javaslathoz készült hatásvizsgálat</w:t>
      </w:r>
      <w:r>
        <w:rPr>
          <w:rStyle w:val="FootnoteReference"/>
          <w:noProof/>
        </w:rPr>
        <w:footnoteReference w:id="9"/>
      </w:r>
      <w:r>
        <w:rPr>
          <w:noProof/>
        </w:rPr>
        <w:t xml:space="preserve">. A jelenlegi javaslat csupán az (EU) 2017/2455 és az (EU) 2019/1995 </w:t>
      </w:r>
      <w:r>
        <w:rPr>
          <w:noProof/>
        </w:rPr>
        <w:lastRenderedPageBreak/>
        <w:t>irányelvben meghatározott módosítások alkalmazásának kezdőnapjait módosítja a Covid19-válság kitörése miatt.</w:t>
      </w:r>
    </w:p>
    <w:p>
      <w:pPr>
        <w:pStyle w:val="ManualHeading2"/>
        <w:rPr>
          <w:rFonts w:eastAsia="Arial Unicode MS"/>
          <w:noProof/>
          <w:u w:color="000000"/>
          <w:bdr w:val="nil"/>
        </w:rPr>
      </w:pPr>
      <w:r>
        <w:rPr>
          <w:noProof/>
          <w:u w:color="000000"/>
          <w:bdr w:val="nil"/>
        </w:rPr>
        <w:t>•</w:t>
      </w:r>
      <w:r>
        <w:rPr>
          <w:noProof/>
        </w:rPr>
        <w:tab/>
      </w:r>
      <w:r>
        <w:rPr>
          <w:noProof/>
          <w:u w:color="000000"/>
          <w:bdr w:val="nil"/>
        </w:rPr>
        <w:t>Célravezető szabályozás és egyszerűsítés</w:t>
      </w:r>
    </w:p>
    <w:p>
      <w:pPr>
        <w:spacing w:before="0" w:after="240"/>
        <w:rPr>
          <w:noProof/>
        </w:rPr>
      </w:pPr>
      <w:r>
        <w:rPr>
          <w:noProof/>
        </w:rPr>
        <w:t>E javaslat fő célja az, hogy az e-kereskedelemre vonatkozó héacsomag alkalmazásának kezdőnapját a Covid19-válság kitörése miatt hat hónappal elhalassza.</w:t>
      </w:r>
    </w:p>
    <w:p>
      <w:pPr>
        <w:spacing w:before="0" w:after="240"/>
        <w:rPr>
          <w:noProof/>
        </w:rPr>
      </w:pPr>
      <w:r>
        <w:rPr>
          <w:noProof/>
        </w:rPr>
        <w:t>A javaslat nem változtat a szabályok lényegén, csupán hat hónappal későbbre halasztja alkalmazásuk kezdőnapját.</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noProof/>
        </w:rPr>
      </w:pPr>
      <w:r>
        <w:rPr>
          <w:noProof/>
        </w:rPr>
        <w:t>E javaslat része annak a projektnek, amely az e-kereskedelemre vonatkozó héacsomag alkalmazása tekintetében kitűzött kezdőnap elhalasztására irányul.</w:t>
      </w:r>
    </w:p>
    <w:p>
      <w:pPr>
        <w:pBdr>
          <w:top w:val="nil"/>
          <w:left w:val="nil"/>
          <w:bottom w:val="nil"/>
          <w:right w:val="nil"/>
          <w:between w:val="nil"/>
          <w:bar w:val="nil"/>
        </w:pBdr>
        <w:spacing w:before="0" w:after="240"/>
        <w:rPr>
          <w:noProof/>
        </w:rPr>
      </w:pPr>
      <w:r>
        <w:rPr>
          <w:noProof/>
        </w:rPr>
        <w:t>Az e-kereskedelemre vonatkozó, már elfogadott héacsomag egészének költségvetési vonzatait az (EU) 2017/2455 tanácsi irányelvre irányuló javaslat</w:t>
      </w:r>
      <w:r>
        <w:rPr>
          <w:rStyle w:val="FootnoteReference"/>
          <w:noProof/>
        </w:rPr>
        <w:footnoteReference w:id="10"/>
      </w:r>
      <w:r>
        <w:rPr>
          <w:noProof/>
        </w:rPr>
        <w:t xml:space="preserve"> (COM(2016) 757 final) indokolása ismerteti részletesen.</w:t>
      </w:r>
    </w:p>
    <w:p>
      <w:pPr>
        <w:pBdr>
          <w:top w:val="nil"/>
          <w:left w:val="nil"/>
          <w:bottom w:val="nil"/>
          <w:right w:val="nil"/>
          <w:between w:val="nil"/>
          <w:bar w:val="nil"/>
        </w:pBdr>
        <w:spacing w:before="0" w:after="240"/>
        <w:rPr>
          <w:noProof/>
        </w:rPr>
      </w:pPr>
      <w:r>
        <w:rPr>
          <w:noProof/>
        </w:rPr>
        <w:t>Az e-kereskedelemre vonatkozó héacsomag végrehajtásának sikertelensége esetén a tagállamok költségvetési veszteségei a becslések szerint körülbelül évi 5–7 milliárd EUR-t tesznek majd ki. A 6 hónapos késedelem tehát hozzávetőleg 2,5–3,5 milliárd EUR veszteséget okozna. Ha azonban a tagállamok és a vállalkozások nem állnak készen az e-kereskedelemre vonatkozó új héaszabályok alkalmazására, a rendszer nem megfelelő működésének kockázata csaknem ugyanekkora veszteségeket vonhat maga után.</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rPr>
        <w:tab/>
      </w:r>
      <w:r>
        <w:rPr>
          <w:noProof/>
          <w:u w:color="000000"/>
          <w:bdr w:val="nil"/>
        </w:rPr>
        <w:t>Végrehajtási tervek, valamint a nyomon követés, az értékelés és a jelentéstétel szabályai</w:t>
      </w:r>
    </w:p>
    <w:p>
      <w:pPr>
        <w:pBdr>
          <w:top w:val="nil"/>
          <w:left w:val="nil"/>
          <w:bottom w:val="nil"/>
          <w:right w:val="nil"/>
          <w:between w:val="nil"/>
          <w:bar w:val="nil"/>
        </w:pBdr>
        <w:spacing w:before="0" w:after="240"/>
        <w:rPr>
          <w:rFonts w:eastAsia="Arial Unicode MS"/>
          <w:noProof/>
        </w:rPr>
      </w:pPr>
      <w:r>
        <w:rPr>
          <w:noProof/>
        </w:rPr>
        <w:t>A Közigazgatási Együttműködési Állandó Bizottság (SCAC) az információtechnológiával foglalkozó albizottsága, az Információtechnológiai Állandó Bizottság (SCIT) segítségével felügyeli a rendelkezések végrehajtását.</w:t>
      </w:r>
    </w:p>
    <w:p>
      <w:pPr>
        <w:pStyle w:val="ManualHeading2"/>
        <w:rPr>
          <w:rFonts w:eastAsia="Arial Unicode MS"/>
          <w:noProof/>
          <w:u w:color="000000"/>
          <w:bdr w:val="nil"/>
        </w:rPr>
      </w:pPr>
      <w:r>
        <w:rPr>
          <w:noProof/>
          <w:u w:color="000000"/>
          <w:bdr w:val="nil"/>
        </w:rPr>
        <w:t>•</w:t>
      </w:r>
      <w:r>
        <w:rPr>
          <w:noProof/>
        </w:rPr>
        <w:tab/>
      </w:r>
      <w:r>
        <w:rPr>
          <w:noProof/>
          <w:u w:color="000000"/>
          <w:bdr w:val="nil"/>
        </w:rPr>
        <w:t>A javaslat egyes rendelkezéseinek részletes magyarázata</w:t>
      </w:r>
    </w:p>
    <w:p>
      <w:pPr>
        <w:rPr>
          <w:noProof/>
        </w:rPr>
      </w:pPr>
      <w:r>
        <w:rPr>
          <w:noProof/>
        </w:rPr>
        <w:t>Ez a javaslat csupán az e-kereskedelemre vonatkozó héacsomag már elfogadott, a héairányelvben meghatározott jogi keretének alkalmazási kezdőnapját érinti. Az alkalmazás kezdőnapját hat hónappal későbbre kell halasztani. Ez annyit jelent, hogy a szabályokat 2021. január 1-je helyett 2021. július 1-jétől kell alkalmazni. Következésképpen a tagállamoknak 2020. december 31. helyett 2021. június 30-ig kell elfogadniuk és kihirdetniük az átültető intézkedéseiket.</w:t>
      </w:r>
    </w:p>
    <w:p>
      <w:pPr>
        <w:rPr>
          <w:noProof/>
        </w:rPr>
      </w:pPr>
      <w:r>
        <w:rPr>
          <w:noProof/>
        </w:rPr>
        <w:t xml:space="preserve">E javaslat előterjesztését a Covid19-válság kitörése indokolja, amely azonnali válaszlépésekre kényszeríti a tagállamokat, valamint arra, hogy haladéktalanul nemzeti szintű intézkedéseket fogadjanak el a válság vállalkozásokat és általában a lakosságot érintő következményeinek enyhítése érdekében. E példa nélküli, kivételes körülmények miatt több tagállam nem tudja </w:t>
      </w:r>
      <w:r>
        <w:rPr>
          <w:noProof/>
        </w:rPr>
        <w:lastRenderedPageBreak/>
        <w:t>garantálni, hogy a határidőig, azaz 2021. január 1-jéig sort kerít az e-kereskedelemre vonatkozó héacsomag szabályainak a nemzeti jogba történő átültetésére és nemzeti szintű végrehajtására.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2020/0082 (CNS)</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 xml:space="preserve">az (EU) 2017/2455 és az (EU) 2019/1995 irányelvnek az átültetési határidő és az alkalmazás kezdőnapja tekintetében a Covid19-válság kitörése miatt történő módosításáról </w:t>
      </w:r>
      <w:r>
        <w:rPr>
          <w:noProof/>
        </w:rPr>
        <w:br/>
        <w:t xml:space="preserve"> </w:t>
      </w:r>
      <w:r>
        <w:rPr>
          <w:noProof/>
        </w:rPr>
        <w:br/>
      </w:r>
    </w:p>
    <w:p>
      <w:pPr>
        <w:pStyle w:val="Institutionquiagit"/>
        <w:rPr>
          <w:noProof/>
        </w:rPr>
      </w:pPr>
      <w:r>
        <w:rPr>
          <w:noProof/>
        </w:rPr>
        <w:t>AZ EURÓPAI UNIÓ TANÁCSA,</w:t>
      </w:r>
    </w:p>
    <w:p>
      <w:pPr>
        <w:rPr>
          <w:noProof/>
        </w:rPr>
      </w:pPr>
      <w:r>
        <w:rPr>
          <w:noProof/>
        </w:rPr>
        <w:t>tekintettel az Európai Unió működéséről szóló szerződésre és különösen annak 113. cikkére,</w:t>
      </w:r>
    </w:p>
    <w:p>
      <w:pPr>
        <w:rPr>
          <w:noProof/>
        </w:rPr>
      </w:pPr>
      <w:r>
        <w:rPr>
          <w:noProof/>
        </w:rPr>
        <w:t>tekintettel az Európai Bizottság javaslatára,</w:t>
      </w:r>
    </w:p>
    <w:p>
      <w:pPr>
        <w:rPr>
          <w:noProof/>
        </w:rPr>
      </w:pPr>
      <w:r>
        <w:rPr>
          <w:noProof/>
        </w:rPr>
        <w:t xml:space="preserve">a jogalkotási aktus tervezete nemzeti parlamenteknek való megküldését követően, </w:t>
      </w:r>
    </w:p>
    <w:p>
      <w:pPr>
        <w:rPr>
          <w:noProof/>
        </w:rPr>
      </w:pPr>
      <w:r>
        <w:rPr>
          <w:noProof/>
        </w:rPr>
        <w:t>tekintettel az Európai Parlament véleményére</w:t>
      </w:r>
      <w:r>
        <w:rPr>
          <w:rStyle w:val="FootnoteReference"/>
          <w:noProof/>
        </w:rPr>
        <w:footnoteReference w:id="11"/>
      </w:r>
      <w:r>
        <w:rPr>
          <w:noProof/>
        </w:rPr>
        <w:t xml:space="preserve">, </w:t>
      </w:r>
    </w:p>
    <w:p>
      <w:pPr>
        <w:rPr>
          <w:noProof/>
        </w:rPr>
      </w:pPr>
      <w:r>
        <w:rPr>
          <w:noProof/>
        </w:rPr>
        <w:t>tekintettel az Európai Gazdasági és Szociális Bizottság véleményére</w:t>
      </w:r>
      <w:r>
        <w:rPr>
          <w:rStyle w:val="FootnoteReference"/>
          <w:noProof/>
        </w:rPr>
        <w:footnoteReference w:id="12"/>
      </w:r>
      <w:r>
        <w:rPr>
          <w:noProof/>
        </w:rPr>
        <w:t xml:space="preserve">, </w:t>
      </w:r>
    </w:p>
    <w:p>
      <w:pPr>
        <w:rPr>
          <w:noProof/>
        </w:rPr>
      </w:pPr>
      <w:r>
        <w:rPr>
          <w:noProof/>
        </w:rPr>
        <w:t xml:space="preserve">különleges jogalkotási eljárás keretében, </w:t>
      </w:r>
    </w:p>
    <w:p>
      <w:pPr>
        <w:rPr>
          <w:noProof/>
        </w:rPr>
      </w:pPr>
      <w:r>
        <w:rPr>
          <w:noProof/>
        </w:rPr>
        <w:t>mivel:</w:t>
      </w:r>
    </w:p>
    <w:p>
      <w:pPr>
        <w:pStyle w:val="ManualConsidrant"/>
        <w:rPr>
          <w:noProof/>
        </w:rPr>
      </w:pPr>
      <w:r>
        <w:t>(1)</w:t>
      </w:r>
      <w:r>
        <w:tab/>
      </w:r>
      <w:r>
        <w:rPr>
          <w:noProof/>
        </w:rPr>
        <w:t>Az (EU) 2017/2455 tanácsi irányelvvel</w:t>
      </w:r>
      <w:r>
        <w:rPr>
          <w:rStyle w:val="FootnoteReference"/>
          <w:noProof/>
        </w:rPr>
        <w:footnoteReference w:id="13"/>
      </w:r>
      <w:r>
        <w:rPr>
          <w:noProof/>
        </w:rPr>
        <w:t xml:space="preserve"> és az (EU) 2019/1995 tanácsi irányelvvel</w:t>
      </w:r>
      <w:r>
        <w:rPr>
          <w:rStyle w:val="FootnoteReference"/>
          <w:rFonts w:eastAsia="Times New Roman"/>
          <w:noProof/>
          <w:szCs w:val="24"/>
        </w:rPr>
        <w:footnoteReference w:id="14"/>
      </w:r>
      <w:r>
        <w:rPr>
          <w:noProof/>
        </w:rPr>
        <w:t xml:space="preserve"> módosított 2006/112/EK tanácsi irányelv</w:t>
      </w:r>
      <w:r>
        <w:rPr>
          <w:rStyle w:val="FootnoteReference"/>
          <w:noProof/>
        </w:rPr>
        <w:footnoteReference w:id="15"/>
      </w:r>
      <w:r>
        <w:rPr>
          <w:noProof/>
        </w:rPr>
        <w:t xml:space="preserve"> megállapítja a határokon átnyúló elektronikus kiskereskedelemre vonatkozó hozzáadottérték-adó (héa) korszerűsítésére vonatkozó jogszabálycsomag jogi keretét. Az új rendelkezések többségét 2021. január 1-jétől kell alkalmazni.</w:t>
      </w:r>
    </w:p>
    <w:p>
      <w:pPr>
        <w:pStyle w:val="ManualConsidrant"/>
        <w:rPr>
          <w:noProof/>
        </w:rPr>
      </w:pPr>
      <w:r>
        <w:t>(2)</w:t>
      </w:r>
      <w:r>
        <w:tab/>
      </w:r>
      <w:r>
        <w:rPr>
          <w:noProof/>
        </w:rPr>
        <w:t>Az Egészségügyi Világszervezet (WHO) 2020. január 30-án nemzetközi horderejű népegészségügyi szükséghelyzetnek nyilvánította a Covid19-járványt. 2020. március 11-én pandémiának minősítette. A Covid19 mára valamennyi tagállamban súlyos fertőzéseket okozott. A fertőzéses esetek számának riasztó ütemű növekedése és a Covid19-járvány megfékezésére alkalmas, azonnal rendelkezésre álló hatékony eszköz hiánya miatt több tagállam nemzeti szükségállapotot hirdetett ki.</w:t>
      </w:r>
    </w:p>
    <w:p>
      <w:pPr>
        <w:pStyle w:val="ManualConsidrant"/>
        <w:rPr>
          <w:noProof/>
        </w:rPr>
      </w:pPr>
      <w:r>
        <w:t>(3)</w:t>
      </w:r>
      <w:r>
        <w:tab/>
      </w:r>
      <w:r>
        <w:rPr>
          <w:noProof/>
        </w:rPr>
        <w:t xml:space="preserve">A Covid19-válság kitörése példa nélküli szükséghelyzet kialakulásához vezetett, amely minden tagállamot súlyosan érint, és arra készteti őket, hogy forrásaik átcsoportosításával haladéktalanul nemzeti szintű intézkedéseket hozzanak a fő </w:t>
      </w:r>
      <w:r>
        <w:rPr>
          <w:noProof/>
        </w:rPr>
        <w:lastRenderedPageBreak/>
        <w:t>prioritás, a jelenlegi válság leküzdésére. A válság miatt több tagállam nehézségekkel szembesül az (EU) 2017/2455 és az (EU) 2019/1995 irányelvben meghatározott szabályok alkalmazásához szükséges informatikai rendszerek fejlesztésének 2020. december 31-ig történő befejezése és 2021. január 1-jétől történő alkalmazása tekintetében. Egyes tagállamok, valamint a postai szolgáltatók és a futárszolgálatok ezért az (EU) 2017/2455 és az (EU) 2019/1995 irányelv alkalmazásának elhalasztását kérték.</w:t>
      </w:r>
    </w:p>
    <w:p>
      <w:pPr>
        <w:pStyle w:val="ManualConsidrant"/>
        <w:rPr>
          <w:rFonts w:eastAsia="Times New Roman"/>
          <w:noProof/>
          <w:szCs w:val="24"/>
        </w:rPr>
      </w:pPr>
      <w:r>
        <w:t>(4)</w:t>
      </w:r>
      <w:r>
        <w:tab/>
      </w:r>
      <w:r>
        <w:rPr>
          <w:noProof/>
        </w:rPr>
        <w:t>Figyelembe véve azokat a kihívásokat, amelyekkel a tagállamoknak a Covid19-válság kezelése során szembe kell nézniük, valamint azt, hogy az új rendelkezések azon az elven alapulnak, hogy valamennyi tagállamnak naprakésszé kell tennie informatikai rendszerét annak érdekében, hogy alkalmazni tudja az (EU) 2017/2455 és az (EU) 2019/1995 irányelvben foglalt rendelkezéseket, és ezáltal biztosítsa az információk összegyűjtésének és továbbításának, valamint a kifizetések teljesítésének a módosított szabályozások szerinti végrehajtását, ezen irányelvek átültetésének határidejét és alkalmazásának kezdőnapját indokolt hat hónappal későbbre halasztani. Helyénvaló hat hónapos halasztást előírni, mivel a tagállamok további költségvetési veszteségeinek minimalizálása érdekében a késedelmet a lehető legrövidebb időre kell korlátozni.</w:t>
      </w:r>
    </w:p>
    <w:p>
      <w:pPr>
        <w:pStyle w:val="ManualConsidrant"/>
        <w:rPr>
          <w:noProof/>
        </w:rPr>
      </w:pPr>
      <w:r>
        <w:t>(5)</w:t>
      </w:r>
      <w:r>
        <w:tab/>
      </w:r>
      <w:r>
        <w:rPr>
          <w:noProof/>
        </w:rPr>
        <w:t>Az (EU) 2017/2455 és az (EU) 2019/1995 irányelvet ezért ennek megfelelően módosítani kell,</w:t>
      </w:r>
    </w:p>
    <w:p>
      <w:pPr>
        <w:pStyle w:val="Formuledadoption"/>
        <w:rPr>
          <w:noProof/>
        </w:rPr>
      </w:pPr>
      <w:r>
        <w:rPr>
          <w:noProof/>
        </w:rPr>
        <w:t xml:space="preserve">ELFOGADTA EZT A HATÁROZATOT: </w:t>
      </w:r>
    </w:p>
    <w:p>
      <w:pPr>
        <w:pStyle w:val="Titrearticle"/>
        <w:rPr>
          <w:noProof/>
        </w:rPr>
      </w:pPr>
      <w:r>
        <w:rPr>
          <w:noProof/>
        </w:rPr>
        <w:t>1. cikk</w:t>
      </w:r>
      <w:r>
        <w:rPr>
          <w:noProof/>
        </w:rPr>
        <w:br/>
        <w:t>Az (EU) 2017/2455 irányelv módosításai</w:t>
      </w:r>
    </w:p>
    <w:p>
      <w:pPr>
        <w:rPr>
          <w:noProof/>
        </w:rPr>
      </w:pPr>
    </w:p>
    <w:p>
      <w:pPr>
        <w:rPr>
          <w:noProof/>
        </w:rPr>
      </w:pPr>
      <w:r>
        <w:rPr>
          <w:noProof/>
        </w:rPr>
        <w:t>Az (EU) 2017/2455 irányelv a következőképpen módosul:</w:t>
      </w:r>
    </w:p>
    <w:p>
      <w:pPr>
        <w:pStyle w:val="ManualNumPar1"/>
        <w:rPr>
          <w:noProof/>
        </w:rPr>
      </w:pPr>
      <w:r>
        <w:t>1.</w:t>
      </w:r>
      <w:r>
        <w:tab/>
      </w:r>
      <w:r>
        <w:rPr>
          <w:noProof/>
        </w:rPr>
        <w:t>A 2. cikk a következőképpen módosul:</w:t>
      </w:r>
    </w:p>
    <w:p>
      <w:pPr>
        <w:pStyle w:val="Point0"/>
        <w:rPr>
          <w:noProof/>
        </w:rPr>
      </w:pPr>
      <w:r>
        <w:rPr>
          <w:noProof/>
        </w:rPr>
        <w:t>a)</w:t>
      </w:r>
      <w:r>
        <w:rPr>
          <w:noProof/>
        </w:rPr>
        <w:tab/>
        <w:t>a cím helyébe a következő szöveg lép:</w:t>
      </w:r>
    </w:p>
    <w:p>
      <w:pPr>
        <w:pStyle w:val="Titrearticle"/>
        <w:rPr>
          <w:noProof/>
          <w:shd w:val="clear" w:color="auto" w:fill="FFFFFF"/>
        </w:rPr>
      </w:pPr>
      <w:r>
        <w:rPr>
          <w:noProof/>
        </w:rPr>
        <w:t xml:space="preserve"> </w:t>
      </w:r>
      <w:r>
        <w:rPr>
          <w:noProof/>
          <w:shd w:val="clear" w:color="auto" w:fill="FFFFFF"/>
        </w:rPr>
        <w:t>„A 2006/112/EK irányelv 2021. július 1-jén hatályba lépő módosításai”</w:t>
      </w:r>
      <w:r>
        <w:rPr>
          <w:noProof/>
        </w:rPr>
        <w:t>;</w:t>
      </w:r>
    </w:p>
    <w:p>
      <w:pPr>
        <w:pStyle w:val="Point0"/>
        <w:rPr>
          <w:noProof/>
        </w:rPr>
      </w:pPr>
      <w:r>
        <w:rPr>
          <w:noProof/>
        </w:rPr>
        <w:t>b)</w:t>
      </w:r>
      <w:r>
        <w:rPr>
          <w:noProof/>
        </w:rPr>
        <w:tab/>
      </w:r>
      <w:r>
        <w:rPr>
          <w:noProof/>
          <w:shd w:val="clear" w:color="auto" w:fill="FFFFFF"/>
        </w:rPr>
        <w:t>a bevezető mondat helyébe a következő szöveg lép:</w:t>
      </w:r>
    </w:p>
    <w:p>
      <w:pPr>
        <w:rPr>
          <w:noProof/>
        </w:rPr>
      </w:pPr>
    </w:p>
    <w:p>
      <w:pPr>
        <w:rPr>
          <w:noProof/>
          <w:color w:val="444444"/>
          <w:shd w:val="clear" w:color="auto" w:fill="FFFFFF"/>
        </w:rPr>
      </w:pPr>
      <w:r>
        <w:rPr>
          <w:noProof/>
          <w:color w:val="444444"/>
          <w:shd w:val="clear" w:color="auto" w:fill="FFFFFF"/>
        </w:rPr>
        <w:t>„A 2006/112/EK irányelv 2021. július 1-jei hatállyal a következőképpen módosul:”.</w:t>
      </w:r>
    </w:p>
    <w:p>
      <w:pPr>
        <w:rPr>
          <w:noProof/>
          <w:color w:val="444444"/>
          <w:shd w:val="clear" w:color="auto" w:fill="FFFFFF"/>
        </w:rPr>
      </w:pPr>
    </w:p>
    <w:p>
      <w:pPr>
        <w:pStyle w:val="ManualNumPar1"/>
        <w:rPr>
          <w:noProof/>
        </w:rPr>
      </w:pPr>
      <w:r>
        <w:t>2.</w:t>
      </w:r>
      <w:r>
        <w:tab/>
      </w:r>
      <w:r>
        <w:rPr>
          <w:noProof/>
        </w:rPr>
        <w:t>A 3. cikk helyébe a következő szöveg lép:</w:t>
      </w:r>
    </w:p>
    <w:p>
      <w:pPr>
        <w:pStyle w:val="Titrearticle"/>
        <w:rPr>
          <w:noProof/>
        </w:rPr>
      </w:pPr>
      <w:r>
        <w:rPr>
          <w:noProof/>
        </w:rPr>
        <w:t xml:space="preserve">„3. cikk </w:t>
      </w:r>
      <w:r>
        <w:rPr>
          <w:noProof/>
        </w:rPr>
        <w:br/>
        <w:t>A 2009/132/EK irányelv módosítása</w:t>
      </w:r>
    </w:p>
    <w:p>
      <w:pPr>
        <w:rPr>
          <w:noProof/>
        </w:rPr>
      </w:pPr>
      <w:r>
        <w:rPr>
          <w:noProof/>
        </w:rPr>
        <w:t>A 2009/132/EK irányelv IV. címét 2021. július 1-jei hatállyal el kell hagyni.”</w:t>
      </w:r>
    </w:p>
    <w:p>
      <w:pPr>
        <w:rPr>
          <w:noProof/>
        </w:rPr>
      </w:pPr>
    </w:p>
    <w:p>
      <w:pPr>
        <w:pStyle w:val="ManualNumPar1"/>
        <w:rPr>
          <w:noProof/>
        </w:rPr>
      </w:pPr>
      <w:r>
        <w:t>3.</w:t>
      </w:r>
      <w:r>
        <w:tab/>
      </w:r>
      <w:r>
        <w:rPr>
          <w:noProof/>
        </w:rPr>
        <w:t>A 4. cikk (1) bekezdése a következőképpen módosul:</w:t>
      </w:r>
    </w:p>
    <w:p>
      <w:pPr>
        <w:pStyle w:val="Point0"/>
        <w:rPr>
          <w:noProof/>
        </w:rPr>
      </w:pPr>
      <w:r>
        <w:rPr>
          <w:noProof/>
        </w:rPr>
        <w:t>a)</w:t>
      </w:r>
      <w:r>
        <w:rPr>
          <w:noProof/>
        </w:rPr>
        <w:tab/>
        <w:t>a második albekezdés helyébe a következő szöveg lép:</w:t>
      </w:r>
    </w:p>
    <w:p>
      <w:pPr>
        <w:ind w:left="851"/>
        <w:rPr>
          <w:noProof/>
        </w:rPr>
      </w:pPr>
      <w:r>
        <w:rPr>
          <w:noProof/>
        </w:rPr>
        <w:lastRenderedPageBreak/>
        <w:t>„A tagállamok legkésőbb 2021. június 30-ig elfogadják és kihirdetik azokat a törvényi, rendeleti és közigazgatási rendelkezéseket, amelyek szükségesek ahhoz, hogy ezen irányelv 2. és 3. cikkének megfeleljenek. E rendelkezések szövegét haladéktalanul megküldik a Bizottság számára.”;</w:t>
      </w:r>
    </w:p>
    <w:p>
      <w:pPr>
        <w:pStyle w:val="Point0"/>
        <w:rPr>
          <w:noProof/>
        </w:rPr>
      </w:pPr>
      <w:r>
        <w:rPr>
          <w:noProof/>
        </w:rPr>
        <w:t>b)</w:t>
      </w:r>
      <w:r>
        <w:rPr>
          <w:noProof/>
        </w:rPr>
        <w:tab/>
        <w:t>a negyedik albekezdés helyébe a következő szöveg lép:</w:t>
      </w:r>
    </w:p>
    <w:p>
      <w:pPr>
        <w:ind w:left="851"/>
        <w:rPr>
          <w:rFonts w:eastAsia="Times New Roman"/>
          <w:noProof/>
          <w:szCs w:val="24"/>
        </w:rPr>
      </w:pPr>
      <w:r>
        <w:rPr>
          <w:noProof/>
        </w:rPr>
        <w:t>„A tagállamok 2021. július 1-jétől alkalmazzák azokat az intézkedéseket, amelyek szükségesek ahhoz, hogy ezen irányelv 2. és 3. cikkének megfeleljenek.”</w:t>
      </w:r>
    </w:p>
    <w:p>
      <w:pPr>
        <w:rPr>
          <w:noProof/>
        </w:rPr>
      </w:pPr>
    </w:p>
    <w:p>
      <w:pPr>
        <w:pStyle w:val="Titrearticle"/>
        <w:rPr>
          <w:noProof/>
        </w:rPr>
      </w:pPr>
      <w:r>
        <w:rPr>
          <w:noProof/>
        </w:rPr>
        <w:t>2. cikk</w:t>
      </w:r>
      <w:r>
        <w:rPr>
          <w:noProof/>
        </w:rPr>
        <w:br/>
        <w:t>Az (EU) 2019/1995 irányelv módosításai</w:t>
      </w:r>
    </w:p>
    <w:p>
      <w:pPr>
        <w:rPr>
          <w:noProof/>
        </w:rPr>
      </w:pPr>
      <w:r>
        <w:rPr>
          <w:noProof/>
        </w:rPr>
        <w:t>Az (EU) 2019/1995 irányelv 2. cikke (1) bekezdésének első és második albekezdése helyébe a következő szöveg lép:</w:t>
      </w:r>
    </w:p>
    <w:p>
      <w:pPr>
        <w:ind w:left="851"/>
        <w:rPr>
          <w:noProof/>
        </w:rPr>
      </w:pPr>
      <w:r>
        <w:rPr>
          <w:noProof/>
        </w:rPr>
        <w:t>„A tagállamok legkésőbb 2021. június 30-ig elfogadják és kihirdetik azokat a törvényi, rendeleti és közigazgatási rendelkezéseket, amelyek szükségesek ahhoz, hogy ennek az irányelvnek megfeleljenek. E rendelkezések szövegét haladéktalanul megküldik a Bizottság számára.</w:t>
      </w:r>
    </w:p>
    <w:p>
      <w:pPr>
        <w:ind w:left="851"/>
        <w:rPr>
          <w:noProof/>
        </w:rPr>
      </w:pPr>
      <w:r>
        <w:rPr>
          <w:noProof/>
        </w:rPr>
        <w:t>Ezeket a rendelkezéseket a tagállamok 2021. július 1-jétől alkalmazzák.”</w:t>
      </w:r>
    </w:p>
    <w:p>
      <w:pPr>
        <w:rPr>
          <w:noProof/>
        </w:rPr>
      </w:pPr>
    </w:p>
    <w:p>
      <w:pPr>
        <w:pStyle w:val="Titrearticle"/>
        <w:keepNext w:val="0"/>
        <w:rPr>
          <w:noProof/>
        </w:rPr>
      </w:pPr>
      <w:r>
        <w:rPr>
          <w:noProof/>
        </w:rPr>
        <w:t>3. cikk</w:t>
      </w:r>
      <w:r>
        <w:rPr>
          <w:noProof/>
        </w:rPr>
        <w:br/>
        <w:t>Hatálybalépés</w:t>
      </w:r>
    </w:p>
    <w:p>
      <w:pPr>
        <w:keepLines/>
        <w:rPr>
          <w:noProof/>
        </w:rPr>
      </w:pPr>
      <w:r>
        <w:rPr>
          <w:noProof/>
        </w:rPr>
        <w:t xml:space="preserve">Ez a határozat az </w:t>
      </w:r>
      <w:r>
        <w:rPr>
          <w:i/>
          <w:noProof/>
        </w:rPr>
        <w:t>Európai Unió Hivatalos Lapjában</w:t>
      </w:r>
      <w:r>
        <w:rPr>
          <w:noProof/>
        </w:rPr>
        <w:t xml:space="preserve"> való kihirdetését követő huszadik napon lép hatályba.</w:t>
      </w:r>
    </w:p>
    <w:p>
      <w:pPr>
        <w:pStyle w:val="Titrearticle"/>
        <w:rPr>
          <w:noProof/>
        </w:rPr>
      </w:pPr>
      <w:r>
        <w:rPr>
          <w:noProof/>
        </w:rPr>
        <w:t>4. cikk</w:t>
      </w:r>
      <w:r>
        <w:rPr>
          <w:noProof/>
        </w:rPr>
        <w:br/>
        <w:t>Címzettek</w:t>
      </w:r>
    </w:p>
    <w:p>
      <w:pPr>
        <w:rPr>
          <w:noProof/>
        </w:rPr>
      </w:pPr>
      <w:r>
        <w:rPr>
          <w:noProof/>
        </w:rPr>
        <w:t>Ennek a határozatnak a tagállamok a címzettjei.</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Tanács 2006/112/EK irányelve (2006. november 28.) a közös hozzáadottértékadó-rendszerről (HL L 347., 2006.12.11., 1. o.).</w:t>
      </w:r>
    </w:p>
  </w:footnote>
  <w:footnote w:id="2">
    <w:p>
      <w:pPr>
        <w:pStyle w:val="FootnoteText"/>
      </w:pPr>
      <w:r>
        <w:rPr>
          <w:rStyle w:val="FootnoteReference"/>
        </w:rPr>
        <w:footnoteRef/>
      </w:r>
      <w:r>
        <w:tab/>
        <w:t xml:space="preserve">A Tanács 2009/132/EK irányelve (2009. október 19.) a 2006/112/EK irányelv 143. cikke b) és c) pontja hatályának meghatározásáról bizonyos termékek végleges behozatalára kivetett hozzáadottérték-adó alóli mentességek tekintetében (HL L 292., 2009.11.10., 5. o.). </w:t>
      </w:r>
    </w:p>
  </w:footnote>
  <w:footnote w:id="3">
    <w:p>
      <w:pPr>
        <w:pStyle w:val="FootnoteText"/>
      </w:pPr>
      <w:r>
        <w:rPr>
          <w:rStyle w:val="FootnoteReference"/>
        </w:rPr>
        <w:footnoteRef/>
      </w:r>
      <w:r>
        <w:tab/>
        <w:t>A Tanács (EU) 2017/2455 irányelve (2017. december 5.) a 2006/112/EK irányelvnek és a 2009/132/EK irányelvnek a szolgáltatásnyújtásra és a termékek távértékesítésére vonatkozó bizonyos hozzáadottértékadó-kötelezettségek tekintetében történő módosításáról (HL L 348., 2017.12.29., 7. o.).</w:t>
      </w:r>
    </w:p>
  </w:footnote>
  <w:footnote w:id="4">
    <w:p>
      <w:pPr>
        <w:pStyle w:val="FootnoteText"/>
      </w:pPr>
      <w:r>
        <w:rPr>
          <w:rStyle w:val="FootnoteReference"/>
        </w:rPr>
        <w:footnoteRef/>
      </w:r>
      <w:r>
        <w:tab/>
        <w:t>A Tanács (EU) 2019/1995 irányelve (2019. november 21.) a 2006/112/EK irányelvnek a termékek távértékesítésére és bizonyos belföldi termékértékesítésekre vonatkozó rendelkezések tekintetében történő módosításáról (HL L 310., 2019.12.2., 1. o.).</w:t>
      </w:r>
    </w:p>
  </w:footnote>
  <w:footnote w:id="5">
    <w:p>
      <w:pPr>
        <w:pStyle w:val="FootnoteText"/>
      </w:pPr>
      <w:r>
        <w:rPr>
          <w:rStyle w:val="FootnoteReference"/>
        </w:rPr>
        <w:footnoteRef/>
      </w:r>
      <w:r>
        <w:tab/>
      </w:r>
      <w:hyperlink r:id="rId1" w:history="1">
        <w:r>
          <w:rPr>
            <w:rStyle w:val="Hyperlink"/>
          </w:rPr>
          <w:t>http://www.consilium.europa.eu/hu/press/press-releases/2016/05/25-conclusions-vat-action-plan/</w:t>
        </w:r>
      </w:hyperlink>
      <w:r>
        <w:t xml:space="preserve"> </w:t>
      </w:r>
    </w:p>
  </w:footnote>
  <w:footnote w:id="6">
    <w:p>
      <w:pPr>
        <w:pStyle w:val="FootnoteText"/>
      </w:pPr>
      <w:r>
        <w:rPr>
          <w:rStyle w:val="FootnoteReference"/>
        </w:rPr>
        <w:footnoteRef/>
      </w:r>
      <w:r>
        <w:tab/>
        <w:t>COM(2015) 192 final.</w:t>
      </w:r>
    </w:p>
  </w:footnote>
  <w:footnote w:id="7">
    <w:p>
      <w:pPr>
        <w:pStyle w:val="FootnoteText"/>
      </w:pPr>
      <w:r>
        <w:rPr>
          <w:rStyle w:val="FootnoteReference"/>
        </w:rPr>
        <w:footnoteRef/>
      </w:r>
      <w:r>
        <w:tab/>
        <w:t>COM(2015) 550 final.</w:t>
      </w:r>
    </w:p>
  </w:footnote>
  <w:footnote w:id="8">
    <w:p>
      <w:pPr>
        <w:pStyle w:val="FootnoteText"/>
      </w:pPr>
      <w:r>
        <w:rPr>
          <w:rStyle w:val="FootnoteReference"/>
        </w:rPr>
        <w:footnoteRef/>
      </w:r>
      <w:r>
        <w:tab/>
        <w:t>COM(2016) 179 final.</w:t>
      </w:r>
    </w:p>
  </w:footnote>
  <w:footnote w:id="9">
    <w:p>
      <w:pPr>
        <w:pStyle w:val="FootnoteText"/>
      </w:pPr>
      <w:r>
        <w:rPr>
          <w:rStyle w:val="FootnoteReference"/>
        </w:rPr>
        <w:footnoteRef/>
      </w:r>
      <w:r>
        <w:tab/>
        <w:t>BIZOTTSÁGI SZOLGÁLATI MUNKADOKUMENTUM – HATÁSVIZSGÁLAT, amely a határokon átnyúló elektronikus kiskereskedelmet érintő héaszabályozás korszerűsítésére vonatkozó tanácsi irányelvre, tanácsi végrehajtási rendeletre és tanácsi rendeletre irányuló javaslatokat kíséri; https://eur-lex.europa.eu/legal-content/EN/TXT/?uri=SWD:2016:0379:FIN</w:t>
      </w:r>
    </w:p>
  </w:footnote>
  <w:footnote w:id="10">
    <w:p>
      <w:pPr>
        <w:pStyle w:val="FootnoteText"/>
      </w:pPr>
      <w:r>
        <w:rPr>
          <w:rStyle w:val="FootnoteReference"/>
        </w:rPr>
        <w:footnoteRef/>
      </w:r>
      <w:r>
        <w:tab/>
        <w:t>Javaslat – A TANÁCS IRÁNYELVE a 2006/112/EK irányelvnek és a 2009/132/EK irányelvnek a szolgáltatásnyújtásra és a termékek távértékesítésére vonatkozó bizonyos hozzáadottértékadó-kötelezettségek tekintetében történő módosításáról,</w:t>
      </w:r>
    </w:p>
    <w:p>
      <w:pPr>
        <w:pStyle w:val="FootnoteText"/>
        <w:ind w:firstLine="0"/>
      </w:pPr>
      <w:r>
        <w:t>COM(2016) 757 final – 2016/0370 (CNS), https://eur-lex.europa.eu/legal-content/hu/TXT/?qid=1586260266830&amp;uri=CELEX:52016PC0757</w:t>
      </w:r>
    </w:p>
  </w:footnote>
  <w:footnote w:id="11">
    <w:p>
      <w:pPr>
        <w:pStyle w:val="FootnoteText"/>
      </w:pPr>
      <w:r>
        <w:rPr>
          <w:rStyle w:val="FootnoteReference"/>
        </w:rPr>
        <w:footnoteRef/>
      </w:r>
      <w:r>
        <w:tab/>
        <w:t>HL C , , . o.</w:t>
      </w:r>
    </w:p>
  </w:footnote>
  <w:footnote w:id="12">
    <w:p>
      <w:pPr>
        <w:pStyle w:val="FootnoteText"/>
      </w:pPr>
      <w:r>
        <w:rPr>
          <w:rStyle w:val="FootnoteReference"/>
        </w:rPr>
        <w:footnoteRef/>
      </w:r>
      <w:r>
        <w:tab/>
        <w:t>HL C , , . o.</w:t>
      </w:r>
    </w:p>
  </w:footnote>
  <w:footnote w:id="13">
    <w:p>
      <w:pPr>
        <w:pStyle w:val="FootnoteText"/>
      </w:pPr>
      <w:r>
        <w:rPr>
          <w:rStyle w:val="FootnoteReference"/>
        </w:rPr>
        <w:footnoteRef/>
      </w:r>
      <w:r>
        <w:tab/>
        <w:t>A Tanács (EU) 2017/2455 irányelve (2017. december 5.) a 2006/112/EK irányelvnek és a 2009/132/EK irányelvnek a szolgáltatásnyújtásra és a termékek távértékesítésére vonatkozó bizonyos hozzáadottértékadó-kötelezettségek tekintetében történő módosításáról (HL L 348., 2017.12.29., 7. o.).</w:t>
      </w:r>
    </w:p>
  </w:footnote>
  <w:footnote w:id="14">
    <w:p>
      <w:pPr>
        <w:pStyle w:val="FootnoteText"/>
      </w:pPr>
      <w:r>
        <w:rPr>
          <w:rStyle w:val="FootnoteReference"/>
        </w:rPr>
        <w:footnoteRef/>
      </w:r>
      <w:r>
        <w:tab/>
        <w:t>A Tanács (EU) 2019/1995 irányelve (2019. november 21.) a 2006/112/EK irányelvnek a termékek távértékesítésére és bizonyos belföldi termékértékesítésekre vonatkozó rendelkezések tekintetében történő módosításáról (HL L 310., 2019.12.2., 1. o.).</w:t>
      </w:r>
    </w:p>
    <w:p>
      <w:pPr>
        <w:pStyle w:val="FootnoteText"/>
        <w:rPr>
          <w:lang w:val="en-IE"/>
        </w:rPr>
      </w:pPr>
    </w:p>
  </w:footnote>
  <w:footnote w:id="15">
    <w:p>
      <w:pPr>
        <w:pStyle w:val="FootnoteText"/>
      </w:pPr>
      <w:r>
        <w:rPr>
          <w:rStyle w:val="FootnoteReference"/>
        </w:rPr>
        <w:footnoteRef/>
      </w:r>
      <w:r>
        <w:tab/>
        <w:t>A Tanács 2006/112/EK irányelve (2006. november 28.) a közös hozzáadottértékadó-rendszerről (HL L 347., 2006.12.11.,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6DEA6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2EFF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AAAD5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5866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1A048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7454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9253D6"/>
    <w:lvl w:ilvl="0">
      <w:start w:val="1"/>
      <w:numFmt w:val="decimal"/>
      <w:pStyle w:val="ListNumber"/>
      <w:lvlText w:val="%1."/>
      <w:lvlJc w:val="left"/>
      <w:pPr>
        <w:tabs>
          <w:tab w:val="num" w:pos="360"/>
        </w:tabs>
        <w:ind w:left="360" w:hanging="360"/>
      </w:pPr>
    </w:lvl>
  </w:abstractNum>
  <w:abstractNum w:abstractNumId="7">
    <w:nsid w:val="FFFFFF89"/>
    <w:multiLevelType w:val="singleLevel"/>
    <w:tmpl w:val="5406C2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8 15:12:3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7A5CB46-A124-4949-9D47-E874B5E4CB79"/>
    <w:docVar w:name="LW_COVERPAGE_TYPE" w:val="1"/>
    <w:docVar w:name="LW_CROSSREFERENCE" w:val="&lt;UNUSED&gt;"/>
    <w:docVar w:name="LW_DocType" w:val="COM"/>
    <w:docVar w:name="LW_EMISSION" w:val="2020.5.8."/>
    <w:docVar w:name="LW_EMISSION_ISODATE" w:val="2020-05-08"/>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NS"/>
    <w:docVar w:name="LW_REF.II.NEW.CP_NUMBER" w:val="0082"/>
    <w:docVar w:name="LW_REF.II.NEW.CP_YEAR" w:val="2020"/>
    <w:docVar w:name="LW_REF.INST.NEW" w:val="COM"/>
    <w:docVar w:name="LW_REF.INST.NEW_ADOPTED" w:val="final"/>
    <w:docVar w:name="LW_REF.INST.NEW_TEXT" w:val="(2020) 1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EU) 2017/2455 és az (EU) 2019/1995 irányelvnek az átültetési határid\u337? és az alkalmazás kezd\u337?napja tekintetében a Covid19-válság kitörése miatt történ\u337? módosításáról _x000b_ _x000b_"/>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customStyle="1" w:styleId="ti-art">
    <w:name w:val="ti-art"/>
    <w:basedOn w:val="Normal"/>
    <w:pPr>
      <w:spacing w:before="100" w:beforeAutospacing="1" w:after="100" w:afterAutospacing="1"/>
      <w:jc w:val="left"/>
    </w:pPr>
    <w:rPr>
      <w:rFonts w:eastAsia="Times New Roman"/>
      <w:szCs w:val="24"/>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customStyle="1" w:styleId="ti-art">
    <w:name w:val="ti-art"/>
    <w:basedOn w:val="Normal"/>
    <w:pPr>
      <w:spacing w:before="100" w:beforeAutospacing="1" w:after="100" w:afterAutospacing="1"/>
      <w:jc w:val="left"/>
    </w:pPr>
    <w:rPr>
      <w:rFonts w:eastAsia="Times New Roman"/>
      <w:szCs w:val="24"/>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3766">
      <w:bodyDiv w:val="1"/>
      <w:marLeft w:val="0"/>
      <w:marRight w:val="0"/>
      <w:marTop w:val="0"/>
      <w:marBottom w:val="0"/>
      <w:divBdr>
        <w:top w:val="none" w:sz="0" w:space="0" w:color="auto"/>
        <w:left w:val="none" w:sz="0" w:space="0" w:color="auto"/>
        <w:bottom w:val="none" w:sz="0" w:space="0" w:color="auto"/>
        <w:right w:val="none" w:sz="0" w:space="0" w:color="auto"/>
      </w:divBdr>
    </w:div>
    <w:div w:id="175466581">
      <w:bodyDiv w:val="1"/>
      <w:marLeft w:val="0"/>
      <w:marRight w:val="0"/>
      <w:marTop w:val="0"/>
      <w:marBottom w:val="0"/>
      <w:divBdr>
        <w:top w:val="none" w:sz="0" w:space="0" w:color="auto"/>
        <w:left w:val="none" w:sz="0" w:space="0" w:color="auto"/>
        <w:bottom w:val="none" w:sz="0" w:space="0" w:color="auto"/>
        <w:right w:val="none" w:sz="0" w:space="0" w:color="auto"/>
      </w:divBdr>
    </w:div>
    <w:div w:id="386998928">
      <w:bodyDiv w:val="1"/>
      <w:marLeft w:val="0"/>
      <w:marRight w:val="0"/>
      <w:marTop w:val="0"/>
      <w:marBottom w:val="0"/>
      <w:divBdr>
        <w:top w:val="none" w:sz="0" w:space="0" w:color="auto"/>
        <w:left w:val="none" w:sz="0" w:space="0" w:color="auto"/>
        <w:bottom w:val="none" w:sz="0" w:space="0" w:color="auto"/>
        <w:right w:val="none" w:sz="0" w:space="0" w:color="auto"/>
      </w:divBdr>
    </w:div>
    <w:div w:id="518473436">
      <w:bodyDiv w:val="1"/>
      <w:marLeft w:val="0"/>
      <w:marRight w:val="0"/>
      <w:marTop w:val="0"/>
      <w:marBottom w:val="0"/>
      <w:divBdr>
        <w:top w:val="none" w:sz="0" w:space="0" w:color="auto"/>
        <w:left w:val="none" w:sz="0" w:space="0" w:color="auto"/>
        <w:bottom w:val="none" w:sz="0" w:space="0" w:color="auto"/>
        <w:right w:val="none" w:sz="0" w:space="0" w:color="auto"/>
      </w:divBdr>
    </w:div>
    <w:div w:id="571433684">
      <w:bodyDiv w:val="1"/>
      <w:marLeft w:val="0"/>
      <w:marRight w:val="0"/>
      <w:marTop w:val="0"/>
      <w:marBottom w:val="0"/>
      <w:divBdr>
        <w:top w:val="none" w:sz="0" w:space="0" w:color="auto"/>
        <w:left w:val="none" w:sz="0" w:space="0" w:color="auto"/>
        <w:bottom w:val="none" w:sz="0" w:space="0" w:color="auto"/>
        <w:right w:val="none" w:sz="0" w:space="0" w:color="auto"/>
      </w:divBdr>
    </w:div>
    <w:div w:id="584219759">
      <w:bodyDiv w:val="1"/>
      <w:marLeft w:val="0"/>
      <w:marRight w:val="0"/>
      <w:marTop w:val="0"/>
      <w:marBottom w:val="0"/>
      <w:divBdr>
        <w:top w:val="none" w:sz="0" w:space="0" w:color="auto"/>
        <w:left w:val="none" w:sz="0" w:space="0" w:color="auto"/>
        <w:bottom w:val="none" w:sz="0" w:space="0" w:color="auto"/>
        <w:right w:val="none" w:sz="0" w:space="0" w:color="auto"/>
      </w:divBdr>
    </w:div>
    <w:div w:id="614825358">
      <w:bodyDiv w:val="1"/>
      <w:marLeft w:val="0"/>
      <w:marRight w:val="0"/>
      <w:marTop w:val="0"/>
      <w:marBottom w:val="0"/>
      <w:divBdr>
        <w:top w:val="none" w:sz="0" w:space="0" w:color="auto"/>
        <w:left w:val="none" w:sz="0" w:space="0" w:color="auto"/>
        <w:bottom w:val="none" w:sz="0" w:space="0" w:color="auto"/>
        <w:right w:val="none" w:sz="0" w:space="0" w:color="auto"/>
      </w:divBdr>
    </w:div>
    <w:div w:id="662856014">
      <w:bodyDiv w:val="1"/>
      <w:marLeft w:val="0"/>
      <w:marRight w:val="0"/>
      <w:marTop w:val="0"/>
      <w:marBottom w:val="0"/>
      <w:divBdr>
        <w:top w:val="none" w:sz="0" w:space="0" w:color="auto"/>
        <w:left w:val="none" w:sz="0" w:space="0" w:color="auto"/>
        <w:bottom w:val="none" w:sz="0" w:space="0" w:color="auto"/>
        <w:right w:val="none" w:sz="0" w:space="0" w:color="auto"/>
      </w:divBdr>
    </w:div>
    <w:div w:id="678241498">
      <w:bodyDiv w:val="1"/>
      <w:marLeft w:val="0"/>
      <w:marRight w:val="0"/>
      <w:marTop w:val="0"/>
      <w:marBottom w:val="0"/>
      <w:divBdr>
        <w:top w:val="none" w:sz="0" w:space="0" w:color="auto"/>
        <w:left w:val="none" w:sz="0" w:space="0" w:color="auto"/>
        <w:bottom w:val="none" w:sz="0" w:space="0" w:color="auto"/>
        <w:right w:val="none" w:sz="0" w:space="0" w:color="auto"/>
      </w:divBdr>
    </w:div>
    <w:div w:id="829566327">
      <w:bodyDiv w:val="1"/>
      <w:marLeft w:val="0"/>
      <w:marRight w:val="0"/>
      <w:marTop w:val="0"/>
      <w:marBottom w:val="0"/>
      <w:divBdr>
        <w:top w:val="none" w:sz="0" w:space="0" w:color="auto"/>
        <w:left w:val="none" w:sz="0" w:space="0" w:color="auto"/>
        <w:bottom w:val="none" w:sz="0" w:space="0" w:color="auto"/>
        <w:right w:val="none" w:sz="0" w:space="0" w:color="auto"/>
      </w:divBdr>
    </w:div>
    <w:div w:id="955602390">
      <w:bodyDiv w:val="1"/>
      <w:marLeft w:val="0"/>
      <w:marRight w:val="0"/>
      <w:marTop w:val="0"/>
      <w:marBottom w:val="0"/>
      <w:divBdr>
        <w:top w:val="none" w:sz="0" w:space="0" w:color="auto"/>
        <w:left w:val="none" w:sz="0" w:space="0" w:color="auto"/>
        <w:bottom w:val="none" w:sz="0" w:space="0" w:color="auto"/>
        <w:right w:val="none" w:sz="0" w:space="0" w:color="auto"/>
      </w:divBdr>
    </w:div>
    <w:div w:id="1026515828">
      <w:bodyDiv w:val="1"/>
      <w:marLeft w:val="0"/>
      <w:marRight w:val="0"/>
      <w:marTop w:val="0"/>
      <w:marBottom w:val="0"/>
      <w:divBdr>
        <w:top w:val="none" w:sz="0" w:space="0" w:color="auto"/>
        <w:left w:val="none" w:sz="0" w:space="0" w:color="auto"/>
        <w:bottom w:val="none" w:sz="0" w:space="0" w:color="auto"/>
        <w:right w:val="none" w:sz="0" w:space="0" w:color="auto"/>
      </w:divBdr>
    </w:div>
    <w:div w:id="1195771067">
      <w:bodyDiv w:val="1"/>
      <w:marLeft w:val="0"/>
      <w:marRight w:val="0"/>
      <w:marTop w:val="0"/>
      <w:marBottom w:val="0"/>
      <w:divBdr>
        <w:top w:val="none" w:sz="0" w:space="0" w:color="auto"/>
        <w:left w:val="none" w:sz="0" w:space="0" w:color="auto"/>
        <w:bottom w:val="none" w:sz="0" w:space="0" w:color="auto"/>
        <w:right w:val="none" w:sz="0" w:space="0" w:color="auto"/>
      </w:divBdr>
    </w:div>
    <w:div w:id="1266419955">
      <w:bodyDiv w:val="1"/>
      <w:marLeft w:val="0"/>
      <w:marRight w:val="0"/>
      <w:marTop w:val="0"/>
      <w:marBottom w:val="0"/>
      <w:divBdr>
        <w:top w:val="none" w:sz="0" w:space="0" w:color="auto"/>
        <w:left w:val="none" w:sz="0" w:space="0" w:color="auto"/>
        <w:bottom w:val="none" w:sz="0" w:space="0" w:color="auto"/>
        <w:right w:val="none" w:sz="0" w:space="0" w:color="auto"/>
      </w:divBdr>
    </w:div>
    <w:div w:id="1604074047">
      <w:bodyDiv w:val="1"/>
      <w:marLeft w:val="0"/>
      <w:marRight w:val="0"/>
      <w:marTop w:val="0"/>
      <w:marBottom w:val="0"/>
      <w:divBdr>
        <w:top w:val="none" w:sz="0" w:space="0" w:color="auto"/>
        <w:left w:val="none" w:sz="0" w:space="0" w:color="auto"/>
        <w:bottom w:val="none" w:sz="0" w:space="0" w:color="auto"/>
        <w:right w:val="none" w:sz="0" w:space="0" w:color="auto"/>
      </w:divBdr>
    </w:div>
    <w:div w:id="1732925647">
      <w:bodyDiv w:val="1"/>
      <w:marLeft w:val="0"/>
      <w:marRight w:val="0"/>
      <w:marTop w:val="0"/>
      <w:marBottom w:val="0"/>
      <w:divBdr>
        <w:top w:val="none" w:sz="0" w:space="0" w:color="auto"/>
        <w:left w:val="none" w:sz="0" w:space="0" w:color="auto"/>
        <w:bottom w:val="none" w:sz="0" w:space="0" w:color="auto"/>
        <w:right w:val="none" w:sz="0" w:space="0" w:color="auto"/>
      </w:divBdr>
    </w:div>
    <w:div w:id="1735198585">
      <w:bodyDiv w:val="1"/>
      <w:marLeft w:val="0"/>
      <w:marRight w:val="0"/>
      <w:marTop w:val="0"/>
      <w:marBottom w:val="0"/>
      <w:divBdr>
        <w:top w:val="none" w:sz="0" w:space="0" w:color="auto"/>
        <w:left w:val="none" w:sz="0" w:space="0" w:color="auto"/>
        <w:bottom w:val="none" w:sz="0" w:space="0" w:color="auto"/>
        <w:right w:val="none" w:sz="0" w:space="0" w:color="auto"/>
      </w:divBdr>
    </w:div>
    <w:div w:id="19269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hu/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3E00-376C-4302-B109-942D5322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1989</Words>
  <Characters>14249</Characters>
  <Application>Microsoft Office Word</Application>
  <DocSecurity>0</DocSecurity>
  <Lines>254</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2020-05-08T09:10:00Z</dcterms:created>
  <dcterms:modified xsi:type="dcterms:W3CDTF">2020-05-08T13:12:00Z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