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242F20-62FF-4A01-800F-89B4682AE304"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Style w:val="Text1"/>
        <w:ind w:left="0"/>
        <w:rPr>
          <w:noProof/>
        </w:rPr>
      </w:pPr>
      <w:r>
        <w:rPr>
          <w:noProof/>
        </w:rPr>
        <w:t>Στις 5 Δεκεμβρίου 2017 το Συμβούλιο εξέδωσε τον κανονισμό (ΕΕ) 2017/2454</w:t>
      </w:r>
      <w:r>
        <w:rPr>
          <w:rStyle w:val="FootnoteReference"/>
          <w:noProof/>
        </w:rPr>
        <w:footnoteReference w:id="1"/>
      </w:r>
      <w:r>
        <w:rPr>
          <w:noProof/>
        </w:rPr>
        <w:t>, ο οποίος αποτελεί μέρος της δέσμης νομοθετικών μέτρων για τον εκσυγχρονισμό του ΦΠΑ για το διασυνοριακό ηλεκτρονικό εμπόριο μεταξύ επιχειρήσεων και καταναλωτών (B2C) («δέσμη μέτρων ΦΠΑ για το ηλεκτρονικό εμπόριο»). Ο κανονισμός αυτός τροποποιεί τον κανονισμό (ΕΕ) αριθ. 904/2010 για τη διοικητική συνεργασία και την καταπολέμηση της απάτης στον τομέα του φόρου προστιθέμενης αξίας</w:t>
      </w:r>
      <w:r>
        <w:rPr>
          <w:rStyle w:val="FootnoteReference"/>
          <w:noProof/>
        </w:rPr>
        <w:footnoteReference w:id="2"/>
      </w:r>
      <w:r>
        <w:rPr>
          <w:noProof/>
        </w:rPr>
        <w:t xml:space="preserve">, ο οποίος παρέχει τη βάση για την υποκείμενη υποδομή ΤΠ και την αναγκαία συνεργασία με τα κράτη μέλη για να εξασφαλιστεί η επιτυχία της επέκτασης της μικρής μονοαπευθυντικής θυρίδας (MOSS). </w:t>
      </w:r>
    </w:p>
    <w:p>
      <w:pPr>
        <w:rPr>
          <w:rFonts w:eastAsia="Times New Roman"/>
          <w:noProof/>
          <w:szCs w:val="24"/>
        </w:rPr>
      </w:pPr>
      <w:r>
        <w:rPr>
          <w:noProof/>
        </w:rPr>
        <w:t>Ως ημερομηνία εφαρμογής των τροποποιήσεων που προβλέπονται στον κανονισμό (ΕΕ) 2017/2454 είχε οριστεί η 1η Ιανουαρίου 2021.</w:t>
      </w:r>
    </w:p>
    <w:p>
      <w:pPr>
        <w:rPr>
          <w:rFonts w:eastAsia="Times New Roman"/>
          <w:noProof/>
          <w:szCs w:val="24"/>
        </w:rPr>
      </w:pPr>
      <w:r>
        <w:rPr>
          <w:noProof/>
        </w:rPr>
        <w:t xml:space="preserve">Στις 14 Φεβρουαρίου 2020 η Επιτροπή παρουσίασε την τρέχουσα κατάσταση όσον αφορά την ετοιμότητα των κρατών μελών, σύμφωνα με την οποία τα περισσότερα κράτη μέλη επιβεβαίωσαν ότι, έως την προβλεπόμενη ημερομηνία, θα είναι έτοιμα να εφαρμόσουν τους κανόνες. Δύο κράτη μέλη εξέφρασαν ανησυχίες και ζήτησαν αναβολή της έναρξης εφαρμογής κατά ένα έτος ή περισσότερο. Η Επιτροπή προσέφερε βοήθεια στα κράτη μέλη που αντιμετώπιζαν δυσκολίες με σκοπό να τα βοηθήσει να ξεπεράσουν αυτά τα εμπόδια και παρέμεινε πεπεισμένη ότι τα κράτη μέλη θα είναι έτοιμα έως την 1η Ιανουαρίου 2021. </w:t>
      </w:r>
    </w:p>
    <w:p>
      <w:pPr>
        <w:rPr>
          <w:rFonts w:eastAsia="Times New Roman"/>
          <w:noProof/>
          <w:szCs w:val="24"/>
        </w:rPr>
      </w:pPr>
      <w:r>
        <w:rPr>
          <w:noProof/>
        </w:rPr>
        <w:t xml:space="preserve">Ωστόσο, εξαιτίας της απρόβλεπτης έξαρσης της κρίσης λόγω της νόσου COVID-19 και των σημαντικών της επιπτώσεων, τα κράτη μέλη χρειάστηκε να αλλάξουν προτεραιότητες και να ανακατανείμουν πόρους από την εφαρμογή της δέσμης μέτρων για τον ΦΠΑ στο ηλεκτρονικό εμπόριο, ώστε να καταπολεμήσουν αυτήν την πανδημία. Ως εκ τούτου, άλλα κράτη μέλη δεν μπορούν πλέον να εγγυηθούν ότι θα καταφέρουν να ολοκληρώσουν τις προπαρασκευαστικές εργασίες για την εφαρμογή των νέων κανόνων έως την 1η Ιανουαρίου 2021, συμπεριλαμβανομένων των κανόνων για τη διοικητική συνεργασία. Υπάρχει σοβαρός κίνδυνος να καθυστερήσει το σύστημα ΤΠ σε εθνικό επίπεδο που απαιτείται για την εφαρμογή των νέων κανόνων ΦΠΑ για το ηλεκτρονικό εμπόριο, συμπεριλαμβανομένων των κανόνων που προβλέπονται στον κανονισμό (ΕΕ) 2017/2454, με αποτέλεσμα να υπονομεύεται η ετοιμότητα αρκετών κρατών μελών για εφαρμογή των νέων κανόνων από την 1η Ιανουαρίου 2021. Παρόμοιες ανησυχίες εξέφρασαν βασικοί οικονομικοί φορείς, ιδίως φορείς εκμετάλλευσης ταχυδρομικών υπηρεσιών και ταχυμεταφορών, οι οποίοι κάλεσαν την Επιτροπή να μεταθέσει κατά 6 μήνες την ημερομηνία εφαρμογής της δέσμης μέτρων ΦΠΑ για το ηλεκτρονικό εμπόριο εξαιτίας της κρίσης λόγω της νόσου COVID-19. </w:t>
      </w:r>
    </w:p>
    <w:p>
      <w:pPr>
        <w:rPr>
          <w:rFonts w:eastAsia="Times New Roman"/>
          <w:noProof/>
          <w:szCs w:val="24"/>
        </w:rPr>
      </w:pPr>
      <w:r>
        <w:rPr>
          <w:noProof/>
        </w:rPr>
        <w:t xml:space="preserve">Στις 24 Απριλίου 2020 η Επιτροπή συνεδρίασε με τα κράτη μέλη για να αξιολογήσει την ετοιμότητά τους για εφαρμογή των νέων κανόνων από την 1η Ιανουαρίου 2021. Τα περισσότερα κράτη μέλη επιβεβαίωσαν και πάλι ότι είναι έτοιμα να εφαρμόσουν τους κανόνες εγκαίρως, ωστόσο τόνισαν ότι οι διατάξεις σχετικά με τη λειτουργία της δέσμης μέτρων ΦΠΑ για το ηλεκτρονικό εμπόριο βασίζονται στην αρχή ότι όλα τα κράτη μέλη θα πρέπει να είναι έτοιμα να εφαρμόσουν τους κανόνες σωστά και, ως εκ τούτου, προτίθενται να υποστηρίξουν μια μετάθεση της ημερομηνίας το πολύ κατά 6 μήνες. </w:t>
      </w:r>
    </w:p>
    <w:p>
      <w:pPr>
        <w:pBdr>
          <w:top w:val="nil"/>
          <w:left w:val="nil"/>
          <w:bottom w:val="nil"/>
          <w:right w:val="nil"/>
          <w:between w:val="nil"/>
          <w:bar w:val="nil"/>
        </w:pBdr>
        <w:spacing w:before="0" w:after="240"/>
        <w:rPr>
          <w:rFonts w:eastAsia="Times New Roman"/>
          <w:noProof/>
          <w:szCs w:val="24"/>
        </w:rPr>
      </w:pPr>
      <w:r>
        <w:rPr>
          <w:noProof/>
        </w:rPr>
        <w:lastRenderedPageBreak/>
        <w:t>Στόχος της παρούσας πρότασης είναι να μετατεθεί κατά έξι μήνες η ημερομηνία εφαρμογής των τροποποιήσεων της δέσμης μέτρων ΦΠΑ για το ηλεκτρονικό εμπόριο που καθορίζονται στον κανονισμό (ΕΕ) 2017/2454, η οποία προβλεπόταν αρχικά για την 1η Ιανουαρίου 2021. Ως εκ τούτου, η νέα ημερομηνία εφαρμογής θα είναι η 1η Ιουλίου 2021. Προτείνεται μετάθεση της ημερομηνίας κατά έξι μήνες, διότι η καθυστέρηση θα πρέπει να παραμείνει όσο το δυνατό συντομότερη ώστε να ελαχιστοποιηθούν οι επιπλέον δημοσιονομικές απώλειες των κρατών μελών.</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rPr>
          <w:noProof/>
        </w:rPr>
      </w:pPr>
      <w:r>
        <w:rPr>
          <w:noProof/>
        </w:rPr>
        <w:t>Ο γενικός στόχος της παρούσας πρότασης είναι η ομαλή λειτουργία της εσωτερικής αγοράς, η ανταγωνιστικότητα των επιχειρήσεων της ΕΕ και η ανάγκη διασφάλισης αποτελεσματικής φορολόγησης της ψηφιακής οικονομίας. Η δέσμη μέτρων ΦΠΑ για το ηλεκτρονικό εμπόριο συμβαδίζει με τη μελλοντική εφαρμογή της αρχής του προορισμού για τον ΦΠΑ, όπως ορίζεται στο πρόσφατο σχέδιο δράσης για τον ΦΠΑ που υποστηρίζεται από το Συμβούλιο</w:t>
      </w:r>
      <w:r>
        <w:rPr>
          <w:rStyle w:val="FootnoteReference"/>
          <w:noProof/>
        </w:rPr>
        <w:footnoteReference w:id="3"/>
      </w:r>
      <w:r>
        <w:rPr>
          <w:noProof/>
        </w:rPr>
        <w:t xml:space="preserve">. </w:t>
      </w:r>
    </w:p>
    <w:p>
      <w:pPr>
        <w:spacing w:before="0" w:after="0"/>
        <w:rPr>
          <w:noProof/>
        </w:rPr>
      </w:pPr>
      <w:r>
        <w:rPr>
          <w:noProof/>
        </w:rPr>
        <w:t>Εκτός από το σχέδιο δράσης για τον ΦΠΑ, η δέσμη μέτρων ΦΠΑ για το ηλεκτρονικό εμπόριο έχει χαρακτηριστεί ως βασική πρωτοβουλία στη στρατηγική για την ψηφιακή ενιαία αγορά</w:t>
      </w:r>
      <w:r>
        <w:rPr>
          <w:rStyle w:val="FootnoteReference"/>
          <w:noProof/>
        </w:rPr>
        <w:footnoteReference w:id="4"/>
      </w:r>
      <w:r>
        <w:rPr>
          <w:noProof/>
        </w:rPr>
        <w:t xml:space="preserve"> («στρατηγική DSM»), στη στρατηγική για την ενιαία αγορά</w:t>
      </w:r>
      <w:r>
        <w:rPr>
          <w:rStyle w:val="FootnoteReference"/>
          <w:noProof/>
        </w:rPr>
        <w:footnoteReference w:id="5"/>
      </w:r>
      <w:r>
        <w:rPr>
          <w:noProof/>
        </w:rPr>
        <w:t>, καθώς και στο σχέδιο δράσης για την ηλεκτρονική διακυβέρνηση</w:t>
      </w:r>
      <w:r>
        <w:rPr>
          <w:rStyle w:val="FootnoteReference"/>
          <w:noProof/>
        </w:rPr>
        <w:footnoteReference w:id="6"/>
      </w:r>
      <w:r>
        <w:rPr>
          <w:noProof/>
        </w:rPr>
        <w:t xml:space="preserve">.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u w:color="000000"/>
          <w:bdr w:val="nil"/>
        </w:rPr>
        <w:t>Η πρόταση βασίζεται στο άρθρο 113 της Συνθήκης για τη λειτουργία της Ευρωπαϊκής Ένωσης (ΣΛΕΕ). Το εν λόγω άρθρο προβλέπει ότι το Συμβούλιο, αποφασίζοντας ομόφωνα σύμφωνα με ειδική νομοθετική διαδικασία και μετά από διαβούλευση με το Ευρωπαϊκό Κοινοβούλιο και την Οικονομική και Κοινωνική Επιτροπή, εκδίδει διατάξεις για την εναρμόνιση των κανόνων των κρατών μελών στον τομέα της έμμεσης φορολογίας.</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spacing w:before="0" w:after="240"/>
        <w:rPr>
          <w:rFonts w:eastAsia="Times New Roman"/>
          <w:noProof/>
          <w:szCs w:val="24"/>
        </w:rPr>
      </w:pPr>
      <w:r>
        <w:rPr>
          <w:noProof/>
        </w:rPr>
        <w:t>Με την παρούσα πρόταση αλλάζει η ημερομηνία εφαρμογής της δέσμης μέτρων ΦΠΑ για το ηλεκτρονικό εμπόριο όσον αφορά τη διοικητική συνεργασία και την καταπολέμηση της απάτης στον τομέα του φόρου προστιθέμενης αξίας, η οποία εγκρίθηκε από το Συμβούλιο τον Δεκέμβριο του 2017. Η αλλαγή αυτή είναι παράλληλη με την πρόταση για μετάθεση της ημερομηνίας εφαρμογής της δέσμης μέτρων ΦΠΑ για το ηλεκτρονικό εμπόριο, ήτοι της 1ης Ιανουαρίου 2021, συμπεριλαμβανομένων, συνεπώς, όλων των επηρεαζόμενων νομικών πράξεων. Η παρούσα πρόταση υποβάλλεται ως συνέπεια και ως αντίδραση στην έξαρση της κρίσης λόγω της νόσου COVID-19, η οποία δημιουργεί για τα κράτη μέλη προκλήσεις σε εθνικό επίπεδο για την αντιμετώπιση της τρέχουσας κατάστασης έκτακτης ανάγκης και προκαλεί σε ορισμένα από αυτά δυσκολίες όσον αφορά τη διασφάλιση έγκαιρης υλοποίησης των απαιτούμενων αλλαγών στα εθνικά τους συστήματα ΤΠ. Οι διατάξεις σχετικά με τη λειτουργία της δέσμης μέτρων ΦΠΑ για το ηλεκτρονικό εμπόριο βασίζονται στην αρχή ότι όλα τα κράτη μέλη θα είναι έτοιμα να τις εφαρμόσουν σωστά.</w:t>
      </w:r>
    </w:p>
    <w:p>
      <w:pPr>
        <w:tabs>
          <w:tab w:val="left" w:pos="2302"/>
        </w:tabs>
        <w:spacing w:before="0" w:after="240"/>
        <w:rPr>
          <w:rFonts w:eastAsia="Times New Roman"/>
          <w:noProof/>
          <w:szCs w:val="20"/>
        </w:rPr>
      </w:pPr>
      <w:r>
        <w:rPr>
          <w:noProof/>
        </w:rPr>
        <w:t xml:space="preserve">Δεδομένου ότι ο ΦΠΑ είναι φόρος εναρμονισμένος σε επίπεδο ΕΕ, τα κράτη μέλη δεν μπορούν να θεσπίσουν από μόνα τους διαφορετικούς κανόνες. Ως εκ τούτου, για κάθε </w:t>
      </w:r>
      <w:r>
        <w:rPr>
          <w:noProof/>
        </w:rPr>
        <w:lastRenderedPageBreak/>
        <w:t>πρωτοβουλία τροποποίησης των κανόνων ΦΠΑ για το ηλεκτρονικό εμπόριο, συμπεριλαμβανομένης της αλλαγής της ημερομηνίας εφαρμογής, απαιτείται πρόταση από την Επιτροπή και δεν είναι δυνατό να επιτευχθεί με μονομερείς ενέργειες σε εθνικό επίπεδο.</w:t>
      </w:r>
    </w:p>
    <w:p>
      <w:pPr>
        <w:pBdr>
          <w:top w:val="nil"/>
          <w:left w:val="nil"/>
          <w:bottom w:val="nil"/>
          <w:right w:val="nil"/>
          <w:between w:val="nil"/>
          <w:bar w:val="nil"/>
        </w:pBdr>
        <w:spacing w:before="0" w:after="240"/>
        <w:rPr>
          <w:rFonts w:eastAsia="Times New Roman"/>
          <w:noProof/>
          <w:szCs w:val="20"/>
        </w:rPr>
      </w:pPr>
      <w:r>
        <w:rPr>
          <w:noProof/>
        </w:rPr>
        <w:t>Κατά συνέπεια, η πρόταση συνάδει με την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Style w:val="ManualHeading2"/>
        <w:tabs>
          <w:tab w:val="clear" w:pos="850"/>
        </w:tabs>
        <w:ind w:left="0" w:firstLine="0"/>
        <w:rPr>
          <w:b w:val="0"/>
          <w:noProof/>
        </w:rPr>
      </w:pPr>
      <w:r>
        <w:rPr>
          <w:b w:val="0"/>
          <w:noProof/>
        </w:rPr>
        <w:t xml:space="preserve">Η πρόταση συνάδει με την αρχή της αναλογικότητας, δηλαδή δεν υπερβαίνει τα αναγκαία όρια για την επίτευξη των στόχων της ΣΛΕΕ, ιδίως δε την ομαλή λειτουργία της ενιαίας αγοράς. Όσον αφορά τον έλεγχο της επικουρικότητας, δεν είναι δυνατόν τα κράτη μέλη να αντιμετωπίσουν τα προβλήματα χωρίς πρόταση τροποποίησης του κανονισμού του Συμβουλίου για τη διοικητική συνεργασία. </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 xml:space="preserve">Η παρούσα πρόταση τροποποιεί τον κανονισμό (ΕΕ) 2017/2454 του Συμβουλίου. Η μόνη τροποποίηση που πραγματοποιείται είναι η μετάθεση της ημερομηνίας εφαρμογής.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Style w:val="Text1"/>
        <w:ind w:left="0"/>
        <w:rPr>
          <w:noProof/>
        </w:rPr>
      </w:pPr>
      <w:r>
        <w:rPr>
          <w:noProof/>
        </w:rPr>
        <w:t>Η παρούσα πρόταση αντανακλά τις έντονες ανησυχίες που εξέφρασαν και απηύθυναν στην Επιτροπή ορισμένα κράτη μέλη, φορείς εκμετάλλευσης ταχυδρομικών υπηρεσιών και ταχυμεταφορών, σχετικά με το ότι δεν θα είναι έτοιμα να ολοκληρώσουν τις προπαρασκευαστικές εργασίες για τη δέσμη μέτρων ΦΠΑ για το ηλεκτρονικό εμπόριο σε εθνικό επίπεδο και να εφαρμόσουν τους κανόνες έως την 1η Ιανουαρίου 2021, εξαιτίας της έξαρσης της κρίσης λόγω της νόσου COVID-19.</w:t>
      </w:r>
    </w:p>
    <w:p>
      <w:pPr>
        <w:rPr>
          <w:rFonts w:eastAsia="Times New Roman"/>
          <w:noProof/>
          <w:szCs w:val="24"/>
        </w:rPr>
      </w:pPr>
      <w:r>
        <w:rPr>
          <w:noProof/>
        </w:rPr>
        <w:t xml:space="preserve">Στις 24 Απριλίου 2020 η Επιτροπή συνεδρίασε με τα κράτη μέλη για να αξιολογήσει την ετοιμότητά τους για εφαρμογή των νέων κανόνων από την 1η Ιανουαρίου 2021. Τα περισσότερα κράτη μέλη επιβεβαίωσαν και πάλι ότι είναι έτοιμα να εφαρμόσουν τους κανόνες εγκαίρως, ωστόσο τόνισαν ότι οι διατάξεις σχετικά με τη λειτουργία της δέσμης μέτρων ΦΠΑ για το ηλεκτρονικό εμπόριο βασίζονται στην αρχή ότι όλα τα κράτη μέλη θα πρέπει να είναι έτοιμα να εφαρμόσουν τους κανόνες σωστά και, ως εκ τούτου, προτίθενται να υποστηρίξουν μια μετάθεση της ημερομηνίας το πολύ κατά 6 μήνες. </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rFonts w:eastAsia="Arial Unicode MS"/>
          <w:noProof/>
        </w:rPr>
      </w:pPr>
      <w:r>
        <w:rPr>
          <w:noProof/>
        </w:rPr>
        <w:t>Πραγματοποιήθηκε εκτίμηση επιπτώσεων για την πρόταση που οδήγησε στην έκδοση της οδηγίας ΦΠΑ για το ηλεκτρονικό εμπόριο</w:t>
      </w:r>
      <w:r>
        <w:rPr>
          <w:rStyle w:val="FootnoteReference"/>
          <w:noProof/>
        </w:rPr>
        <w:footnoteReference w:id="7"/>
      </w:r>
      <w:r>
        <w:rPr>
          <w:noProof/>
        </w:rPr>
        <w:t>, η οποία αποτελεί τη βάση για την τροποποίηση των κανόνων που προβλέπονται στον κανονισμό για τη διοικητική συνεργασία. Η παρούσα πρόταση τροποποιεί μόνο την ημερομηνία εφαρμογής των εν λόγω τροποποιήσεων.</w:t>
      </w:r>
    </w:p>
    <w:p>
      <w:pPr>
        <w:pStyle w:val="ManualHeading2"/>
        <w:rPr>
          <w:rFonts w:eastAsia="Arial Unicode MS"/>
          <w:noProof/>
          <w:u w:color="000000"/>
          <w:bdr w:val="nil"/>
        </w:rPr>
      </w:pPr>
      <w:r>
        <w:rPr>
          <w:noProof/>
          <w:u w:color="000000"/>
          <w:bdr w:val="nil"/>
        </w:rPr>
        <w:lastRenderedPageBreak/>
        <w:t>•</w:t>
      </w:r>
      <w:r>
        <w:rPr>
          <w:noProof/>
          <w:u w:color="000000"/>
          <w:bdr w:val="nil"/>
        </w:rPr>
        <w:tab/>
        <w:t>Καταλληλότητα του ρυθμιστικού πλαισίου και απλούστευση</w:t>
      </w:r>
    </w:p>
    <w:p>
      <w:pPr>
        <w:pBdr>
          <w:top w:val="nil"/>
          <w:left w:val="nil"/>
          <w:bottom w:val="nil"/>
          <w:right w:val="nil"/>
          <w:between w:val="nil"/>
          <w:bar w:val="nil"/>
        </w:pBdr>
        <w:spacing w:before="0" w:after="240"/>
        <w:rPr>
          <w:rFonts w:eastAsia="Arial Unicode MS"/>
          <w:noProof/>
        </w:rPr>
      </w:pPr>
      <w:r>
        <w:rPr>
          <w:noProof/>
        </w:rPr>
        <w:t>Κύριος στόχος της παρούσας πρότασης είναι η μετάθεση της ημερομηνίας εφαρμογής της δέσμης μέτρων ΦΠΑ για το ηλεκτρονικό εμπόριο κατά έξι μήνες. Η πρόταση δεν μεταβάλλει την ουσία των κανόνων, αλλά μόνο μεταθέτει την ημερομηνία εφαρμογής τους.</w:t>
      </w:r>
    </w:p>
    <w:p>
      <w:pPr>
        <w:pStyle w:val="ManualHeading1"/>
        <w:rPr>
          <w:noProof/>
        </w:rPr>
      </w:pPr>
      <w:r>
        <w:rPr>
          <w:noProof/>
        </w:rPr>
        <w:t>4.</w:t>
      </w:r>
      <w:r>
        <w:rPr>
          <w:noProof/>
        </w:rPr>
        <w:tab/>
        <w:t>ΔΗΜΟΣΙΟΝΟΜΙΚΕΣ ΕΠΙΠΤΩΣΕΙΣ</w:t>
      </w:r>
    </w:p>
    <w:p>
      <w:pPr>
        <w:pStyle w:val="Text1"/>
        <w:ind w:left="0"/>
        <w:rPr>
          <w:noProof/>
        </w:rPr>
      </w:pPr>
      <w:r>
        <w:rPr>
          <w:noProof/>
        </w:rPr>
        <w:t xml:space="preserve">Η παρούσα πρόταση αποτελεί μέρος του εγχειρήματος μετάθεσης της ημερομηνίας εφαρμογής της δέσμης μέτρων ΦΠΑ για το ηλεκτρονικό εμπόριο. </w:t>
      </w:r>
    </w:p>
    <w:p>
      <w:pPr>
        <w:pStyle w:val="Text1"/>
        <w:ind w:left="0"/>
        <w:rPr>
          <w:noProof/>
        </w:rPr>
      </w:pPr>
      <w:r>
        <w:rPr>
          <w:noProof/>
        </w:rPr>
        <w:t>Οι δημοσιονομικές επιπτώσεις της ήδη εγκριθείσας δέσμης μέτρων ΦΠΑ για το ηλεκτρονικό εμπόριο συνολικά αναλύονται λεπτομερώς στην αιτιολογική έκθεση της πρότασης οδηγίας 2017/2455 του Συμβουλίου, έγγραφο COM(2016)757 final</w:t>
      </w:r>
      <w:r>
        <w:rPr>
          <w:rStyle w:val="FootnoteReference"/>
          <w:noProof/>
        </w:rPr>
        <w:footnoteReference w:id="8"/>
      </w:r>
      <w:r>
        <w:rPr>
          <w:noProof/>
        </w:rPr>
        <w:t xml:space="preserve">. </w:t>
      </w:r>
    </w:p>
    <w:p>
      <w:pPr>
        <w:pBdr>
          <w:top w:val="nil"/>
          <w:left w:val="nil"/>
          <w:bottom w:val="nil"/>
          <w:right w:val="nil"/>
          <w:between w:val="nil"/>
          <w:bar w:val="nil"/>
        </w:pBdr>
        <w:spacing w:before="0" w:after="240"/>
        <w:rPr>
          <w:noProof/>
        </w:rPr>
      </w:pPr>
      <w:r>
        <w:rPr>
          <w:noProof/>
        </w:rPr>
        <w:t>Οι δημοσιονομικές απώλειες για τα κράτη μέλη έχουν εκτιμηθεί σε περίπου 5-7 δισ. EUR ετησίως σε περίπτωση που η δέσμη μέτρων ΦΠΑ για το ηλεκτρονικό εμπόριο δεν εφαρμοστεί επιτυχώς. Ως εκ τούτου, καθυστέρηση 6 μηνών θα προκαλέσει απώλειες περίπου 2,5-3,5 δισ. EUR. Ωστόσο, αν τα κράτη μέλη και οι επιχειρήσεις δεν είναι έτοιμα να εφαρμόσουν τους νέους κανόνες ΦΠΑ για το ηλεκτρονικό εμπόριο, ο κίνδυνος να μην λειτουργήσει σωστά το σύστημα θα μπορούσε να συνεπάγεται σχεδόν τις ίδιες απώλειες.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rPr>
          <w:noProof/>
        </w:rPr>
      </w:pPr>
      <w:r>
        <w:rPr>
          <w:noProof/>
        </w:rPr>
        <w:t xml:space="preserve">Η παρούσα πρόταση αφορά μόνο την προβλεπόμενη στον κανονισμό (ΕΕ) 2017/2454 ημερομηνία εφαρμογής των σχετικών με τη διοικητική συνεργασία διατάξεων της δέσμης μέτρων ΦΠΑ για το ηλεκτρονικό εμπόριο, οι οποίες έχουν ήδη εγκριθεί. Η ημερομηνία εφαρμογής των εν λόγω νέων κανόνων μετατίθεται κατά έξι μήνες. Αυτό σημαίνει ότι οι διατάξεις εφαρμόζονται από την 1η Ιουλίου 2021 αντί της 1ης Ιανουαρίου 2021 και ότι οι ισχύοντες κανόνες της μικρής μονοαπευθυντικής θυρίδας (κεφάλαιο XI, τμήμα 2, άρθρα 43-47) εξακολουθούν να εφαρμόζονται έως τις 30 Ιουνίου 2021. </w:t>
      </w:r>
    </w:p>
    <w:p>
      <w:pPr>
        <w:rPr>
          <w:noProof/>
        </w:rPr>
      </w:pPr>
      <w:r>
        <w:rPr>
          <w:noProof/>
        </w:rPr>
        <w:t>Η αιτιολογία της παρούσας πρότασης είναι η έξαρση της κρίσης λόγω της νόσου COVID-19, η οποία πιέζει τα κράτη μέλη να αντιδράσουν άμεσα και να θεσπίσουν επειγόντως μέτρα σε εθνικό επίπεδο ώστε να αμβλύνουν τις συνέπειές της για τις επιχειρήσεις και τον πληθυσμό εν γένει. Εξαιτίας αυτών των πρωτόγνωρων, εξαιρετικών περιστάσεων, αρκετά κράτη μέλη δεν θα είναι έτοιμα να ολοκληρώσουν τις προπαρασκευαστικές εργασίες για την εφαρμογή των νέων κανόνων της δέσμης μέτρων ΦΠΑ για το ηλεκτρονικό εμπόριο σε εθνικό επίπεδο από την 1η Ιανουαρίου 2021.</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2020/0084 (CNS)</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για την τροποποίηση του κανονισμού (ΕΕ) 2017/2454 όσον αφορά τις ημερομηνίες εφαρμογής εξαιτίας της έξαρσης της κρίσης λόγω της νόσου COVID-19</w:t>
      </w:r>
      <w:r>
        <w:rPr>
          <w:noProof/>
        </w:rPr>
        <w:br/>
      </w:r>
      <w:r>
        <w:rPr>
          <w:noProof/>
        </w:rPr>
        <w:br/>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113,</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9"/>
      </w:r>
      <w:r>
        <w:rPr>
          <w:noProof/>
        </w:rPr>
        <w:t xml:space="preserve">, </w:t>
      </w:r>
    </w:p>
    <w:p>
      <w:r>
        <w:rPr>
          <w:noProof/>
        </w:rPr>
        <w:t>Έχοντας υπόψη τη γνώμη της Ευρωπαϊκής Οικονομικής και Κοινωνικής Επιτροπής</w:t>
      </w:r>
      <w:r>
        <w:rPr>
          <w:rStyle w:val="FootnoteReference"/>
          <w:noProof/>
        </w:rPr>
        <w:footnoteReference w:id="10"/>
      </w:r>
      <w:r>
        <w:rPr>
          <w:noProof/>
        </w:rPr>
        <w:t xml:space="preserve">, </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r>
        <w:t>(1)</w:t>
      </w:r>
      <w:r>
        <w:tab/>
      </w:r>
      <w:r>
        <w:rPr>
          <w:noProof/>
        </w:rPr>
        <w:t>Ο κανονισμός (ΕΕ) αριθ. 904/2010 του Συμβουλίου</w:t>
      </w:r>
      <w:r>
        <w:rPr>
          <w:rStyle w:val="FootnoteReference"/>
          <w:noProof/>
        </w:rPr>
        <w:footnoteReference w:id="11"/>
      </w:r>
      <w:r>
        <w:rPr>
          <w:noProof/>
        </w:rPr>
        <w:t xml:space="preserve"> θεσπίζει κανόνες σχετικά με την ανταλλαγή και αποθήκευση πληροφοριών από τα κράτη μέλη προκειμένου να καθοριστούν τα ειδικά καθεστώτα που προβλέπονται στο κεφάλαιο 6 του τίτλου XII της οδηγίας 2006/112/ΕΚ του Συμβουλίου</w:t>
      </w:r>
      <w:r>
        <w:rPr>
          <w:rStyle w:val="FootnoteReference"/>
          <w:noProof/>
        </w:rPr>
        <w:footnoteReference w:id="12"/>
      </w:r>
      <w:r>
        <w:rPr>
          <w:noProof/>
        </w:rPr>
        <w:t>.</w:t>
      </w:r>
    </w:p>
    <w:p>
      <w:pPr>
        <w:pStyle w:val="ManualConsidrant"/>
        <w:rPr>
          <w:noProof/>
        </w:rPr>
      </w:pPr>
      <w:r>
        <w:t>(2)</w:t>
      </w:r>
      <w:r>
        <w:tab/>
      </w:r>
      <w:r>
        <w:rPr>
          <w:noProof/>
        </w:rPr>
        <w:t>Ο κανονισμός (ΕΕ) 2017/2454 του Συμβουλίου</w:t>
      </w:r>
      <w:r>
        <w:rPr>
          <w:rStyle w:val="FootnoteReference"/>
          <w:noProof/>
        </w:rPr>
        <w:footnoteReference w:id="13"/>
      </w:r>
      <w:r>
        <w:rPr>
          <w:noProof/>
        </w:rPr>
        <w:t xml:space="preserve"> τροποποιεί αυτές τις διατάξεις σύμφωνα με την επέκταση του πεδίου εφαρμογής των εν λόγω ειδικών καθεστώτων και τη θέσπιση νέου καθεστώτος. Οι τροποποιήσεις αυτές πρόκειται να εφαρμοστούν από την 1η Ιανουαρίου 2021.</w:t>
      </w:r>
    </w:p>
    <w:p>
      <w:pPr>
        <w:pStyle w:val="ManualConsidrant"/>
        <w:rPr>
          <w:noProof/>
        </w:rPr>
      </w:pPr>
      <w:r>
        <w:t>(3)</w:t>
      </w:r>
      <w:r>
        <w:tab/>
      </w:r>
      <w:r>
        <w:rPr>
          <w:noProof/>
        </w:rPr>
        <w:t xml:space="preserve">Στις 30 Ιανουαρίου 2020 ο Παγκόσμιος Οργανισμός Υγείας (ΠΟΥ) χαρακτήρισε την έξαρση της νόσου COVID-19 κατάσταση έκτακτης ανάγκης για τη δημόσια υγεία σε διεθνές επίπεδο. Στις 11 Μαρτίου 2020 ο ΠΟΥ χαρακτήρισε την έξαρση της νόσου COVID-19 πανδημία. Η νόσος COVID-19 έχει προκαλέσει λοιμώξεις σε όλα τα κράτη μέλη. Λόγω της ανησυχητικής αύξησης του αριθμού των περιστατικών και της έλλειψης άμεσα διαθέσιμων αποδοτικών μέσων για την αντιμετώπιση της έξαρσης της </w:t>
      </w:r>
      <w:r>
        <w:rPr>
          <w:noProof/>
        </w:rPr>
        <w:lastRenderedPageBreak/>
        <w:t xml:space="preserve">νόσου COVID-19, πολλά κράτη μέλη έχουν κηρύξει κατάσταση έκτακτης ανάγκης σε εθνικό επίπεδο. </w:t>
      </w:r>
    </w:p>
    <w:p>
      <w:pPr>
        <w:pStyle w:val="ManualConsidrant"/>
        <w:rPr>
          <w:noProof/>
        </w:rPr>
      </w:pPr>
      <w:r>
        <w:t>(4)</w:t>
      </w:r>
      <w:r>
        <w:tab/>
      </w:r>
      <w:r>
        <w:rPr>
          <w:noProof/>
        </w:rPr>
        <w:t xml:space="preserve">Η έξαρση της κρίσης λόγω της νόσου COVID-19 συνιστά απροσδόκητη και πρωτόγνωρη κατάσταση έκτακτης ανάγκης που πλήττει σοβαρά όλα τα κράτη μέλη και τα υποχρεώνει να λάβουν άμεσα μέτρα σε εθνικό επίπεδο για να αντιμετωπίσουν τη συνεχιζόμενη κρίση κατά προτεραιότητα, ανακατανέμοντας πόρους για άλλα ζητήματα. Εξαιτίας αυτής της κρίσης, πολλά κράτη μέλη δυσκολεύονται να ολοκληρώσουν την ανάπτυξη των αναγκαίων συστημάτων ΤΠ για την εφαρμογή των κανόνων που προβλέπονται στον κανονισμό (ΕΕ) 2017/2454 και να τους εφαρμόσουν από την 1η Ιανουαρίου 2021. Ως εκ τούτου, ορισμένα κράτη μέλη ζήτησαν τη μετάθεση των ημερομηνιών εφαρμογής του κανονισμού (ΕΕ) 2017/2454. </w:t>
      </w:r>
    </w:p>
    <w:p>
      <w:pPr>
        <w:pStyle w:val="ManualConsidrant"/>
        <w:rPr>
          <w:rFonts w:eastAsia="Times New Roman"/>
          <w:noProof/>
          <w:szCs w:val="24"/>
        </w:rPr>
      </w:pPr>
      <w:r>
        <w:t>(5)</w:t>
      </w:r>
      <w:r>
        <w:tab/>
      </w:r>
      <w:r>
        <w:rPr>
          <w:noProof/>
        </w:rPr>
        <w:t>Λαμβανομένων υπόψη των προκλήσεων που συναντούν τα κράτη μέλη για την αντιμετώπιση της κρίσης λόγω της νόσου COVID-19 και του γεγονότος ότι οι νέες διατάξεις βασίζονται στην αρχή ότι όλα τα κράτη μέλη πρέπει να επικαιροποιήσουν τα συστήματα ΤΠ τους ώστε να είναι έτοιμα να εφαρμόσουν τις διατάξεις του κανονισμού (ΕΕ) αριθ. 2017/2454, διασφαλίζοντας έτσι τη συλλογή και τη διαβίβαση πληροφοριών και πληρωμών στο πλαίσιο των τροποποιημένων καθεστώτων, είναι αναγκαίο να μετατεθούν κατά έξι μήνες οι ημερομηνίες εφαρμογής του εν λόγω κανονισμού. Κρίνεται σκόπιμη η μετάθεση της ημερομηνίας κατά έξι μήνες, διότι η καθυστέρηση θα πρέπει να παραμείνει όσο το δυνατό συντομότερη ώστε να ελαχιστοποιηθούν οι επιπλέον δημοσιονομικές απώλειες των κρατών μελών.</w:t>
      </w:r>
    </w:p>
    <w:p>
      <w:pPr>
        <w:pStyle w:val="ManualConsidrant"/>
        <w:rPr>
          <w:noProof/>
        </w:rPr>
      </w:pPr>
      <w:r>
        <w:t>(6)</w:t>
      </w:r>
      <w:r>
        <w:tab/>
      </w:r>
      <w:r>
        <w:rPr>
          <w:noProof/>
        </w:rPr>
        <w:t>Κατά συνέπεια, ο κανονισμός (ΕΕ) 2017/2454 θα πρέπει να τροποποιηθεί αναλόγως,</w:t>
      </w:r>
    </w:p>
    <w:p>
      <w:pPr>
        <w:pStyle w:val="Formuledadoption"/>
        <w:rPr>
          <w:noProof/>
        </w:rPr>
      </w:pPr>
      <w:r>
        <w:rPr>
          <w:noProof/>
        </w:rPr>
        <w:t>ΕΞΕΔΩΣΕ ΤΟΝ ΠΑΡΟΝΤΑ ΚΑΝΟΝΙΣΜΟ:</w:t>
      </w:r>
    </w:p>
    <w:p>
      <w:pPr>
        <w:pStyle w:val="Titrearticle"/>
        <w:rPr>
          <w:noProof/>
        </w:rPr>
      </w:pPr>
      <w:r>
        <w:rPr>
          <w:noProof/>
        </w:rPr>
        <w:t>Άρθρο 1</w:t>
      </w:r>
    </w:p>
    <w:p>
      <w:pPr>
        <w:rPr>
          <w:noProof/>
        </w:rPr>
      </w:pPr>
      <w:r>
        <w:rPr>
          <w:noProof/>
        </w:rPr>
        <w:t>Ο κανονισμός (ΕΕ) 2017/2454 τροποποιείται ως εξής:</w:t>
      </w:r>
    </w:p>
    <w:p>
      <w:pPr>
        <w:pStyle w:val="Point0"/>
        <w:rPr>
          <w:noProof/>
        </w:rPr>
      </w:pPr>
      <w:r>
        <w:t>(1)</w:t>
      </w:r>
      <w:r>
        <w:tab/>
      </w:r>
      <w:r>
        <w:rPr>
          <w:noProof/>
        </w:rPr>
        <w:t>στο άρθρο 1, το σημείο 7 τροποποιείται ως εξής:</w:t>
      </w:r>
    </w:p>
    <w:p>
      <w:pPr>
        <w:pStyle w:val="Point1"/>
        <w:rPr>
          <w:noProof/>
        </w:rPr>
      </w:pPr>
      <w:r>
        <w:rPr>
          <w:noProof/>
          <w:highlight w:val="lightGray"/>
        </w:rPr>
        <w:t>α)</w:t>
      </w:r>
      <w:r>
        <w:rPr>
          <w:noProof/>
          <w:highlight w:val="lightGray"/>
        </w:rPr>
        <w:tab/>
      </w:r>
      <w:r>
        <w:rPr>
          <w:noProof/>
          <w:shd w:val="clear" w:color="auto" w:fill="FFFFFF"/>
        </w:rPr>
        <w:t>στο στοιχείο α), ο τίτλος του τμήματος 2 αντικαθίσταται από το ακόλουθο κείμενο:</w:t>
      </w:r>
    </w:p>
    <w:p>
      <w:pPr>
        <w:pStyle w:val="Titrearticle"/>
        <w:rPr>
          <w:noProof/>
          <w:shd w:val="clear" w:color="auto" w:fill="FFFFFF"/>
        </w:rPr>
      </w:pPr>
      <w:r>
        <w:rPr>
          <w:noProof/>
          <w:shd w:val="clear" w:color="auto" w:fill="FFFFFF"/>
        </w:rPr>
        <w:t>«</w:t>
      </w:r>
      <w:r>
        <w:rPr>
          <w:b/>
          <w:noProof/>
          <w:shd w:val="clear" w:color="auto" w:fill="FFFFFF"/>
        </w:rPr>
        <w:t>Διατάξεις εφαρμοστέες από την 1η Ιανουαρίου 2015 έως τις 30 Ιουνίου 2021</w:t>
      </w:r>
      <w:r>
        <w:rPr>
          <w:noProof/>
          <w:shd w:val="clear" w:color="auto" w:fill="FFFFFF"/>
        </w:rPr>
        <w:t>»,</w:t>
      </w:r>
    </w:p>
    <w:p>
      <w:pPr>
        <w:pStyle w:val="Point1"/>
        <w:rPr>
          <w:noProof/>
        </w:rPr>
      </w:pPr>
      <w:r>
        <w:rPr>
          <w:noProof/>
          <w:highlight w:val="lightGray"/>
        </w:rPr>
        <w:t>β)</w:t>
      </w:r>
      <w:r>
        <w:rPr>
          <w:noProof/>
          <w:highlight w:val="lightGray"/>
        </w:rPr>
        <w:tab/>
      </w:r>
      <w:r>
        <w:rPr>
          <w:noProof/>
        </w:rPr>
        <w:t>το στοιχείο β) τροποποιείται ως εξής:</w:t>
      </w:r>
    </w:p>
    <w:p>
      <w:pPr>
        <w:pStyle w:val="Point2"/>
        <w:rPr>
          <w:noProof/>
        </w:rPr>
      </w:pPr>
      <w:r>
        <w:rPr>
          <w:noProof/>
        </w:rPr>
        <w:t>i)</w:t>
      </w:r>
      <w:r>
        <w:rPr>
          <w:noProof/>
        </w:rPr>
        <w:tab/>
        <w:t>ο τίτλος του τμήματος 3 αντικαθίσταται από το ακόλουθο κείμενο:</w:t>
      </w:r>
    </w:p>
    <w:p>
      <w:pPr>
        <w:pStyle w:val="Titrearticle"/>
        <w:rPr>
          <w:rStyle w:val="italic"/>
          <w:b/>
          <w:bCs/>
          <w:i w:val="0"/>
          <w:iCs/>
          <w:noProof/>
          <w:color w:val="444444"/>
        </w:rPr>
      </w:pPr>
      <w:r>
        <w:rPr>
          <w:noProof/>
        </w:rPr>
        <w:t>«</w:t>
      </w:r>
      <w:r>
        <w:rPr>
          <w:rStyle w:val="italic"/>
          <w:b/>
          <w:bCs/>
          <w:i w:val="0"/>
          <w:iCs/>
          <w:noProof/>
          <w:color w:val="444444"/>
        </w:rPr>
        <w:t>Διατάξεις εφαρμοστέες από την 1η Ιουλίου 2021</w:t>
      </w:r>
      <w:r>
        <w:rPr>
          <w:noProof/>
        </w:rPr>
        <w:t>»,</w:t>
      </w:r>
    </w:p>
    <w:p>
      <w:pPr>
        <w:pStyle w:val="Point2"/>
        <w:rPr>
          <w:noProof/>
        </w:rPr>
      </w:pPr>
      <w:r>
        <w:rPr>
          <w:noProof/>
        </w:rPr>
        <w:t>ii)</w:t>
      </w:r>
      <w:r>
        <w:rPr>
          <w:noProof/>
        </w:rPr>
        <w:tab/>
        <w:t>το άρθρο 47α αντικαθίσταται από το ακόλουθο κείμενο:</w:t>
      </w:r>
    </w:p>
    <w:p>
      <w:pPr>
        <w:pStyle w:val="Titrearticle"/>
        <w:rPr>
          <w:noProof/>
        </w:rPr>
      </w:pPr>
      <w:r>
        <w:rPr>
          <w:noProof/>
        </w:rPr>
        <w:t>«Άρθρο 47a</w:t>
      </w:r>
    </w:p>
    <w:p>
      <w:pPr>
        <w:rPr>
          <w:noProof/>
        </w:rPr>
      </w:pPr>
      <w:r>
        <w:rPr>
          <w:noProof/>
        </w:rPr>
        <w:t>Οι διατάξεις του παρόντος τμήματος εφαρμόζονται από την 1η Ιουλίου 2021.»,</w:t>
      </w:r>
    </w:p>
    <w:p>
      <w:pPr>
        <w:pStyle w:val="Point0"/>
        <w:rPr>
          <w:noProof/>
        </w:rPr>
      </w:pPr>
      <w:r>
        <w:t>(2)</w:t>
      </w:r>
      <w:r>
        <w:tab/>
      </w:r>
      <w:r>
        <w:rPr>
          <w:noProof/>
        </w:rPr>
        <w:t>στο άρθρο 2, το δεύτερο εδάφιο αντικαθίσταται από το ακόλουθο κείμενο:</w:t>
      </w:r>
    </w:p>
    <w:p>
      <w:pPr>
        <w:rPr>
          <w:noProof/>
        </w:rPr>
      </w:pPr>
      <w:r>
        <w:rPr>
          <w:noProof/>
        </w:rPr>
        <w:t>«Εφαρμόζεται από την 1η Ιουλίου 2021.»</w:t>
      </w:r>
    </w:p>
    <w:p>
      <w:pPr>
        <w:pStyle w:val="Titrearticle"/>
        <w:rPr>
          <w:noProof/>
        </w:rPr>
      </w:pPr>
      <w:r>
        <w:rPr>
          <w:noProof/>
        </w:rPr>
        <w:lastRenderedPageBreak/>
        <w:t>Άρθρο 2</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(ΕΕ) 2017/2454 του Συμβουλίου, της 5ης Δεκεμβρίου 2017, για την τροποποίηση του κανονισμού (ΕΕ) αριθ. 904/2010 για τη διοικητική συνεργασία και την καταπολέμηση της απάτης στον τομέα του φόρου προστιθέμενης αξίας, ΕΕ L 348 της 29.12.2017, σ. 1–6.</w:t>
      </w:r>
    </w:p>
  </w:footnote>
  <w:footnote w:id="2">
    <w:p>
      <w:pPr>
        <w:pStyle w:val="FootnoteText"/>
      </w:pPr>
      <w:r>
        <w:rPr>
          <w:rStyle w:val="FootnoteReference"/>
        </w:rPr>
        <w:footnoteRef/>
      </w:r>
      <w:r>
        <w:tab/>
        <w:t>ΕΕ L 268 της 12.10.2010, σ. 1.</w:t>
      </w:r>
    </w:p>
  </w:footnote>
  <w:footnote w:id="3">
    <w:p>
      <w:pPr>
        <w:pStyle w:val="FootnoteText"/>
      </w:pPr>
      <w:r>
        <w:rPr>
          <w:rStyle w:val="FootnoteReference"/>
        </w:rPr>
        <w:footnoteRef/>
      </w:r>
      <w:r>
        <w:tab/>
      </w:r>
      <w:hyperlink r:id="rId1" w:history="1">
        <w:r>
          <w:rPr>
            <w:rStyle w:val="Hyperlink"/>
          </w:rPr>
          <w:t>http://www.consilium.europa.eu/en/press/press-releases/2016/05/25-conclusions-vat-action-plan</w:t>
        </w:r>
      </w:hyperlink>
      <w:r>
        <w:t xml:space="preserve"> </w:t>
      </w:r>
    </w:p>
  </w:footnote>
  <w:footnote w:id="4">
    <w:p>
      <w:pPr>
        <w:pStyle w:val="FootnoteText"/>
        <w:rPr>
          <w:lang w:val="en-US"/>
        </w:rPr>
      </w:pPr>
      <w:r>
        <w:rPr>
          <w:rStyle w:val="FootnoteReference"/>
        </w:rPr>
        <w:footnoteRef/>
      </w:r>
      <w:r>
        <w:rPr>
          <w:lang w:val="en-US"/>
        </w:rPr>
        <w:tab/>
        <w:t>COM(2015) 192 final.</w:t>
      </w:r>
    </w:p>
  </w:footnote>
  <w:footnote w:id="5">
    <w:p>
      <w:pPr>
        <w:pStyle w:val="FootnoteText"/>
        <w:rPr>
          <w:lang w:val="en-US"/>
        </w:rPr>
      </w:pPr>
      <w:r>
        <w:rPr>
          <w:rStyle w:val="FootnoteReference"/>
        </w:rPr>
        <w:footnoteRef/>
      </w:r>
      <w:r>
        <w:rPr>
          <w:lang w:val="en-US"/>
        </w:rPr>
        <w:tab/>
        <w:t>COM(2015) 550 final.</w:t>
      </w:r>
    </w:p>
  </w:footnote>
  <w:footnote w:id="6">
    <w:p>
      <w:pPr>
        <w:pStyle w:val="FootnoteText"/>
        <w:rPr>
          <w:lang w:val="en-US"/>
        </w:rPr>
      </w:pPr>
      <w:r>
        <w:rPr>
          <w:rStyle w:val="FootnoteReference"/>
        </w:rPr>
        <w:footnoteRef/>
      </w:r>
      <w:r>
        <w:rPr>
          <w:lang w:val="en-US"/>
        </w:rPr>
        <w:tab/>
        <w:t>COM(2016) 179 final.</w:t>
      </w:r>
    </w:p>
  </w:footnote>
  <w:footnote w:id="7">
    <w:p>
      <w:pPr>
        <w:pStyle w:val="FootnoteText"/>
      </w:pPr>
      <w:r>
        <w:rPr>
          <w:rStyle w:val="FootnoteReference"/>
        </w:rPr>
        <w:footnoteRef/>
      </w:r>
      <w:r>
        <w:tab/>
        <w:t>ΕΓΓΡΑΦΟ ΕΡΓΑΣΙΑΣ ΤΩΝ ΥΠΗΡΕΣΙΩΝ ΤΗΣ ΕΠΙΤΡΟΠΗΣ - ΕΚΤΙΜΗΣΗ ΕΠΙΠΤΩΣΕΩΝ που συνοδεύει το έγγραφο Προτάσεις οδηγίας του Συμβουλίου, εκτελεστικού κανονισμού του Συμβουλίου και κανονισμού του Συμβουλίου σχετικά με τον εκσυγχρονισμό του ΦΠΑ για το διασυνοριακό ηλεκτρονικό εμπόριο μεταξύ επιχειρήσεων και καταναλωτών, https://eur-lex.europa.eu/legal-content/EN/TXT/?uri=SWD:2016:0379:FIN</w:t>
      </w:r>
    </w:p>
  </w:footnote>
  <w:footnote w:id="8">
    <w:p>
      <w:pPr>
        <w:pStyle w:val="FootnoteText"/>
      </w:pPr>
      <w:r>
        <w:rPr>
          <w:rStyle w:val="FootnoteReference"/>
        </w:rPr>
        <w:footnoteRef/>
      </w:r>
      <w:r>
        <w:tab/>
        <w:t>Πρόταση ΟΔΗΓΙΑ ΤΟΥ ΣΥΜΒΟΥΛΙΟΥ για την τροποποίηση της οδηγίας 2006/112/ΕΚ και της οδηγίας 2009/132/ΕΚ όσον αφορά ορισμένες υποχρεώσεις που απορρέουν από τον φόρο προστιθέμενης αξίας για παροχές υπηρεσιών και πωλήσεις αγαθών εξ αποστάσεως</w:t>
      </w:r>
    </w:p>
    <w:p>
      <w:pPr>
        <w:pStyle w:val="FootnoteText"/>
        <w:ind w:firstLine="0"/>
        <w:rPr>
          <w:lang w:val="en-US"/>
        </w:rPr>
      </w:pPr>
      <w:r>
        <w:rPr>
          <w:lang w:val="en-US"/>
        </w:rPr>
        <w:t>COM/2016/0757 final - 2016/0370 (CNS), https://eur-lex.europa.eu/legal-content/EL/TXT/?qid=1586260266830&amp;uri=CELEX:52016PC0757</w:t>
      </w:r>
    </w:p>
  </w:footnote>
  <w:footnote w:id="9">
    <w:p>
      <w:pPr>
        <w:pStyle w:val="FootnoteText"/>
      </w:pPr>
      <w:r>
        <w:rPr>
          <w:rStyle w:val="FootnoteReference"/>
        </w:rPr>
        <w:footnoteRef/>
      </w:r>
      <w:r>
        <w:tab/>
        <w:t>ΕΕ C  της , σ. .</w:t>
      </w:r>
    </w:p>
  </w:footnote>
  <w:footnote w:id="10">
    <w:p>
      <w:pPr>
        <w:pStyle w:val="FootnoteText"/>
      </w:pPr>
      <w:r>
        <w:rPr>
          <w:rStyle w:val="FootnoteReference"/>
        </w:rPr>
        <w:footnoteRef/>
      </w:r>
      <w:r>
        <w:tab/>
        <w:t>ΕΕ C  της , σ. .</w:t>
      </w:r>
    </w:p>
  </w:footnote>
  <w:footnote w:id="11">
    <w:p>
      <w:pPr>
        <w:pStyle w:val="FootnoteText"/>
      </w:pPr>
      <w:r>
        <w:rPr>
          <w:rStyle w:val="FootnoteReference"/>
        </w:rPr>
        <w:footnoteRef/>
      </w:r>
      <w:r>
        <w:tab/>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(ΕΕ L 268 της 12.10.2010, σ. 1).</w:t>
      </w:r>
    </w:p>
  </w:footnote>
  <w:footnote w:id="12">
    <w:p>
      <w:pPr>
        <w:pStyle w:val="FootnoteText"/>
      </w:pPr>
      <w:r>
        <w:rPr>
          <w:rStyle w:val="FootnoteReference"/>
        </w:rPr>
        <w:footnoteRef/>
      </w:r>
      <w:r>
        <w:tab/>
        <w:t>Οδηγία 2006/112/ΕΚ του Συμβουλίου, της 28ης Νοεμβρίου 2006, σχετικά με το κοινό σύστημα φόρου προστιθέμενης αξίας (ΕΕ L 347 της 11.12.2006, σ. 1).</w:t>
      </w:r>
    </w:p>
  </w:footnote>
  <w:footnote w:id="13">
    <w:p>
      <w:pPr>
        <w:pStyle w:val="FootnoteText"/>
      </w:pPr>
      <w:r>
        <w:rPr>
          <w:rStyle w:val="FootnoteReference"/>
        </w:rPr>
        <w:footnoteRef/>
      </w:r>
      <w:r>
        <w:tab/>
        <w:t>Κανονισμός (ΕΕ) 2017/2454 του Συμβουλίου, της 5ης Δεκεμβρίου 2017, για την τροποποίηση του κανονισμού (ΕΕ) αριθ. 904/2010 για τη διοικητική συνεργασία και την καταπολέμηση της απάτης στον τομέα του φόρου προστιθέμενης αξίας, ΕΕ L 348 της 29.12.2017, σ.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364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B0CF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E44A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C407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E0C0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EEEB2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3781A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2:36: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242F20-62FF-4A01-800F-89B4682AE304"/>
    <w:docVar w:name="LW_COVERPAGE_TYPE" w:val="1"/>
    <w:docVar w:name="LW_CROSSREFERENCE" w:val="&lt;UNUSED&gt;"/>
    <w:docVar w:name="LW_DocType" w:val="COM"/>
    <w:docVar w:name="LW_EMISSION" w:val="8.5.2020"/>
    <w:docVar w:name="LW_EMISSION_ISODATE" w:val="2020-05-08"/>
    <w:docVar w:name="LW_EMISSION_LOCATION" w:val="BRX"/>
    <w:docVar w:name="LW_EMISSION_PREFIX" w:val="Βρυξέλλες,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084"/>
    <w:docVar w:name="LW_REF.II.NEW.CP_YEAR" w:val="2020"/>
    <w:docVar w:name="LW_REF.INST.NEW" w:val="COM"/>
    <w:docVar w:name="LW_REF.INST.NEW_ADOPTED" w:val="final"/>
    <w:docVar w:name="LW_REF.INST.NEW_TEXT" w:val="(2020) 2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17?) 2017/2454 \u972?\u963?\u959?\u957? \u945?\u966?\u959?\u961?\u940? \u964?\u953?\u962? \u951?\u956?\u949?\u961?\u959?\u956?\u951?\u957?\u943?\u949?\u962? \u949?\u966?\u945?\u961?\u956?\u959?\u947?\u942?\u962? \u949?\u958?\u945?\u953?\u964?\u943?\u945?\u962? \u964?\u951?\u962? \u941?\u958?\u945?\u961?\u963?\u951?\u962? \u964?\u951?\u962? \u954?\u961?\u943?\u963?\u951?\u962? \u955?\u972?\u947?\u969? \u964?\u951?\u962? \u957?\u972?\u963?\u959?\u965? COVID-19_x000b__x000b__x000b_"/>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202">
      <w:bodyDiv w:val="1"/>
      <w:marLeft w:val="0"/>
      <w:marRight w:val="0"/>
      <w:marTop w:val="0"/>
      <w:marBottom w:val="0"/>
      <w:divBdr>
        <w:top w:val="none" w:sz="0" w:space="0" w:color="auto"/>
        <w:left w:val="none" w:sz="0" w:space="0" w:color="auto"/>
        <w:bottom w:val="none" w:sz="0" w:space="0" w:color="auto"/>
        <w:right w:val="none" w:sz="0" w:space="0" w:color="auto"/>
      </w:divBdr>
    </w:div>
    <w:div w:id="131291845">
      <w:bodyDiv w:val="1"/>
      <w:marLeft w:val="0"/>
      <w:marRight w:val="0"/>
      <w:marTop w:val="0"/>
      <w:marBottom w:val="0"/>
      <w:divBdr>
        <w:top w:val="none" w:sz="0" w:space="0" w:color="auto"/>
        <w:left w:val="none" w:sz="0" w:space="0" w:color="auto"/>
        <w:bottom w:val="none" w:sz="0" w:space="0" w:color="auto"/>
        <w:right w:val="none" w:sz="0" w:space="0" w:color="auto"/>
      </w:divBdr>
    </w:div>
    <w:div w:id="318769868">
      <w:bodyDiv w:val="1"/>
      <w:marLeft w:val="0"/>
      <w:marRight w:val="0"/>
      <w:marTop w:val="0"/>
      <w:marBottom w:val="0"/>
      <w:divBdr>
        <w:top w:val="none" w:sz="0" w:space="0" w:color="auto"/>
        <w:left w:val="none" w:sz="0" w:space="0" w:color="auto"/>
        <w:bottom w:val="none" w:sz="0" w:space="0" w:color="auto"/>
        <w:right w:val="none" w:sz="0" w:space="0" w:color="auto"/>
      </w:divBdr>
    </w:div>
    <w:div w:id="458767687">
      <w:bodyDiv w:val="1"/>
      <w:marLeft w:val="0"/>
      <w:marRight w:val="0"/>
      <w:marTop w:val="0"/>
      <w:marBottom w:val="0"/>
      <w:divBdr>
        <w:top w:val="none" w:sz="0" w:space="0" w:color="auto"/>
        <w:left w:val="none" w:sz="0" w:space="0" w:color="auto"/>
        <w:bottom w:val="none" w:sz="0" w:space="0" w:color="auto"/>
        <w:right w:val="none" w:sz="0" w:space="0" w:color="auto"/>
      </w:divBdr>
    </w:div>
    <w:div w:id="716854189">
      <w:bodyDiv w:val="1"/>
      <w:marLeft w:val="0"/>
      <w:marRight w:val="0"/>
      <w:marTop w:val="0"/>
      <w:marBottom w:val="0"/>
      <w:divBdr>
        <w:top w:val="none" w:sz="0" w:space="0" w:color="auto"/>
        <w:left w:val="none" w:sz="0" w:space="0" w:color="auto"/>
        <w:bottom w:val="none" w:sz="0" w:space="0" w:color="auto"/>
        <w:right w:val="none" w:sz="0" w:space="0" w:color="auto"/>
      </w:divBdr>
    </w:div>
    <w:div w:id="783576441">
      <w:bodyDiv w:val="1"/>
      <w:marLeft w:val="0"/>
      <w:marRight w:val="0"/>
      <w:marTop w:val="0"/>
      <w:marBottom w:val="0"/>
      <w:divBdr>
        <w:top w:val="none" w:sz="0" w:space="0" w:color="auto"/>
        <w:left w:val="none" w:sz="0" w:space="0" w:color="auto"/>
        <w:bottom w:val="none" w:sz="0" w:space="0" w:color="auto"/>
        <w:right w:val="none" w:sz="0" w:space="0" w:color="auto"/>
      </w:divBdr>
    </w:div>
    <w:div w:id="1012562897">
      <w:bodyDiv w:val="1"/>
      <w:marLeft w:val="0"/>
      <w:marRight w:val="0"/>
      <w:marTop w:val="0"/>
      <w:marBottom w:val="0"/>
      <w:divBdr>
        <w:top w:val="none" w:sz="0" w:space="0" w:color="auto"/>
        <w:left w:val="none" w:sz="0" w:space="0" w:color="auto"/>
        <w:bottom w:val="none" w:sz="0" w:space="0" w:color="auto"/>
        <w:right w:val="none" w:sz="0" w:space="0" w:color="auto"/>
      </w:divBdr>
    </w:div>
    <w:div w:id="1181623489">
      <w:bodyDiv w:val="1"/>
      <w:marLeft w:val="0"/>
      <w:marRight w:val="0"/>
      <w:marTop w:val="0"/>
      <w:marBottom w:val="0"/>
      <w:divBdr>
        <w:top w:val="none" w:sz="0" w:space="0" w:color="auto"/>
        <w:left w:val="none" w:sz="0" w:space="0" w:color="auto"/>
        <w:bottom w:val="none" w:sz="0" w:space="0" w:color="auto"/>
        <w:right w:val="none" w:sz="0" w:space="0" w:color="auto"/>
      </w:divBdr>
    </w:div>
    <w:div w:id="1327513218">
      <w:bodyDiv w:val="1"/>
      <w:marLeft w:val="0"/>
      <w:marRight w:val="0"/>
      <w:marTop w:val="0"/>
      <w:marBottom w:val="0"/>
      <w:divBdr>
        <w:top w:val="none" w:sz="0" w:space="0" w:color="auto"/>
        <w:left w:val="none" w:sz="0" w:space="0" w:color="auto"/>
        <w:bottom w:val="none" w:sz="0" w:space="0" w:color="auto"/>
        <w:right w:val="none" w:sz="0" w:space="0" w:color="auto"/>
      </w:divBdr>
    </w:div>
    <w:div w:id="1371759903">
      <w:bodyDiv w:val="1"/>
      <w:marLeft w:val="0"/>
      <w:marRight w:val="0"/>
      <w:marTop w:val="0"/>
      <w:marBottom w:val="0"/>
      <w:divBdr>
        <w:top w:val="none" w:sz="0" w:space="0" w:color="auto"/>
        <w:left w:val="none" w:sz="0" w:space="0" w:color="auto"/>
        <w:bottom w:val="none" w:sz="0" w:space="0" w:color="auto"/>
        <w:right w:val="none" w:sz="0" w:space="0" w:color="auto"/>
      </w:divBdr>
    </w:div>
    <w:div w:id="1538159146">
      <w:bodyDiv w:val="1"/>
      <w:marLeft w:val="0"/>
      <w:marRight w:val="0"/>
      <w:marTop w:val="0"/>
      <w:marBottom w:val="0"/>
      <w:divBdr>
        <w:top w:val="none" w:sz="0" w:space="0" w:color="auto"/>
        <w:left w:val="none" w:sz="0" w:space="0" w:color="auto"/>
        <w:bottom w:val="none" w:sz="0" w:space="0" w:color="auto"/>
        <w:right w:val="none" w:sz="0" w:space="0" w:color="auto"/>
      </w:divBdr>
    </w:div>
    <w:div w:id="1654916335">
      <w:bodyDiv w:val="1"/>
      <w:marLeft w:val="0"/>
      <w:marRight w:val="0"/>
      <w:marTop w:val="0"/>
      <w:marBottom w:val="0"/>
      <w:divBdr>
        <w:top w:val="none" w:sz="0" w:space="0" w:color="auto"/>
        <w:left w:val="none" w:sz="0" w:space="0" w:color="auto"/>
        <w:bottom w:val="none" w:sz="0" w:space="0" w:color="auto"/>
        <w:right w:val="none" w:sz="0" w:space="0" w:color="auto"/>
      </w:divBdr>
    </w:div>
    <w:div w:id="1898084065">
      <w:bodyDiv w:val="1"/>
      <w:marLeft w:val="0"/>
      <w:marRight w:val="0"/>
      <w:marTop w:val="0"/>
      <w:marBottom w:val="0"/>
      <w:divBdr>
        <w:top w:val="none" w:sz="0" w:space="0" w:color="auto"/>
        <w:left w:val="none" w:sz="0" w:space="0" w:color="auto"/>
        <w:bottom w:val="none" w:sz="0" w:space="0" w:color="auto"/>
        <w:right w:val="none" w:sz="0" w:space="0" w:color="auto"/>
      </w:divBdr>
    </w:div>
    <w:div w:id="1969047404">
      <w:bodyDiv w:val="1"/>
      <w:marLeft w:val="0"/>
      <w:marRight w:val="0"/>
      <w:marTop w:val="0"/>
      <w:marBottom w:val="0"/>
      <w:divBdr>
        <w:top w:val="none" w:sz="0" w:space="0" w:color="auto"/>
        <w:left w:val="none" w:sz="0" w:space="0" w:color="auto"/>
        <w:bottom w:val="none" w:sz="0" w:space="0" w:color="auto"/>
        <w:right w:val="none" w:sz="0" w:space="0" w:color="auto"/>
      </w:divBdr>
    </w:div>
    <w:div w:id="19825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9F5E-D2A0-4F06-85BA-00E9CDFB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2288</Words>
  <Characters>12997</Characters>
  <Application>Microsoft Office Word</Application>
  <DocSecurity>0</DocSecurity>
  <Lines>232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2020-05-06T16:17:00Z</dcterms:created>
  <dcterms:modified xsi:type="dcterms:W3CDTF">2020-05-08T10:36:00Z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