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AC14610-D23B-4A80-ADBD-49EE2D684098" style="width:450.65pt;height:338.6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u w:color="000000"/>
          <w:bdr w:val="nil"/>
        </w:rPr>
        <w:t>•</w:t>
      </w:r>
      <w:r>
        <w:rPr>
          <w:noProof/>
          <w:u w:color="000000"/>
          <w:bdr w:val="nil"/>
        </w:rPr>
        <w:tab/>
      </w:r>
      <w:r>
        <w:rPr>
          <w:noProof/>
        </w:rPr>
        <w:t>Razlogi za predlog in njegovi cilji</w:t>
      </w:r>
    </w:p>
    <w:p>
      <w:pPr>
        <w:rPr>
          <w:noProof/>
        </w:rPr>
      </w:pPr>
      <w:r>
        <w:rPr>
          <w:noProof/>
        </w:rPr>
        <w:t>Ta sklep obravnava uporabo sredstev Solidarnostnega sklada Evropske unije v skladu z Uredbo Sveta (ES) št. 2012/2002 (v nadaljnjem besedilu: Uredba) v znesku 278 993 814 EUR za pomoč Portugalski, Španiji, Italiji in Avstriji po nesrečah, ki so v letu 2019 prizadele te države. Hkrati se predloži tudi predlog spremembe proračuna (PSP) št. 4/2020</w:t>
      </w:r>
      <w:r>
        <w:rPr>
          <w:rStyle w:val="FootnoteReference"/>
          <w:noProof/>
        </w:rPr>
        <w:footnoteReference w:id="1"/>
      </w:r>
      <w:r>
        <w:rPr>
          <w:noProof/>
        </w:rPr>
        <w:t>, v katerem se predlaga vknjižba potrebnih odobritev v splošni proračun za leto 2020, tako v obveznostih kot v plačilih.</w:t>
      </w:r>
    </w:p>
    <w:p>
      <w:pPr>
        <w:pStyle w:val="ManualHeading2"/>
        <w:spacing w:before="240"/>
        <w:ind w:left="851" w:hanging="851"/>
        <w:rPr>
          <w:noProof/>
        </w:rPr>
      </w:pPr>
      <w:r>
        <w:rPr>
          <w:noProof/>
        </w:rPr>
        <w:t>2.1</w:t>
      </w:r>
      <w:r>
        <w:rPr>
          <w:noProof/>
        </w:rPr>
        <w:tab/>
        <w:t>Portugalska – orkan Lorenzo na Azorih oktobra 2019</w:t>
      </w:r>
    </w:p>
    <w:p>
      <w:pPr>
        <w:rPr>
          <w:noProof/>
        </w:rPr>
      </w:pPr>
      <w:r>
        <w:rPr>
          <w:noProof/>
        </w:rPr>
        <w:t>Orkan Lorenzo je bil atlantski tropski ciklon, ki je zabeležen kot najvzhodnejši in najbližji Evropi do zdaj. Konec septembra se je iz tropskega vala razvil orkan kategorije 5. Orkan Lorenzo, ki se je premikal proti severovzhodu, je Azore dosegel 2. oktobra 2019 in povzročil veliko škodo na javnih in zasebnih infrastrukturah ter vplival na vsakdanje življenje ljudi, podjetja in institucije.</w:t>
      </w:r>
    </w:p>
    <w:p>
      <w:pPr>
        <w:pStyle w:val="Point0"/>
        <w:rPr>
          <w:noProof/>
        </w:rPr>
      </w:pPr>
      <w:r>
        <w:t>(1)</w:t>
      </w:r>
      <w:r>
        <w:tab/>
      </w:r>
      <w:r>
        <w:rPr>
          <w:noProof/>
        </w:rPr>
        <w:t>Portugalska je zaprosila za finančno pomoč iz Solidarnostnega sklada EU 8. novembra 2019, tj. v roku 12 tednov od nastanka prve škode, ki je bila zabeležena 2. oktobra 2019. Vloga se nanaša na eno samo regijo na ravni 2 NUTS (tj. avtonomno regijo Azori) in je bila v skladu s členom 2(3) Uredbe predložena na podlagi meril za „regionalno naravno nesrečo“.</w:t>
      </w:r>
    </w:p>
    <w:p>
      <w:pPr>
        <w:pStyle w:val="Point0"/>
        <w:rPr>
          <w:noProof/>
        </w:rPr>
      </w:pPr>
      <w:r>
        <w:t>(2)</w:t>
      </w:r>
      <w:r>
        <w:tab/>
      </w:r>
      <w:r>
        <w:rPr>
          <w:noProof/>
        </w:rPr>
        <w:t>Gre za nesrečo naravnega izvora, ki zato spada na področje uporabe sklada.</w:t>
      </w:r>
    </w:p>
    <w:p>
      <w:pPr>
        <w:pStyle w:val="Point0"/>
        <w:rPr>
          <w:noProof/>
        </w:rPr>
      </w:pPr>
      <w:r>
        <w:t>(3)</w:t>
      </w:r>
      <w:r>
        <w:tab/>
      </w:r>
      <w:r>
        <w:rPr>
          <w:noProof/>
        </w:rPr>
        <w:t>Portugalski organi so skupno neposredno škodo, ki jo je povzročila nesreča, ocenili na 328,5 milijona EUR. Vloga je bila predložena na podlagi meril za „regionalne naravne nesreče“ iz člena 2(3) Uredbe, ki določa „regionalne nesreče“ kot katero koli naravno nesrečo, ki v regiji na ravni 2 NUTS upravičene države povzroči neposredno škodo, višjo od 1,5 % bruto domačega proizvoda (BDP) te regije. Za najbolj oddaljene regije, ki vključujejo Azore, je prag 1 % regionalnega BDP. Zabeležena neposredna škoda predstavlja 8,4 % BDP te regije (3 927 milijonov EUR na podlagi podatkov iz leta 2016) in tako presega prag 1 %. Vloga Portugalske je zato upravičena do prispevka iz Solidarnostnega sklada EU.</w:t>
      </w:r>
    </w:p>
    <w:p>
      <w:pPr>
        <w:pStyle w:val="Point0"/>
        <w:rPr>
          <w:noProof/>
        </w:rPr>
      </w:pPr>
      <w:r>
        <w:t>(4)</w:t>
      </w:r>
      <w:r>
        <w:tab/>
      </w:r>
      <w:r>
        <w:rPr>
          <w:noProof/>
        </w:rPr>
        <w:t>Skupna neposredna škoda je osnova za izračun zneska finančnega prispevka iz sklada. Finančni prispevek se lahko uporabi samo za bistvene nujne ukrepe in ukrepe za okrevanje, kakor so opredeljeni v členu 3 Uredbe.</w:t>
      </w:r>
    </w:p>
    <w:p>
      <w:pPr>
        <w:pStyle w:val="Point0"/>
        <w:rPr>
          <w:noProof/>
        </w:rPr>
      </w:pPr>
      <w:r>
        <w:t>(5)</w:t>
      </w:r>
      <w:r>
        <w:tab/>
      </w:r>
      <w:r>
        <w:rPr>
          <w:noProof/>
        </w:rPr>
        <w:t>Portugalska je v vlogi zaprosila za izplačilo predplačila, kot je določeno v členu 4a Uredbe. Komisija je 11. decembra 2019 sprejela Izvedbeni sklep C(2019) 9067 o izplačilu 10-odstotnega predplačila v višini 821 270 EUR pričakovanega finančnega prispevka iz sklada, ki ga je Portugalski tudi v celoti izplačala.</w:t>
      </w:r>
    </w:p>
    <w:p>
      <w:pPr>
        <w:pStyle w:val="Point0"/>
        <w:rPr>
          <w:noProof/>
        </w:rPr>
      </w:pPr>
      <w:r>
        <w:t>(6)</w:t>
      </w:r>
      <w:r>
        <w:tab/>
      </w:r>
      <w:r>
        <w:rPr>
          <w:noProof/>
        </w:rPr>
        <w:t xml:space="preserve">Portugalski organi so v svoji vlogi opisali naravo in učinek nesreče. Regionalne službe za civilno zaščito in protipožarno varstvo na Azorih so se od 26. septembra pripravljale na prehod orkana. Glavna škoda je bila povzročena na območjih, ki so bila še posebej izpostavljena vetru in valovom, zlasti v pristaniščih. Poleg tega je prišlo do motenj v vodnem, energetskem in komunikacijskem omrežju. Poškodovane so bile ceste, letališča, šole in bolnišnice, pa tudi drugo javno premoženje. </w:t>
      </w:r>
      <w:r>
        <w:rPr>
          <w:noProof/>
        </w:rPr>
        <w:lastRenderedPageBreak/>
        <w:t>Posledično so škodo utrpeli posamezniki, podjetja, ribištvo in kmetijstvo ter turizem. Ker je bila infrastruktura za zaščito obale zelo poškodovana, je bilo prebivalstvo izpostavljeno večjim tveganjem.</w:t>
      </w:r>
    </w:p>
    <w:p>
      <w:pPr>
        <w:pStyle w:val="Point0"/>
        <w:rPr>
          <w:noProof/>
        </w:rPr>
      </w:pPr>
      <w:r>
        <w:t>(7)</w:t>
      </w:r>
      <w:r>
        <w:tab/>
      </w:r>
      <w:r>
        <w:rPr>
          <w:noProof/>
        </w:rPr>
        <w:t>Portugalska je stroške nujnih operacij in operacij za okrevanje, ki so upravičene na podlagi člena 3(2) Uredbe, ocenila na 279,3 milijona EUR ter jih predstavila ločeno po vrsti operacije. Pretežni del upravičenih stroškov (skoraj 270 milijonov EUR) se nanaša na stroške obnove prometne infrastrukture, zlasti pristanišč.</w:t>
      </w:r>
    </w:p>
    <w:p>
      <w:pPr>
        <w:pStyle w:val="Point0"/>
        <w:rPr>
          <w:noProof/>
        </w:rPr>
      </w:pPr>
      <w:r>
        <w:t>(8)</w:t>
      </w:r>
      <w:r>
        <w:tab/>
      </w:r>
      <w:r>
        <w:rPr>
          <w:noProof/>
        </w:rPr>
        <w:t>Portugalski organi so sporočili, da podatki o zavarovalnem kritju za upravičene stroške trenutno niso na voljo.</w:t>
      </w:r>
    </w:p>
    <w:p>
      <w:pPr>
        <w:pStyle w:val="Point0"/>
        <w:rPr>
          <w:noProof/>
        </w:rPr>
      </w:pPr>
      <w:r>
        <w:t>(9)</w:t>
      </w:r>
      <w:r>
        <w:tab/>
      </w:r>
      <w:r>
        <w:rPr>
          <w:noProof/>
        </w:rPr>
        <w:t>Prizadeta regija je v skladu z evropskimi strukturnimi in investicijskimi skladi (v nadaljnjem besedilu: skladi ESI) za obdobje 2014–2020 opredeljena kot „manj razvita regija“. Portugalski organi so Komisiji sporočili, da sredstev iz programov v okviru skladov ESI ne nameravajo prerazporediti v ukrepe za okrevanje.</w:t>
      </w:r>
    </w:p>
    <w:p>
      <w:pPr>
        <w:pStyle w:val="Point0"/>
        <w:rPr>
          <w:noProof/>
        </w:rPr>
      </w:pPr>
      <w:r>
        <w:t>(10)</w:t>
      </w:r>
      <w:r>
        <w:tab/>
      </w:r>
      <w:r>
        <w:rPr>
          <w:noProof/>
        </w:rPr>
        <w:t>Kar zadeva izvajanje zakonodaje Unije o preprečevanju in upravljanju tveganj nesreč, trenutno ne poteka noben postopek za ugotavljanje kršitev. Portugalska v vlogi na kratko opisuje, da Priporočilo 2002/413/ES Evropskega parlamenta in Sveta o določitvi splošnih načel in možnosti za celovito strategijo za upravljanje obalnih območij v Evropi služi kot vodilo pri upravljanju obalnih območij in opredelitvi ukrepov obalne zaščite na Azorih. Pripravljajo se ukrepi za izvajanje Direktive 2007/60/ES o oceni in obvladovanju poplavne ogroženosti.</w:t>
      </w:r>
    </w:p>
    <w:p>
      <w:pPr>
        <w:pStyle w:val="ManualHeading2"/>
        <w:spacing w:before="240"/>
        <w:ind w:left="851" w:hanging="851"/>
        <w:rPr>
          <w:noProof/>
        </w:rPr>
      </w:pPr>
      <w:r>
        <w:rPr>
          <w:noProof/>
        </w:rPr>
        <w:t>2.2</w:t>
      </w:r>
      <w:r>
        <w:rPr>
          <w:noProof/>
        </w:rPr>
        <w:tab/>
        <w:t>Španija – poplave v regijah Valencija, Murcija, Kastilja-Manča in Andaluzija septembra 2019</w:t>
      </w:r>
    </w:p>
    <w:p>
      <w:pPr>
        <w:rPr>
          <w:noProof/>
        </w:rPr>
      </w:pPr>
      <w:r>
        <w:rPr>
          <w:noProof/>
        </w:rPr>
        <w:t>Od 9. septembra 2019 je redek meteorološki pojav, ki je opisan kot „osamljeno območje nizkega zračnega pritiska na visoki višini“ (v nadaljnjem besedilu: neurje DANA), pustošil po jugovzhodu Iberskega polotoka. Pojav, za katerega so značilne ekstremne padavine, ki so povzročile poplave, je vrhunec dosegel med 12. in 16. septembrom, in zelo resno prizadel velika območja v regijah Valencija, Murcija, Kastilja-Manča in Andaluzija.</w:t>
      </w:r>
    </w:p>
    <w:p>
      <w:pPr>
        <w:pStyle w:val="Point0"/>
        <w:rPr>
          <w:noProof/>
        </w:rPr>
      </w:pPr>
      <w:r>
        <w:t>(1)</w:t>
      </w:r>
      <w:r>
        <w:tab/>
      </w:r>
      <w:r>
        <w:rPr>
          <w:noProof/>
        </w:rPr>
        <w:t xml:space="preserve">Španija je zaprosila za finančno pomoč iz Solidarnostnega sklada EU 28. novembra 2019, tj. v roku 12 tednov od nastanka prve škode, ki je bila zabeležena 9. septembra 2019. Vloga se nanaša na štiri regije na ravni 2 NUTS v Španiji (tj.Valencijsko skupnost, Murcijsko regijo, Kastiljo-Mančo in Andaluzijo) in je bila predložena kot „regionalna naravna nesreča“ v skladu s členom 2(3) Uredbe. Na zahtevo Komisije so bile dodatne informacije za dopolnitev vloge predložene 18. decembra 2019 in 29. januarja 2020. </w:t>
      </w:r>
    </w:p>
    <w:p>
      <w:pPr>
        <w:pStyle w:val="Point0"/>
        <w:rPr>
          <w:noProof/>
        </w:rPr>
      </w:pPr>
      <w:r>
        <w:t>(2)</w:t>
      </w:r>
      <w:r>
        <w:tab/>
      </w:r>
      <w:r>
        <w:rPr>
          <w:noProof/>
        </w:rPr>
        <w:t>Gre za nesrečo naravnega izvora, ki zato spada na področje uporabe Solidarnostnega sklada EU.</w:t>
      </w:r>
    </w:p>
    <w:p>
      <w:pPr>
        <w:pStyle w:val="Point0"/>
        <w:rPr>
          <w:noProof/>
        </w:rPr>
      </w:pPr>
      <w:r>
        <w:t>(3)</w:t>
      </w:r>
      <w:r>
        <w:tab/>
      </w:r>
      <w:r>
        <w:rPr>
          <w:noProof/>
        </w:rPr>
        <w:t>Španski organi so skupno neposredno škodo, ki jo je povzročila nesreča, ocenili na 2 269,7 milijona EUR. Vloga je bila predložena na podlagi meril za „regionalne naravne nesreče“ iz člena 2(3) Uredbe, ki določa „regionalne naravne nesreče“ kot katero koli naravno nesrečo, ki v regiji na ravni 2 NUTS upravičene države povzroči neposredno škodo, višjo od 1,5 % BDP te regije. Ker nesreča zadeva več regij, se uporablja povprečni BDP, ponderiran glede na delež škode v vsaki regiji. Znesek škode, ki ga je sporočila Španija, torej predstavlja 2,65 % ponderiranega regionalnega BDP.</w:t>
      </w:r>
    </w:p>
    <w:p>
      <w:pPr>
        <w:pStyle w:val="Point0"/>
        <w:rPr>
          <w:noProof/>
        </w:rPr>
      </w:pPr>
      <w:r>
        <w:lastRenderedPageBreak/>
        <w:t>(4)</w:t>
      </w:r>
      <w:r>
        <w:tab/>
      </w:r>
      <w:r>
        <w:rPr>
          <w:noProof/>
        </w:rPr>
        <w:t>Skupna neposredna škoda je osnova za izračun zneska finančnega prispevka iz sklada. Finančni prispevek se lahko uporabi samo za bistvene nujne ukrepe in ukrepe za okrevanje, kakor so opredeljeni v členu 3 Uredbe.</w:t>
      </w:r>
    </w:p>
    <w:p>
      <w:pPr>
        <w:pStyle w:val="Point0"/>
        <w:rPr>
          <w:noProof/>
        </w:rPr>
      </w:pPr>
      <w:r>
        <w:t>(5)</w:t>
      </w:r>
      <w:r>
        <w:tab/>
      </w:r>
      <w:r>
        <w:rPr>
          <w:noProof/>
        </w:rPr>
        <w:t>Španija je v vlogi zaprosila za izplačilo predplačila, kot je določeno v členu 4a Uredbe. Komisija je 13. februarja 2020 sprejela Izvedbeni sklep C(2020) 905 o izplačilu 10-odstotnega predplačila v višini 5 674 336 EUR pričakovanega finančnega prispevka iz sklada, ki ga je Španiji tudi v celoti izplačala.</w:t>
      </w:r>
    </w:p>
    <w:p>
      <w:pPr>
        <w:pStyle w:val="Point0"/>
        <w:rPr>
          <w:noProof/>
        </w:rPr>
      </w:pPr>
      <w:r>
        <w:t>(6)</w:t>
      </w:r>
      <w:r>
        <w:tab/>
      </w:r>
      <w:r>
        <w:rPr>
          <w:noProof/>
        </w:rPr>
        <w:t>Španski organi so v svoji vlogi opisali naravo in učinek nesreče. Zabeležene ekstremne padavine so bile največje v zadnjih 140 letih in so povzročile hude poplave, zaradi katerih je umrlo 8 ljudi. Evakuirati je bilo treba na tisoče ljudi in jih namestiti v začasna bivališča. Neurje Dana je močno vplivalo na življenjske razmere prebivalstva na prizadetih območjih ter povzročilo znatno zasebno in javno fizično škodo. Poškodovane so bile ceste, železniška in letališka infrastruktura, storitve pa je bilo treba začasno ustaviti. Erozija je povzročila škodo na vodnih omrežjih in zaščitni infrastrukturi ter okoljsko škodo. Prav tako so bile erodirane plaže, obalna infrastruktura pa poškodovana.</w:t>
      </w:r>
    </w:p>
    <w:p>
      <w:pPr>
        <w:pStyle w:val="Point0"/>
        <w:rPr>
          <w:noProof/>
        </w:rPr>
      </w:pPr>
      <w:r>
        <w:t>(7)</w:t>
      </w:r>
      <w:r>
        <w:tab/>
      </w:r>
      <w:r>
        <w:rPr>
          <w:noProof/>
        </w:rPr>
        <w:t>Španija je stroške nujnih operacij in operacij za okrevanje, ki so upravičene na podlagi člena 3(2) Uredbe, ocenila na 650,6 milijona EUR ter jih predstavila ločeno po vrsti operacije. Največji delež upravičenih stroškov (več kot 385 milijonov EUR) se nanaša na stroške čiščenja. Drugi največji delež se nanaša na stroške za popravilo infrastrukture v višini 247 milijonov EUR.</w:t>
      </w:r>
    </w:p>
    <w:p>
      <w:pPr>
        <w:pStyle w:val="Point0"/>
        <w:rPr>
          <w:noProof/>
        </w:rPr>
      </w:pPr>
      <w:r>
        <w:t>(8)</w:t>
      </w:r>
      <w:r>
        <w:tab/>
      </w:r>
      <w:r>
        <w:rPr>
          <w:noProof/>
        </w:rPr>
        <w:t>V okviru programa Copernicus so bile na zahtevo Španije zagotovljene satelitske slike v podporo odzivnim ukrepom.</w:t>
      </w:r>
    </w:p>
    <w:p>
      <w:pPr>
        <w:pStyle w:val="Point0"/>
        <w:rPr>
          <w:noProof/>
        </w:rPr>
      </w:pPr>
      <w:r>
        <w:t>(9)</w:t>
      </w:r>
      <w:r>
        <w:tab/>
      </w:r>
      <w:r>
        <w:rPr>
          <w:noProof/>
        </w:rPr>
        <w:t>Španski organi so navedli, da za upravičene stroške ni zavarovalnega kritja.</w:t>
      </w:r>
    </w:p>
    <w:p>
      <w:pPr>
        <w:pStyle w:val="Point0"/>
        <w:rPr>
          <w:noProof/>
        </w:rPr>
      </w:pPr>
      <w:r>
        <w:t>(10)</w:t>
      </w:r>
      <w:r>
        <w:tab/>
      </w:r>
      <w:r>
        <w:rPr>
          <w:noProof/>
        </w:rPr>
        <w:t>Valencijska skupnost spada med „bolj razvite regije“ v okviru skladov ESI za obdobje 2014–2020, druge tri regije pa so tako imenovane „regije v prehodu“. Španski organi so Komisiji sporočili, da sredstev iz programov v okviru skladov ESI ne nameravajo prerazporediti v ukrepe za okrevanje.</w:t>
      </w:r>
    </w:p>
    <w:p>
      <w:pPr>
        <w:pStyle w:val="Point0"/>
        <w:rPr>
          <w:noProof/>
        </w:rPr>
      </w:pPr>
      <w:r>
        <w:t>(11)</w:t>
      </w:r>
      <w:r>
        <w:tab/>
      </w:r>
      <w:r>
        <w:rPr>
          <w:noProof/>
        </w:rPr>
        <w:t>Španija je v zvezi z izvajanjem zakonodaje Unije o preprečevanju in obvladovanju tveganja nesreč sporočila, da je direktivo EU o poplavah prenesla v špansko zakonodajo in pravkar zaključila prvo fazo z oceno tveganja in izdelavo prikazov tveganja. Rezultati so bili pregledani v drugi fazi. Rezultat tega pregleda je odobril nacionalni svet za civilno zaščito. Novi načrti bodo pripravljeni do decembra 2022. Poleg tega so bili pripravljeni načrti civilne zaščite za poplavno nevarnost, tako na državni ravni kot na ravni avtonomnih skupnostih.</w:t>
      </w:r>
    </w:p>
    <w:p>
      <w:pPr>
        <w:pStyle w:val="ManualHeading2"/>
        <w:spacing w:before="240"/>
        <w:ind w:left="851" w:hanging="851"/>
        <w:rPr>
          <w:noProof/>
        </w:rPr>
      </w:pPr>
      <w:r>
        <w:rPr>
          <w:noProof/>
        </w:rPr>
        <w:t>2.3</w:t>
      </w:r>
      <w:r>
        <w:rPr>
          <w:noProof/>
        </w:rPr>
        <w:tab/>
        <w:t>Italija – ekstremni vremenski dogodki jeseni 2019</w:t>
      </w:r>
    </w:p>
    <w:p>
      <w:pPr>
        <w:rPr>
          <w:noProof/>
          <w:szCs w:val="24"/>
        </w:rPr>
      </w:pPr>
      <w:r>
        <w:rPr>
          <w:noProof/>
        </w:rPr>
        <w:t>Konec oktobra in novembra 2019 je vrsta povezanih ekstremnih vremenskih pojavov prizadela večino italijanskega ozemlja od severa do juga in povzročila veliko škodo zaradi poplav in zemeljskih plazov ter dosegla vrhunec s poplavami v Benetkah.</w:t>
      </w:r>
    </w:p>
    <w:p>
      <w:pPr>
        <w:pStyle w:val="Text1"/>
        <w:ind w:left="851" w:hanging="851"/>
        <w:rPr>
          <w:noProof/>
        </w:rPr>
      </w:pPr>
      <w:r>
        <w:rPr>
          <w:noProof/>
        </w:rPr>
        <w:t>(1)</w:t>
      </w:r>
      <w:r>
        <w:rPr>
          <w:noProof/>
        </w:rPr>
        <w:tab/>
        <w:t xml:space="preserve">Italija je zaprosila za prispevek iz Solidarnostnega sklada EU 10. januarja 2020, tj. v roku 12 tednov od nastanka prve škode, ki je bila zabeležena 20. oktobra 2020. </w:t>
      </w:r>
    </w:p>
    <w:p>
      <w:pPr>
        <w:pStyle w:val="Text1"/>
        <w:ind w:left="851" w:hanging="851"/>
        <w:rPr>
          <w:noProof/>
        </w:rPr>
      </w:pPr>
      <w:r>
        <w:rPr>
          <w:noProof/>
        </w:rPr>
        <w:t>(2)</w:t>
      </w:r>
      <w:r>
        <w:rPr>
          <w:noProof/>
        </w:rPr>
        <w:tab/>
        <w:t>Gre za nesrečo naravnega izvora, ki spada na področje uporabe Solidarnostnega sklada EU.</w:t>
      </w:r>
    </w:p>
    <w:p>
      <w:pPr>
        <w:pStyle w:val="Text1"/>
        <w:ind w:left="851" w:hanging="851"/>
        <w:rPr>
          <w:noProof/>
        </w:rPr>
      </w:pPr>
      <w:r>
        <w:rPr>
          <w:noProof/>
        </w:rPr>
        <w:t>(3)</w:t>
      </w:r>
      <w:r>
        <w:rPr>
          <w:noProof/>
        </w:rPr>
        <w:tab/>
        <w:t xml:space="preserve">Vloga je bila predložena na podlagi meril za „večjo naravno nesrečo“ v skladu s členom 2(2) Uredbe. Italijanski organi so skupno neposredno škodo, ki jo je </w:t>
      </w:r>
      <w:r>
        <w:rPr>
          <w:noProof/>
        </w:rPr>
        <w:lastRenderedPageBreak/>
        <w:t>povzročila nesreča, ocenili na 5 619,878 milijona EUR (posodobljeni znesek). Ta znesek predstavlja več kot 157 % praga, ki se uporablja za Italijo za uporabo sredstev Solidarnostnega sklada EU (škoda nad 3 milijarde EUR v cenah iz leta 2011). Vloga Italije je zato upravičena do prispevka iz Solidarnostnega sklada EU.</w:t>
      </w:r>
    </w:p>
    <w:p>
      <w:pPr>
        <w:pStyle w:val="Text1"/>
        <w:ind w:left="851" w:hanging="851"/>
        <w:rPr>
          <w:noProof/>
        </w:rPr>
      </w:pPr>
      <w:r>
        <w:rPr>
          <w:noProof/>
        </w:rPr>
        <w:t>(4)</w:t>
      </w:r>
      <w:r>
        <w:rPr>
          <w:noProof/>
        </w:rPr>
        <w:tab/>
        <w:t>Italija ni zaprosila za izplačilo predplačila.</w:t>
      </w:r>
    </w:p>
    <w:p>
      <w:pPr>
        <w:pStyle w:val="Text1"/>
        <w:ind w:left="851" w:hanging="851"/>
        <w:rPr>
          <w:noProof/>
        </w:rPr>
      </w:pPr>
      <w:r>
        <w:rPr>
          <w:noProof/>
        </w:rPr>
        <w:t>(5)</w:t>
      </w:r>
      <w:r>
        <w:rPr>
          <w:noProof/>
        </w:rPr>
        <w:tab/>
        <w:t xml:space="preserve">Italijanski organi so v vlogi podrobno opisali naravo in obseg razdejanja, ki so ga povzročili ekstremni vremenski dogodki. Nesreča je italijansko ozemlje prizadela z različno intenzivnostjo in različno vplivala na prebivalstvo, gospodarstvo in okolje, glede na območje. Škodo je utrpelo vseh 17 regij, najbolj prizadete pa so bile Benečija, Piemont, Ligurija, Sicilija in Emilija - Romanja. Samo Benečija, zlasti hude poplave v Benetkah, je predstavljala skoraj tretjino (1,8 milijarde EUR) celotne škode. Abruci, Bazilikata, Kalabrija, Kampanija, Furlanija - Julijska krajina, Lacij, Apulija, Toskana in avtonomna pokrajina Bolzano so utrpele manjšo škodo. Najmanj prizadeti so bili Marke, Dolina Aoste in avtonomna pokrajina Trentinsko - Zgornje Poadižje. </w:t>
      </w:r>
    </w:p>
    <w:p>
      <w:pPr>
        <w:pStyle w:val="Text1"/>
        <w:rPr>
          <w:noProof/>
        </w:rPr>
      </w:pPr>
      <w:r>
        <w:rPr>
          <w:noProof/>
        </w:rPr>
        <w:t>Nesreča je povzročila zlasti večje motnje v cestnem omrežju na državni, regionalni, pokrajinski in občinski ravni zaradi zemeljskih plazov in podrtih dreves, ki so onemogočili dostop do več odročnih gorskih in obalnih občin. V večini regij je prišlo do motenj v rečnih omrežjih, pobočnih premikov, zemeljskih plazov in poplav. Delovanje šol in drugih javnih služb je bilo prekinjeno. Sunki vetra do 200 km/h so povzročili velike izgube v gozdovih (približno 8,5 milijona kubičnih metrov lesa), kar je imelo resne posledice za lesno gospodarstvo in turizem. V Benečiji je škoda prizadela približno 130 zaščitenih območij Natura 2 000 na več kot 414 000 hektarih. Skoraj vse regije so poročale o poplavah v javnih in zasebnih stavbah. Do velikih izgub je prišlo v kmetijstvu, in sicer zaradi neposredne škode na kmetijskih strukturah (rastlinjaki, stroji). Čistilne naprave kanalizacijskih sistemov so bile blokirane. Električna in plinska omrežja so bila prekinjena.</w:t>
      </w:r>
    </w:p>
    <w:p>
      <w:pPr>
        <w:pStyle w:val="Text1"/>
        <w:rPr>
          <w:noProof/>
        </w:rPr>
      </w:pPr>
      <w:r>
        <w:rPr>
          <w:noProof/>
        </w:rPr>
        <w:t>Poplave v Benečiji so povzročile ogromno škodo na javni in zasebni lastnini, komercialnim in gospodarskim industrijskim dejavnostim ter terciarnim storitvam. Plima, ki je dosegla več kot 187 cm nad morsko gladino, je poplavila več kot 85 % mesta Benetk. Valovi, ki so nastali pri tej izjemno visoki plimi (</w:t>
      </w:r>
      <w:r>
        <w:rPr>
          <w:i/>
          <w:iCs/>
          <w:noProof/>
        </w:rPr>
        <w:t>aqua alta</w:t>
      </w:r>
      <w:r>
        <w:rPr>
          <w:noProof/>
        </w:rPr>
        <w:t>), so povzročili znatno škodo na umetniški in kulturni dediščini zgodovinskega središča Benetk ter na številnem premoženju na glavnih otokih Beneške lagune, vključno z artefakti, ter znatno škodo na znamenitih papirnatih dokumentih, kot so knjige, rokopisi in arhivi. Poplave v približno 75 zgodovinskih cerkvah so povzročile strukturno škodo ter poškodovale notranjo opremo in obsežno arhivsko dediščino. Poleg tega je sistem vodnega prometa Benetk utrpel škodo na številnih pristajalnih strukturah, trajektih in hitrih čolnih. Poškodovana je bila tudi električna in elektronska oprema.</w:t>
      </w:r>
    </w:p>
    <w:p>
      <w:pPr>
        <w:pStyle w:val="Text1"/>
        <w:rPr>
          <w:noProof/>
        </w:rPr>
      </w:pPr>
      <w:r>
        <w:rPr>
          <w:noProof/>
        </w:rPr>
        <w:t xml:space="preserve">V Piemontu je nesreča prizadela več kot 800 občin. V Liguriji je nesreča povzročila poplave, pogrezanje tal in zemeljske plazove, ki so poškodovali zlasti cestni sistem. Na Siciliji je nesreča privedla do resnih posledic za ponudbo storitev in gospodarskih izgub, ki so nastale zaradi prekinitve kmetijstva in proizvodnje. V regiji Emilija - Romanja so poplave rečnega omrežja privedle do erozije bregov, poplav in preplavljanja jarkov in kanalov, kar je povzročilo škodo na stanovanjskih območjih, industrijskih objektih, zaščiti rečnih bregov in hidravličnih napravah. Neurja so povzročila tudi veliko škodo na zaščitnih objektih na obali, in sicer skoraj popolno </w:t>
      </w:r>
      <w:r>
        <w:rPr>
          <w:noProof/>
        </w:rPr>
        <w:lastRenderedPageBreak/>
        <w:t>uničenje umetne sipine, ki varuje obalo. Na hribovitih in gorskih območjih je prišlo do erozij zemljišč in zemeljskih plazov, kar je močno vplivalo na cestno omrežje.</w:t>
      </w:r>
    </w:p>
    <w:p>
      <w:pPr>
        <w:pStyle w:val="Text1"/>
        <w:ind w:left="851" w:hanging="851"/>
        <w:rPr>
          <w:noProof/>
        </w:rPr>
      </w:pPr>
      <w:r>
        <w:rPr>
          <w:noProof/>
        </w:rPr>
        <w:t>(6)</w:t>
      </w:r>
      <w:r>
        <w:rPr>
          <w:noProof/>
        </w:rPr>
        <w:tab/>
        <w:t>Analiza Komisije kaže, da je mogoče vremenske dogodke v obdobju, na katerega se nanaša vloga, obravnavati kot enoten dogodek z meteorološkega in hidrološkega vidika. Poleg tega se zdi geografski obseg in obseg škode, o katerih poročajo italijanski organi, verjeten.</w:t>
      </w:r>
    </w:p>
    <w:p>
      <w:pPr>
        <w:pStyle w:val="Text1"/>
        <w:ind w:left="851" w:hanging="851"/>
        <w:rPr>
          <w:noProof/>
        </w:rPr>
      </w:pPr>
      <w:r>
        <w:rPr>
          <w:noProof/>
        </w:rPr>
        <w:t>(7)</w:t>
      </w:r>
      <w:r>
        <w:rPr>
          <w:noProof/>
        </w:rPr>
        <w:tab/>
        <w:t>Italija je stroške nujnih operacij in operacij za okrevanje, ki so upravičene na podlagi člena 3(2) Uredbe, ocenila na več kot 1 110,1 milijona EUR ter jih predstavila ločeno po vrsti operacij. Največji delež upravičenih stroškov (več kot 479 milijonov EUR) se nanaša na odhodke za obnovo zaščitne infrastrukture in varstvo kulturne dediščine. Drugi največji delež se nanaša na stroške za obnovo osnovne infrastrukture (465 milijonov EUR).</w:t>
      </w:r>
    </w:p>
    <w:p>
      <w:pPr>
        <w:pStyle w:val="Text1"/>
        <w:ind w:left="851" w:hanging="851"/>
        <w:rPr>
          <w:noProof/>
        </w:rPr>
      </w:pPr>
      <w:r>
        <w:rPr>
          <w:noProof/>
        </w:rPr>
        <w:t>(8)</w:t>
      </w:r>
      <w:r>
        <w:rPr>
          <w:noProof/>
        </w:rPr>
        <w:tab/>
        <w:t>Italijanski organi so potrdili, da za upravičene stroške ni zavarovalnega kritja.</w:t>
      </w:r>
    </w:p>
    <w:p>
      <w:pPr>
        <w:pStyle w:val="Text1"/>
        <w:ind w:left="851" w:hanging="851"/>
        <w:rPr>
          <w:noProof/>
        </w:rPr>
      </w:pPr>
      <w:r>
        <w:rPr>
          <w:noProof/>
        </w:rPr>
        <w:t>(9)</w:t>
      </w:r>
      <w:r>
        <w:rPr>
          <w:noProof/>
        </w:rPr>
        <w:tab/>
        <w:t>Pet od vseh 17 prizadetih regij spada med „manj razvite regije“ v okviru skladov ESI za obdobje 2014–2020 (Bazilikata, Kalabrija, Kampanija, Apulija in Sicilija), Abruci spadajo med „regije v prehodu“, medtem ko preostale regije spadajo med „bolj razvite regije“. Italijanski organi Komisiji niso sporočili, ali nameravajo prerazporediti sredstva iz programov skladov ESI v ukrepe za okrevanje.</w:t>
      </w:r>
    </w:p>
    <w:p>
      <w:pPr>
        <w:pStyle w:val="Text1"/>
        <w:ind w:left="851" w:hanging="851"/>
        <w:rPr>
          <w:noProof/>
        </w:rPr>
      </w:pPr>
      <w:r>
        <w:rPr>
          <w:noProof/>
        </w:rPr>
        <w:t>(10)</w:t>
      </w:r>
      <w:r>
        <w:rPr>
          <w:noProof/>
        </w:rPr>
        <w:tab/>
        <w:t>Italija ni zaprosila za aktivacijo mehanizma Unije na področju civilne zaščite. Vendar je Centru za usklajevanje nujnega odziva (ERCC) prek skupnega komunikacijskega in informacijskega sistema za primer nesreč (CECIS) poslala informativno gradivo.</w:t>
      </w:r>
    </w:p>
    <w:p>
      <w:pPr>
        <w:pStyle w:val="Text1"/>
        <w:ind w:left="851" w:hanging="851"/>
        <w:rPr>
          <w:noProof/>
        </w:rPr>
      </w:pPr>
      <w:r>
        <w:rPr>
          <w:noProof/>
        </w:rPr>
        <w:t>(11)</w:t>
      </w:r>
      <w:r>
        <w:rPr>
          <w:noProof/>
        </w:rPr>
        <w:tab/>
        <w:t>Kar zadeva izvajanje zakonodaje Unije o preprečevanju in upravljanju tveganj nesreč, trenutno ne poteka noben postopek za ugotavljanje kršitev.</w:t>
      </w:r>
    </w:p>
    <w:p>
      <w:pPr>
        <w:pStyle w:val="ManualHeading2"/>
        <w:spacing w:before="240"/>
        <w:ind w:left="851" w:hanging="851"/>
        <w:rPr>
          <w:noProof/>
        </w:rPr>
      </w:pPr>
      <w:r>
        <w:rPr>
          <w:noProof/>
        </w:rPr>
        <w:t>2.4</w:t>
      </w:r>
      <w:r>
        <w:rPr>
          <w:noProof/>
        </w:rPr>
        <w:tab/>
        <w:t>Avstrija – ekstremni vremenski dogodki novembra 2019</w:t>
      </w:r>
    </w:p>
    <w:p>
      <w:pPr>
        <w:rPr>
          <w:noProof/>
        </w:rPr>
      </w:pPr>
      <w:r>
        <w:rPr>
          <w:noProof/>
        </w:rPr>
        <w:t>Jugozahodni del Avstrije so med 11. in 23. novembrom 2019 prizadele hude poplave, zlasti na Koroškem in vzhodnem Tirolskem. Dogodki so bili posledica istih meteoroloških razmer, ki so privedle do večje nesreče v Italiji. Ekstremne vremenske razmere so povzročile veliko škodo na osnovni javni infrastrukturi, zasebnih hišah, podjetjih in gozdovih. Dogodki so bili zelo podobni tistim izpred enega leta, čeprav so povzročili manj škode.</w:t>
      </w:r>
    </w:p>
    <w:p>
      <w:pPr>
        <w:pStyle w:val="ManualHeading2"/>
        <w:ind w:left="851" w:hanging="851"/>
        <w:rPr>
          <w:b w:val="0"/>
          <w:noProof/>
        </w:rPr>
      </w:pPr>
      <w:r>
        <w:rPr>
          <w:b w:val="0"/>
          <w:noProof/>
        </w:rPr>
        <w:t>(1)</w:t>
      </w:r>
      <w:r>
        <w:rPr>
          <w:b w:val="0"/>
          <w:noProof/>
        </w:rPr>
        <w:tab/>
        <w:t>Avstrija je zaprosila za prispevek iz Solidarnostnega sklada EU 29. januarja 2020, tj. v roku 12 tednov od nastanka prve škode, ki je bila zabeležena 11. novembra 2019. Avstrija je 9. marca 2020 na lastno pobudo predložila posodobljene informacije z nekoliko višjimi ocenami škode za prizadeti regiji.</w:t>
      </w:r>
    </w:p>
    <w:p>
      <w:pPr>
        <w:pStyle w:val="ManualHeading2"/>
        <w:ind w:left="851" w:hanging="851"/>
        <w:rPr>
          <w:b w:val="0"/>
          <w:noProof/>
        </w:rPr>
      </w:pPr>
      <w:r>
        <w:rPr>
          <w:b w:val="0"/>
          <w:noProof/>
        </w:rPr>
        <w:t>(2)</w:t>
      </w:r>
      <w:r>
        <w:rPr>
          <w:b w:val="0"/>
          <w:noProof/>
        </w:rPr>
        <w:tab/>
        <w:t>Gre za nesrečo naravnega izvora, ki spada na področje uporabe sklada.</w:t>
      </w:r>
    </w:p>
    <w:p>
      <w:pPr>
        <w:pStyle w:val="ManualHeading2"/>
        <w:ind w:left="851" w:hanging="851"/>
        <w:rPr>
          <w:b w:val="0"/>
          <w:noProof/>
        </w:rPr>
      </w:pPr>
      <w:r>
        <w:rPr>
          <w:b w:val="0"/>
          <w:noProof/>
        </w:rPr>
        <w:t>(3)</w:t>
      </w:r>
      <w:r>
        <w:rPr>
          <w:b w:val="0"/>
          <w:noProof/>
        </w:rPr>
        <w:tab/>
        <w:t xml:space="preserve">Avstrijski organi so skupno neposredno škodo, ki jo je povzročila nesreča, ocenili na 93,2 milijona EUR. Ta znesek je občutno nižji od praga za večje nesreče, ki je za Avstrijo leta 2020 znašal 2 307,9 milijona EUR (tj. 0,6 %  BNP Avstrije). Prav tako je pod pragom za t. i. regionalno nesrečo, ki je 1,5 % regionalnega BDP, tehtanega glede na delež škode v prizadetih regijah. Zato nesreča ne izpolnjuje meril za „večjo naravno nesrečo“ niti za „regionalno naravno nesrečo“ v skladu z Uredbo. Ker pa je nesreča nastala zaradi istih meteoroloških pogojev, ki so povzročili večjo nesrečo v Italiji, so avstrijski organi vlogo vložili na podlagi t. i. določbe o „sosednji upravičeni državi“ iz člena 2(4) Uredbe, v skladu s katero lahko upravičena država, ki jo </w:t>
      </w:r>
      <w:r>
        <w:rPr>
          <w:b w:val="0"/>
          <w:noProof/>
        </w:rPr>
        <w:lastRenderedPageBreak/>
        <w:t>prizadene ista nesreča, opredeljena kot večja nesreča v sosednji upravičeni državi, prav tako pridobi pomoč iz Solidarnostnega sklada EU. Ta pogoj je izpolnjen.</w:t>
      </w:r>
    </w:p>
    <w:p>
      <w:pPr>
        <w:pStyle w:val="ManualHeading2"/>
        <w:ind w:left="851" w:hanging="851"/>
        <w:rPr>
          <w:b w:val="0"/>
          <w:noProof/>
        </w:rPr>
      </w:pPr>
      <w:r>
        <w:rPr>
          <w:b w:val="0"/>
          <w:noProof/>
        </w:rPr>
        <w:t>(4)</w:t>
      </w:r>
      <w:r>
        <w:rPr>
          <w:b w:val="0"/>
          <w:noProof/>
        </w:rPr>
        <w:tab/>
        <w:t xml:space="preserve">Avstrijski organi niso zaprosili za predplačilo. </w:t>
      </w:r>
    </w:p>
    <w:p>
      <w:pPr>
        <w:pStyle w:val="ManualHeading2"/>
        <w:ind w:left="851" w:hanging="851"/>
        <w:rPr>
          <w:b w:val="0"/>
          <w:noProof/>
        </w:rPr>
      </w:pPr>
      <w:r>
        <w:rPr>
          <w:b w:val="0"/>
          <w:noProof/>
        </w:rPr>
        <w:t>(5)</w:t>
      </w:r>
      <w:r>
        <w:rPr>
          <w:b w:val="0"/>
          <w:noProof/>
        </w:rPr>
        <w:tab/>
        <w:t>Avstrijski organi so predložili podroben opis posledic nesreče. Daleč največja škoda je nastala v najjužnejši avstrijski zvezni deželi Koroški in v sosednji pokrajini Vzhodni Tirolski, ki sta obe alpski regiji, ki mejita na Italijo. Dežela Salzburg in dežela Štajerska sta utrpeli manjšo škodo. Močno deževje je privedlo do preplavljanja številnih vodotokov, kar je zlasti povzročilo škodo na prometni infrastrukturi, in zaprtja cest. Več mostov je bilo močno poškodovanih. Neobičajne snežne padavine in snežni plazovi so prispevali k težavam in povzročili škodo v gozdarstvu. Prekinjene so bile železniške povezave, poplavljeni so bili domovi in javne zgradbe, dostop do nekaterih naselij je bil začasno onemogočen in oskrba z električno energijo je bila prekinjena.</w:t>
      </w:r>
    </w:p>
    <w:p>
      <w:pPr>
        <w:pStyle w:val="ManualHeading2"/>
        <w:ind w:left="851" w:hanging="851"/>
        <w:rPr>
          <w:b w:val="0"/>
          <w:noProof/>
        </w:rPr>
      </w:pPr>
      <w:r>
        <w:rPr>
          <w:b w:val="0"/>
          <w:noProof/>
        </w:rPr>
        <w:t>(6)</w:t>
      </w:r>
      <w:r>
        <w:rPr>
          <w:b w:val="0"/>
          <w:noProof/>
        </w:rPr>
        <w:tab/>
        <w:t xml:space="preserve">Avstrija je stroške nujnih operacij in operacij za okrevanje, ki so upravičene na podlagi člena 3(2) Uredbe, ocenila na 61,3 milijona EUR ter jih predstavila ločeno po vrsti operacije. Največji delež (več kot 40 milijonov EUR) upravičenih stroškov se nanaša na stroške za popravilo škode na prometnem omrežju. Ukrepi za preprečevanje erozije tal predstavljajo približno 13 milijonov EUR. </w:t>
      </w:r>
    </w:p>
    <w:p>
      <w:pPr>
        <w:pStyle w:val="ManualHeading2"/>
        <w:ind w:left="851" w:hanging="851"/>
        <w:rPr>
          <w:b w:val="0"/>
          <w:noProof/>
        </w:rPr>
      </w:pPr>
      <w:r>
        <w:rPr>
          <w:b w:val="0"/>
          <w:noProof/>
        </w:rPr>
        <w:t>(7)</w:t>
      </w:r>
      <w:r>
        <w:rPr>
          <w:b w:val="0"/>
          <w:noProof/>
        </w:rPr>
        <w:tab/>
        <w:t>Avstrijski organi so potrdili, da za upravičene stroške ni zavarovalnega kritja.</w:t>
      </w:r>
    </w:p>
    <w:p>
      <w:pPr>
        <w:pStyle w:val="ManualHeading2"/>
        <w:ind w:left="851" w:hanging="851"/>
        <w:rPr>
          <w:b w:val="0"/>
          <w:noProof/>
        </w:rPr>
      </w:pPr>
      <w:r>
        <w:rPr>
          <w:b w:val="0"/>
          <w:noProof/>
        </w:rPr>
        <w:t>(8)</w:t>
      </w:r>
      <w:r>
        <w:rPr>
          <w:b w:val="0"/>
          <w:noProof/>
        </w:rPr>
        <w:tab/>
        <w:t>Prizadete regije v okviru skladov ESI za obdobje 2014–2020 spadajo med „bolj razvite regije“. Avstrijski organi so v vlogi navedli, da nameravajo uporabiti denarna sredstva iz avstrijskega programa za razvoj podeželja, ki se financira iz Evropskega kmetijskega sklada za razvoj podeželja za obnovo varovalnih gozdov.</w:t>
      </w:r>
    </w:p>
    <w:p>
      <w:pPr>
        <w:pStyle w:val="ManualHeading2"/>
        <w:ind w:left="851" w:hanging="851"/>
        <w:rPr>
          <w:b w:val="0"/>
          <w:noProof/>
        </w:rPr>
      </w:pPr>
      <w:r>
        <w:rPr>
          <w:b w:val="0"/>
          <w:noProof/>
        </w:rPr>
        <w:t>(9)</w:t>
      </w:r>
      <w:r>
        <w:rPr>
          <w:b w:val="0"/>
          <w:noProof/>
        </w:rPr>
        <w:tab/>
        <w:t>Avstrija ni zaprosila za aktivacijo mehanizma Unije na področju civilne zaščite.</w:t>
      </w:r>
    </w:p>
    <w:p>
      <w:pPr>
        <w:pStyle w:val="ManualHeading2"/>
        <w:ind w:left="851" w:hanging="851"/>
        <w:rPr>
          <w:b w:val="0"/>
          <w:noProof/>
        </w:rPr>
      </w:pPr>
      <w:r>
        <w:rPr>
          <w:b w:val="0"/>
          <w:noProof/>
        </w:rPr>
        <w:t>(10)</w:t>
      </w:r>
      <w:r>
        <w:rPr>
          <w:b w:val="0"/>
          <w:noProof/>
        </w:rPr>
        <w:tab/>
        <w:t>Kar zadeva izvajanje zakonodaje Unije o preprečevanju in upravljanju tveganj nesreč, trenutno ne poteka noben postopek za ugotavljanje kršitev.</w:t>
      </w:r>
    </w:p>
    <w:p>
      <w:pPr>
        <w:pStyle w:val="ManualHeading2"/>
        <w:spacing w:before="240"/>
        <w:ind w:left="851" w:hanging="851"/>
        <w:rPr>
          <w:noProof/>
        </w:rPr>
      </w:pPr>
      <w:r>
        <w:rPr>
          <w:noProof/>
        </w:rPr>
        <w:t>2.5</w:t>
      </w:r>
      <w:r>
        <w:rPr>
          <w:noProof/>
        </w:rPr>
        <w:tab/>
        <w:t>Zaključek</w:t>
      </w:r>
    </w:p>
    <w:p>
      <w:pPr>
        <w:rPr>
          <w:noProof/>
        </w:rPr>
      </w:pPr>
      <w:r>
        <w:rPr>
          <w:noProof/>
        </w:rPr>
        <w:t>Zaradi navedenega nesreče, opisane v vlogah, ki so jih vložile Portugalska, Španija, Italija in Avstrija, izpolnjujejo pogoje iz Uredbe za uporabo sredstev Solidarnostnega sklada EU.</w:t>
      </w:r>
    </w:p>
    <w:p>
      <w:pPr>
        <w:pStyle w:val="ManualHeading1"/>
        <w:rPr>
          <w:noProof/>
        </w:rPr>
      </w:pPr>
      <w:r>
        <w:rPr>
          <w:noProof/>
        </w:rPr>
        <w:t>3.</w:t>
      </w:r>
      <w:r>
        <w:rPr>
          <w:noProof/>
        </w:rPr>
        <w:tab/>
        <w:t>Financiranje iz dodelitev Solidarnostnega sklada EU za leto 2020</w:t>
      </w:r>
    </w:p>
    <w:p>
      <w:pPr>
        <w:rPr>
          <w:noProof/>
        </w:rPr>
      </w:pPr>
      <w:r>
        <w:rPr>
          <w:noProof/>
        </w:rPr>
        <w:t>Uredba Sveta (EU, Euratom) št. 1311/2013 z dne 2. decembra 2013 o večletnem finančnem okviru za obdobje 2014–2020</w:t>
      </w:r>
      <w:r>
        <w:rPr>
          <w:rStyle w:val="FootnoteReference"/>
          <w:noProof/>
        </w:rPr>
        <w:footnoteReference w:id="2"/>
      </w:r>
      <w:r>
        <w:rPr>
          <w:noProof/>
        </w:rPr>
        <w:t xml:space="preserve"> (v nadaljnjem besedilu: uredba o VFO) in zlasti člen 10 Uredbe omogoča uporabo sredstev Solidarnostnega sklada EU do letne zgornje meje 500 000 000 EUR (v cenah iz leta 2011). V točki 11 Medinstitucionalnega sporazuma z dne 2. decembra 2013 med Evropskim parlamentom, Svetom in Komisijo o proračunski disciplini, sodelovanju v proračunskih zadevah in dobrem finančnem poslovodenju</w:t>
      </w:r>
      <w:r>
        <w:rPr>
          <w:rStyle w:val="FootnoteReference"/>
          <w:noProof/>
        </w:rPr>
        <w:footnoteReference w:id="3"/>
      </w:r>
      <w:r>
        <w:rPr>
          <w:noProof/>
        </w:rPr>
        <w:t xml:space="preserve"> so določeni načini uporabe sredstev Solidarnostnega sklada EU.</w:t>
      </w:r>
    </w:p>
    <w:p>
      <w:pPr>
        <w:rPr>
          <w:noProof/>
          <w:snapToGrid w:val="0"/>
        </w:rPr>
      </w:pPr>
      <w:r>
        <w:rPr>
          <w:noProof/>
        </w:rPr>
        <w:t xml:space="preserve">Ker je bila solidarnost osrednji razlog za ustanovitev Solidarnostnega sklada EU, Komisija meni, da bi morala biti pomoč progresivna. To pomeni, da bi morala biti v skladu z dosedanjo prakso za delež škode, ki presega prag za večjo naravno nesrečo za uporabo sredstev Solidarnostnega sklada EU (tj. 0,6 % BND oziroma 3 milijarde EUR v cenah iz leta 2011, pri </w:t>
      </w:r>
      <w:r>
        <w:rPr>
          <w:noProof/>
        </w:rPr>
        <w:lastRenderedPageBreak/>
        <w:t>čemer se upošteva nižji znesek), intenzivnost pomoči večja kot za delež škode pod tem pragom. Stopnja, ki se je v preteklosti uporabljala za dodelitev sredstev za večje nesreče, znaša 2,5 % skupne neposredne škode pod pragom in 6 % za del škode nad njim. Za regionalne nesreče in nesreče, ki so bile priznane na podlagi določbe o sosednji državi, je višina stopnje 2,5 %.</w:t>
      </w:r>
    </w:p>
    <w:p>
      <w:pPr>
        <w:rPr>
          <w:noProof/>
          <w:snapToGrid w:val="0"/>
        </w:rPr>
      </w:pPr>
      <w:r>
        <w:rPr>
          <w:noProof/>
        </w:rPr>
        <w:t>Prispevek ne sme presegati ocenjenih skupnih stroškov upravičenih operacij. Metodologija za izračun pomoči je bila določena v letnem poročilu o Solidarnostnem skladu EU za obdobje 2002–2003, sprejela pa sta jo Svet in Evropski parlament.</w:t>
      </w:r>
    </w:p>
    <w:p>
      <w:pPr>
        <w:rPr>
          <w:noProof/>
        </w:rPr>
      </w:pPr>
      <w:r>
        <w:rPr>
          <w:noProof/>
        </w:rPr>
        <w:t>Na podlagi vlog Portugalske, Španije, Italije in Avstrije je izračun finančnega prispevka iz Solidarnostnega sklada EU, ki temelji na oceni skupne neposredne škode, naslednji:</w:t>
      </w:r>
    </w:p>
    <w:tbl>
      <w:tblPr>
        <w:tblW w:w="1077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134"/>
        <w:gridCol w:w="1418"/>
        <w:gridCol w:w="992"/>
        <w:gridCol w:w="1134"/>
        <w:gridCol w:w="1134"/>
        <w:gridCol w:w="1134"/>
        <w:gridCol w:w="1134"/>
      </w:tblGrid>
      <w:tr>
        <w:trPr>
          <w:trHeight w:val="648"/>
          <w:jc w:val="center"/>
        </w:trPr>
        <w:tc>
          <w:tcPr>
            <w:tcW w:w="1560" w:type="dxa"/>
            <w:tcBorders>
              <w:top w:val="single" w:sz="4" w:space="0" w:color="auto"/>
              <w:left w:val="single" w:sz="4" w:space="0" w:color="auto"/>
              <w:bottom w:val="dotted" w:sz="4" w:space="0" w:color="auto"/>
            </w:tcBorders>
            <w:shd w:val="clear" w:color="auto" w:fill="EEECE1"/>
            <w:vAlign w:val="center"/>
            <w:hideMark/>
          </w:tcPr>
          <w:p>
            <w:pPr>
              <w:spacing w:after="0"/>
              <w:rPr>
                <w:b/>
                <w:noProof/>
                <w:snapToGrid w:val="0"/>
                <w:sz w:val="18"/>
                <w:szCs w:val="18"/>
              </w:rPr>
            </w:pPr>
            <w:r>
              <w:rPr>
                <w:b/>
                <w:noProof/>
                <w:sz w:val="18"/>
                <w:szCs w:val="18"/>
              </w:rPr>
              <w:t>Države članice</w:t>
            </w:r>
          </w:p>
        </w:tc>
        <w:tc>
          <w:tcPr>
            <w:tcW w:w="1134"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z w:val="18"/>
                <w:szCs w:val="18"/>
              </w:rPr>
              <w:t>Opredelitev nesreče</w:t>
            </w:r>
          </w:p>
        </w:tc>
        <w:tc>
          <w:tcPr>
            <w:tcW w:w="1134"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z w:val="18"/>
                <w:szCs w:val="18"/>
              </w:rPr>
              <w:t>Skupna neposredna škoda</w:t>
            </w:r>
          </w:p>
          <w:p>
            <w:pPr>
              <w:spacing w:before="0" w:after="0"/>
              <w:ind w:right="59"/>
              <w:jc w:val="center"/>
              <w:rPr>
                <w:i/>
                <w:noProof/>
                <w:snapToGrid w:val="0"/>
                <w:sz w:val="18"/>
                <w:szCs w:val="18"/>
              </w:rPr>
            </w:pPr>
          </w:p>
          <w:p>
            <w:pPr>
              <w:spacing w:before="0" w:after="0"/>
              <w:ind w:right="59"/>
              <w:jc w:val="center"/>
              <w:rPr>
                <w:i/>
                <w:noProof/>
                <w:snapToGrid w:val="0"/>
                <w:sz w:val="18"/>
                <w:szCs w:val="18"/>
              </w:rPr>
            </w:pPr>
          </w:p>
          <w:p>
            <w:pPr>
              <w:spacing w:before="0" w:after="0"/>
              <w:ind w:right="59"/>
              <w:jc w:val="center"/>
              <w:rPr>
                <w:i/>
                <w:noProof/>
                <w:snapToGrid w:val="0"/>
                <w:sz w:val="18"/>
                <w:szCs w:val="18"/>
              </w:rPr>
            </w:pPr>
            <w:r>
              <w:rPr>
                <w:i/>
                <w:noProof/>
                <w:sz w:val="18"/>
                <w:szCs w:val="18"/>
              </w:rPr>
              <w:t>(v milijonih EUR)</w:t>
            </w:r>
          </w:p>
        </w:tc>
        <w:tc>
          <w:tcPr>
            <w:tcW w:w="1418" w:type="dxa"/>
            <w:tcBorders>
              <w:top w:val="single" w:sz="4" w:space="0" w:color="auto"/>
            </w:tcBorders>
            <w:shd w:val="clear" w:color="auto" w:fill="EEECE1"/>
          </w:tcPr>
          <w:p>
            <w:pPr>
              <w:spacing w:before="0" w:after="0"/>
              <w:jc w:val="center"/>
              <w:rPr>
                <w:i/>
                <w:noProof/>
                <w:snapToGrid w:val="0"/>
                <w:sz w:val="18"/>
                <w:szCs w:val="18"/>
              </w:rPr>
            </w:pPr>
            <w:r>
              <w:rPr>
                <w:i/>
                <w:noProof/>
                <w:sz w:val="18"/>
                <w:szCs w:val="18"/>
              </w:rPr>
              <w:t>Uporabljeni prag za regionalne nesreče</w:t>
            </w:r>
            <w:r>
              <w:rPr>
                <w:i/>
                <w:noProof/>
                <w:sz w:val="18"/>
                <w:szCs w:val="18"/>
              </w:rPr>
              <w:br/>
            </w:r>
            <w:r>
              <w:rPr>
                <w:i/>
                <w:noProof/>
                <w:sz w:val="16"/>
                <w:szCs w:val="16"/>
              </w:rPr>
              <w:t>[1,5 % BDP/</w:t>
            </w:r>
            <w:r>
              <w:rPr>
                <w:i/>
                <w:noProof/>
                <w:sz w:val="16"/>
                <w:szCs w:val="16"/>
              </w:rPr>
              <w:br/>
              <w:t>1 % BDP za najbolj oddaljene regije]</w:t>
            </w:r>
            <w:r>
              <w:rPr>
                <w:i/>
                <w:noProof/>
                <w:sz w:val="18"/>
                <w:szCs w:val="18"/>
              </w:rPr>
              <w:t xml:space="preserve"> </w:t>
            </w:r>
            <w:r>
              <w:rPr>
                <w:i/>
                <w:noProof/>
                <w:sz w:val="18"/>
                <w:szCs w:val="18"/>
              </w:rPr>
              <w:br/>
            </w:r>
            <w:r>
              <w:rPr>
                <w:i/>
                <w:noProof/>
                <w:sz w:val="12"/>
                <w:szCs w:val="18"/>
              </w:rPr>
              <w:br/>
            </w:r>
            <w:r>
              <w:rPr>
                <w:i/>
                <w:noProof/>
                <w:sz w:val="18"/>
                <w:szCs w:val="18"/>
              </w:rPr>
              <w:t>(v milijonih EUR)</w:t>
            </w:r>
          </w:p>
        </w:tc>
        <w:tc>
          <w:tcPr>
            <w:tcW w:w="992"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z w:val="18"/>
                <w:szCs w:val="18"/>
              </w:rPr>
              <w:t>Prag za večje nesreče</w:t>
            </w:r>
          </w:p>
          <w:p>
            <w:pPr>
              <w:spacing w:before="0" w:after="0"/>
              <w:jc w:val="center"/>
              <w:rPr>
                <w:i/>
                <w:noProof/>
                <w:snapToGrid w:val="0"/>
                <w:sz w:val="18"/>
                <w:szCs w:val="18"/>
              </w:rPr>
            </w:pPr>
          </w:p>
          <w:p>
            <w:pPr>
              <w:spacing w:before="0" w:after="0"/>
              <w:jc w:val="center"/>
              <w:rPr>
                <w:i/>
                <w:noProof/>
                <w:snapToGrid w:val="0"/>
                <w:sz w:val="18"/>
                <w:szCs w:val="18"/>
              </w:rPr>
            </w:pPr>
          </w:p>
          <w:p>
            <w:pPr>
              <w:spacing w:before="0" w:after="0"/>
              <w:jc w:val="center"/>
              <w:rPr>
                <w:i/>
                <w:noProof/>
                <w:snapToGrid w:val="0"/>
                <w:sz w:val="18"/>
                <w:szCs w:val="18"/>
              </w:rPr>
            </w:pPr>
            <w:r>
              <w:rPr>
                <w:i/>
                <w:noProof/>
                <w:sz w:val="18"/>
                <w:szCs w:val="18"/>
              </w:rPr>
              <w:t>(v milijonih EUR)</w:t>
            </w:r>
          </w:p>
        </w:tc>
        <w:tc>
          <w:tcPr>
            <w:tcW w:w="1134"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z w:val="18"/>
                <w:szCs w:val="18"/>
              </w:rPr>
              <w:t>2,5 % neposredne škode do praga</w:t>
            </w:r>
          </w:p>
          <w:p>
            <w:pPr>
              <w:spacing w:before="0" w:after="0"/>
              <w:jc w:val="center"/>
              <w:rPr>
                <w:i/>
                <w:noProof/>
                <w:snapToGrid w:val="0"/>
                <w:sz w:val="18"/>
                <w:szCs w:val="18"/>
              </w:rPr>
            </w:pPr>
          </w:p>
          <w:p>
            <w:pPr>
              <w:spacing w:before="0" w:after="0"/>
              <w:jc w:val="center"/>
              <w:rPr>
                <w:i/>
                <w:noProof/>
                <w:snapToGrid w:val="0"/>
                <w:sz w:val="18"/>
                <w:szCs w:val="18"/>
              </w:rPr>
            </w:pPr>
            <w:r>
              <w:rPr>
                <w:i/>
                <w:noProof/>
                <w:sz w:val="18"/>
                <w:szCs w:val="18"/>
              </w:rPr>
              <w:t>(v EUR)</w:t>
            </w:r>
          </w:p>
        </w:tc>
        <w:tc>
          <w:tcPr>
            <w:tcW w:w="1134"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z w:val="18"/>
                <w:szCs w:val="18"/>
              </w:rPr>
              <w:t>6 % neposredne škode nad pragom</w:t>
            </w:r>
          </w:p>
          <w:p>
            <w:pPr>
              <w:spacing w:before="0" w:after="0"/>
              <w:jc w:val="center"/>
              <w:rPr>
                <w:i/>
                <w:noProof/>
                <w:snapToGrid w:val="0"/>
                <w:sz w:val="18"/>
                <w:szCs w:val="18"/>
              </w:rPr>
            </w:pPr>
          </w:p>
          <w:p>
            <w:pPr>
              <w:spacing w:before="0" w:after="0"/>
              <w:jc w:val="center"/>
              <w:rPr>
                <w:b/>
                <w:i/>
                <w:noProof/>
                <w:snapToGrid w:val="0"/>
                <w:sz w:val="18"/>
                <w:szCs w:val="18"/>
              </w:rPr>
            </w:pPr>
            <w:r>
              <w:rPr>
                <w:i/>
                <w:noProof/>
                <w:sz w:val="18"/>
                <w:szCs w:val="18"/>
              </w:rPr>
              <w:t>(v EUR)</w:t>
            </w:r>
          </w:p>
        </w:tc>
        <w:tc>
          <w:tcPr>
            <w:tcW w:w="1134" w:type="dxa"/>
            <w:tcBorders>
              <w:top w:val="single" w:sz="4" w:space="0" w:color="auto"/>
              <w:bottom w:val="dotted" w:sz="4" w:space="0" w:color="auto"/>
            </w:tcBorders>
            <w:shd w:val="clear" w:color="auto" w:fill="EEECE1"/>
          </w:tcPr>
          <w:p>
            <w:pPr>
              <w:spacing w:before="0" w:after="0"/>
              <w:jc w:val="center"/>
              <w:rPr>
                <w:b/>
                <w:i/>
                <w:noProof/>
                <w:snapToGrid w:val="0"/>
                <w:sz w:val="18"/>
                <w:szCs w:val="18"/>
              </w:rPr>
            </w:pPr>
            <w:r>
              <w:rPr>
                <w:b/>
                <w:i/>
                <w:noProof/>
                <w:sz w:val="18"/>
                <w:szCs w:val="18"/>
              </w:rPr>
              <w:t>Skupni znesek predlagane pomoči</w:t>
            </w:r>
          </w:p>
          <w:p>
            <w:pPr>
              <w:spacing w:before="0" w:after="0"/>
              <w:jc w:val="center"/>
              <w:rPr>
                <w:i/>
                <w:noProof/>
                <w:snapToGrid w:val="0"/>
                <w:sz w:val="18"/>
                <w:szCs w:val="18"/>
              </w:rPr>
            </w:pPr>
            <w:r>
              <w:rPr>
                <w:b/>
                <w:i/>
                <w:noProof/>
                <w:sz w:val="18"/>
                <w:szCs w:val="18"/>
              </w:rPr>
              <w:t>(v EUR)</w:t>
            </w:r>
          </w:p>
        </w:tc>
        <w:tc>
          <w:tcPr>
            <w:tcW w:w="1134" w:type="dxa"/>
            <w:tcBorders>
              <w:top w:val="single" w:sz="4" w:space="0" w:color="auto"/>
              <w:bottom w:val="dotted" w:sz="4" w:space="0" w:color="auto"/>
              <w:right w:val="single" w:sz="4" w:space="0" w:color="auto"/>
            </w:tcBorders>
            <w:shd w:val="clear" w:color="auto" w:fill="EEECE1"/>
          </w:tcPr>
          <w:p>
            <w:pPr>
              <w:spacing w:before="0" w:after="0"/>
              <w:jc w:val="center"/>
              <w:rPr>
                <w:b/>
                <w:i/>
                <w:noProof/>
                <w:snapToGrid w:val="0"/>
                <w:sz w:val="18"/>
                <w:szCs w:val="18"/>
              </w:rPr>
            </w:pPr>
            <w:r>
              <w:rPr>
                <w:b/>
                <w:i/>
                <w:noProof/>
                <w:sz w:val="18"/>
                <w:szCs w:val="18"/>
              </w:rPr>
              <w:t>Izplačana predplačila</w:t>
            </w:r>
          </w:p>
          <w:p>
            <w:pPr>
              <w:spacing w:before="0" w:after="0"/>
              <w:jc w:val="center"/>
              <w:rPr>
                <w:b/>
                <w:i/>
                <w:noProof/>
                <w:snapToGrid w:val="0"/>
                <w:sz w:val="18"/>
                <w:szCs w:val="18"/>
              </w:rPr>
            </w:pPr>
          </w:p>
          <w:p>
            <w:pPr>
              <w:spacing w:before="0" w:after="0"/>
              <w:jc w:val="center"/>
              <w:rPr>
                <w:b/>
                <w:i/>
                <w:noProof/>
                <w:snapToGrid w:val="0"/>
                <w:sz w:val="18"/>
                <w:szCs w:val="18"/>
              </w:rPr>
            </w:pPr>
          </w:p>
          <w:p>
            <w:pPr>
              <w:spacing w:before="0" w:after="0"/>
              <w:jc w:val="center"/>
              <w:rPr>
                <w:b/>
                <w:i/>
                <w:noProof/>
                <w:snapToGrid w:val="0"/>
                <w:sz w:val="18"/>
                <w:szCs w:val="18"/>
              </w:rPr>
            </w:pPr>
            <w:r>
              <w:rPr>
                <w:b/>
                <w:i/>
                <w:noProof/>
                <w:sz w:val="18"/>
                <w:szCs w:val="18"/>
              </w:rPr>
              <w:t>(v EUR)</w:t>
            </w:r>
          </w:p>
        </w:tc>
      </w:tr>
      <w:tr>
        <w:trPr>
          <w:trHeight w:val="436"/>
          <w:jc w:val="center"/>
        </w:trPr>
        <w:tc>
          <w:tcPr>
            <w:tcW w:w="1560" w:type="dxa"/>
            <w:tcBorders>
              <w:top w:val="dotted" w:sz="4" w:space="0" w:color="auto"/>
              <w:left w:val="single" w:sz="4" w:space="0" w:color="auto"/>
              <w:bottom w:val="dotted" w:sz="4" w:space="0" w:color="auto"/>
            </w:tcBorders>
            <w:shd w:val="clear" w:color="auto" w:fill="EEECE1"/>
            <w:vAlign w:val="center"/>
            <w:hideMark/>
          </w:tcPr>
          <w:p>
            <w:pPr>
              <w:spacing w:before="0" w:after="0"/>
              <w:jc w:val="left"/>
              <w:rPr>
                <w:noProof/>
                <w:snapToGrid w:val="0"/>
                <w:sz w:val="18"/>
                <w:szCs w:val="18"/>
              </w:rPr>
            </w:pPr>
            <w:r>
              <w:rPr>
                <w:noProof/>
                <w:sz w:val="18"/>
                <w:szCs w:val="18"/>
              </w:rPr>
              <w:t>PORTUGALSKA</w:t>
            </w:r>
          </w:p>
        </w:tc>
        <w:tc>
          <w:tcPr>
            <w:tcW w:w="1134"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Regionalna nesreča</w:t>
            </w:r>
          </w:p>
          <w:p>
            <w:pPr>
              <w:spacing w:before="0" w:after="0"/>
              <w:jc w:val="center"/>
              <w:rPr>
                <w:i/>
                <w:iCs/>
                <w:noProof/>
                <w:sz w:val="18"/>
                <w:szCs w:val="18"/>
              </w:rPr>
            </w:pPr>
            <w:r>
              <w:rPr>
                <w:i/>
                <w:iCs/>
                <w:noProof/>
                <w:sz w:val="18"/>
                <w:szCs w:val="18"/>
              </w:rPr>
              <w:t>(člen 2(3))</w:t>
            </w:r>
          </w:p>
        </w:tc>
        <w:tc>
          <w:tcPr>
            <w:tcW w:w="113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328,508</w:t>
            </w:r>
          </w:p>
        </w:tc>
        <w:tc>
          <w:tcPr>
            <w:tcW w:w="1418" w:type="dxa"/>
            <w:tcBorders>
              <w:bottom w:val="dotted" w:sz="4" w:space="0" w:color="auto"/>
            </w:tcBorders>
            <w:vAlign w:val="center"/>
          </w:tcPr>
          <w:p>
            <w:pPr>
              <w:spacing w:before="0" w:after="0"/>
              <w:jc w:val="right"/>
              <w:rPr>
                <w:noProof/>
                <w:sz w:val="18"/>
                <w:szCs w:val="18"/>
              </w:rPr>
            </w:pPr>
            <w:r>
              <w:rPr>
                <w:i/>
                <w:iCs/>
                <w:noProof/>
                <w:sz w:val="18"/>
                <w:szCs w:val="18"/>
              </w:rPr>
              <w:t>39,271</w:t>
            </w:r>
          </w:p>
        </w:tc>
        <w:tc>
          <w:tcPr>
            <w:tcW w:w="992" w:type="dxa"/>
            <w:tcBorders>
              <w:top w:val="dotted" w:sz="4" w:space="0" w:color="auto"/>
              <w:bottom w:val="dotted" w:sz="4" w:space="0" w:color="auto"/>
            </w:tcBorders>
            <w:vAlign w:val="center"/>
          </w:tcPr>
          <w:p>
            <w:pPr>
              <w:spacing w:before="0" w:after="0"/>
              <w:jc w:val="right"/>
              <w:rPr>
                <w:b/>
                <w:noProof/>
                <w:sz w:val="18"/>
                <w:szCs w:val="18"/>
              </w:rPr>
            </w:pPr>
            <w:r>
              <w:rPr>
                <w:b/>
                <w:noProof/>
                <w:sz w:val="18"/>
                <w:szCs w:val="18"/>
              </w:rPr>
              <w:t>–</w:t>
            </w:r>
          </w:p>
        </w:tc>
        <w:tc>
          <w:tcPr>
            <w:tcW w:w="1134" w:type="dxa"/>
            <w:tcBorders>
              <w:top w:val="dotted" w:sz="4" w:space="0" w:color="auto"/>
              <w:bottom w:val="dotted" w:sz="4" w:space="0" w:color="auto"/>
            </w:tcBorders>
            <w:vAlign w:val="center"/>
          </w:tcPr>
          <w:p>
            <w:pPr>
              <w:spacing w:before="0" w:after="0"/>
              <w:jc w:val="right"/>
              <w:rPr>
                <w:noProof/>
                <w:sz w:val="18"/>
                <w:szCs w:val="18"/>
              </w:rPr>
            </w:pPr>
            <w:r>
              <w:rPr>
                <w:i/>
                <w:iCs/>
                <w:noProof/>
                <w:sz w:val="18"/>
                <w:szCs w:val="18"/>
              </w:rPr>
              <w:t>8 212 697</w:t>
            </w:r>
          </w:p>
        </w:tc>
        <w:tc>
          <w:tcPr>
            <w:tcW w:w="1134" w:type="dxa"/>
            <w:tcBorders>
              <w:top w:val="dotted" w:sz="4" w:space="0" w:color="auto"/>
              <w:bottom w:val="dotted" w:sz="4" w:space="0" w:color="auto"/>
            </w:tcBorders>
            <w:shd w:val="clear" w:color="auto" w:fill="auto"/>
            <w:vAlign w:val="center"/>
          </w:tcPr>
          <w:p>
            <w:pPr>
              <w:spacing w:before="0" w:after="0"/>
              <w:jc w:val="right"/>
              <w:rPr>
                <w:b/>
                <w:noProof/>
                <w:sz w:val="18"/>
                <w:szCs w:val="18"/>
              </w:rPr>
            </w:pPr>
            <w:r>
              <w:rPr>
                <w:b/>
                <w:noProof/>
                <w:sz w:val="18"/>
                <w:szCs w:val="18"/>
              </w:rPr>
              <w:t>–</w:t>
            </w:r>
          </w:p>
        </w:tc>
        <w:tc>
          <w:tcPr>
            <w:tcW w:w="1134" w:type="dxa"/>
            <w:tcBorders>
              <w:top w:val="dotted" w:sz="4" w:space="0" w:color="auto"/>
              <w:bottom w:val="dotted" w:sz="4" w:space="0" w:color="auto"/>
            </w:tcBorders>
            <w:shd w:val="clear" w:color="auto" w:fill="auto"/>
            <w:vAlign w:val="center"/>
          </w:tcPr>
          <w:p>
            <w:pPr>
              <w:spacing w:before="0" w:after="0"/>
              <w:jc w:val="right"/>
              <w:rPr>
                <w:b/>
                <w:i/>
                <w:iCs/>
                <w:noProof/>
                <w:sz w:val="18"/>
                <w:szCs w:val="18"/>
              </w:rPr>
            </w:pPr>
            <w:r>
              <w:rPr>
                <w:i/>
                <w:iCs/>
                <w:noProof/>
                <w:sz w:val="18"/>
                <w:szCs w:val="18"/>
              </w:rPr>
              <w:t>8 212 697</w:t>
            </w:r>
          </w:p>
        </w:tc>
        <w:tc>
          <w:tcPr>
            <w:tcW w:w="113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821 270</w:t>
            </w:r>
          </w:p>
        </w:tc>
      </w:tr>
      <w:tr>
        <w:trPr>
          <w:trHeight w:val="444"/>
          <w:jc w:val="center"/>
        </w:trPr>
        <w:tc>
          <w:tcPr>
            <w:tcW w:w="1560"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z w:val="18"/>
                <w:szCs w:val="18"/>
              </w:rPr>
              <w:t>ŠPANIJA</w:t>
            </w:r>
          </w:p>
        </w:tc>
        <w:tc>
          <w:tcPr>
            <w:tcW w:w="1134"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Regionalna nesreča</w:t>
            </w:r>
          </w:p>
          <w:p>
            <w:pPr>
              <w:spacing w:before="0" w:after="0"/>
              <w:jc w:val="center"/>
              <w:rPr>
                <w:i/>
                <w:iCs/>
                <w:noProof/>
                <w:sz w:val="18"/>
                <w:szCs w:val="18"/>
              </w:rPr>
            </w:pPr>
            <w:r>
              <w:rPr>
                <w:i/>
                <w:iCs/>
                <w:noProof/>
                <w:sz w:val="18"/>
                <w:szCs w:val="18"/>
              </w:rPr>
              <w:t>(člen 2(3))</w:t>
            </w:r>
          </w:p>
        </w:tc>
        <w:tc>
          <w:tcPr>
            <w:tcW w:w="113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2 269,734</w:t>
            </w:r>
          </w:p>
        </w:tc>
        <w:tc>
          <w:tcPr>
            <w:tcW w:w="1418"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1 287,076</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13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56 743 358</w:t>
            </w:r>
          </w:p>
        </w:tc>
        <w:tc>
          <w:tcPr>
            <w:tcW w:w="113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13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56 743 358</w:t>
            </w:r>
          </w:p>
        </w:tc>
        <w:tc>
          <w:tcPr>
            <w:tcW w:w="113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5 674 336</w:t>
            </w:r>
          </w:p>
        </w:tc>
      </w:tr>
      <w:tr>
        <w:trPr>
          <w:trHeight w:val="658"/>
          <w:jc w:val="center"/>
        </w:trPr>
        <w:tc>
          <w:tcPr>
            <w:tcW w:w="1560"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z w:val="18"/>
                <w:szCs w:val="18"/>
              </w:rPr>
              <w:t>ITALIJA</w:t>
            </w:r>
          </w:p>
        </w:tc>
        <w:tc>
          <w:tcPr>
            <w:tcW w:w="1134"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Večja nesreča</w:t>
            </w:r>
          </w:p>
          <w:p>
            <w:pPr>
              <w:spacing w:before="0" w:after="0"/>
              <w:jc w:val="center"/>
              <w:rPr>
                <w:i/>
                <w:iCs/>
                <w:noProof/>
                <w:sz w:val="18"/>
                <w:szCs w:val="18"/>
              </w:rPr>
            </w:pPr>
            <w:r>
              <w:rPr>
                <w:i/>
                <w:iCs/>
                <w:noProof/>
                <w:sz w:val="18"/>
                <w:szCs w:val="18"/>
              </w:rPr>
              <w:t>(člen 2(2))</w:t>
            </w:r>
          </w:p>
        </w:tc>
        <w:tc>
          <w:tcPr>
            <w:tcW w:w="113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5 619,878</w:t>
            </w:r>
          </w:p>
        </w:tc>
        <w:tc>
          <w:tcPr>
            <w:tcW w:w="1418"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3 585,278</w:t>
            </w:r>
          </w:p>
        </w:tc>
        <w:tc>
          <w:tcPr>
            <w:tcW w:w="113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89 631 943</w:t>
            </w:r>
          </w:p>
        </w:tc>
        <w:tc>
          <w:tcPr>
            <w:tcW w:w="113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122 076 039</w:t>
            </w:r>
          </w:p>
        </w:tc>
        <w:tc>
          <w:tcPr>
            <w:tcW w:w="113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211 707 982</w:t>
            </w:r>
          </w:p>
        </w:tc>
        <w:tc>
          <w:tcPr>
            <w:tcW w:w="113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658"/>
          <w:jc w:val="center"/>
        </w:trPr>
        <w:tc>
          <w:tcPr>
            <w:tcW w:w="1560"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z w:val="18"/>
                <w:szCs w:val="18"/>
              </w:rPr>
              <w:t>AVSTRIJA</w:t>
            </w:r>
          </w:p>
        </w:tc>
        <w:tc>
          <w:tcPr>
            <w:tcW w:w="1134"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V sosednji državi</w:t>
            </w:r>
          </w:p>
          <w:p>
            <w:pPr>
              <w:spacing w:before="0" w:after="0"/>
              <w:jc w:val="center"/>
              <w:rPr>
                <w:i/>
                <w:iCs/>
                <w:noProof/>
                <w:sz w:val="18"/>
                <w:szCs w:val="18"/>
              </w:rPr>
            </w:pPr>
            <w:r>
              <w:rPr>
                <w:i/>
                <w:iCs/>
                <w:noProof/>
                <w:sz w:val="18"/>
                <w:szCs w:val="18"/>
              </w:rPr>
              <w:t>(člen 2(4))</w:t>
            </w:r>
          </w:p>
        </w:tc>
        <w:tc>
          <w:tcPr>
            <w:tcW w:w="113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93,191</w:t>
            </w:r>
          </w:p>
        </w:tc>
        <w:tc>
          <w:tcPr>
            <w:tcW w:w="1418" w:type="dxa"/>
            <w:tcBorders>
              <w:top w:val="dotted" w:sz="4" w:space="0" w:color="auto"/>
              <w:bottom w:val="single" w:sz="4" w:space="0" w:color="auto"/>
            </w:tcBorders>
            <w:vAlign w:val="center"/>
          </w:tcPr>
          <w:p>
            <w:pPr>
              <w:spacing w:before="0" w:after="0"/>
              <w:jc w:val="right"/>
              <w:rPr>
                <w:i/>
                <w:iCs/>
                <w:noProof/>
                <w:sz w:val="18"/>
                <w:szCs w:val="18"/>
              </w:rPr>
            </w:pPr>
            <w:r>
              <w:rPr>
                <w:i/>
                <w:iCs/>
                <w:noProof/>
                <w:sz w:val="18"/>
                <w:szCs w:val="18"/>
              </w:rPr>
              <w:t>–</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13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2 329 777</w:t>
            </w:r>
          </w:p>
        </w:tc>
        <w:tc>
          <w:tcPr>
            <w:tcW w:w="113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13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2 329 777</w:t>
            </w:r>
          </w:p>
        </w:tc>
        <w:tc>
          <w:tcPr>
            <w:tcW w:w="113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213"/>
          <w:jc w:val="center"/>
        </w:trPr>
        <w:tc>
          <w:tcPr>
            <w:tcW w:w="1560" w:type="dxa"/>
            <w:tcBorders>
              <w:top w:val="single" w:sz="4" w:space="0" w:color="auto"/>
              <w:left w:val="single" w:sz="4" w:space="0" w:color="auto"/>
              <w:bottom w:val="single" w:sz="4" w:space="0" w:color="auto"/>
            </w:tcBorders>
            <w:shd w:val="clear" w:color="auto" w:fill="EEECE1"/>
            <w:vAlign w:val="center"/>
          </w:tcPr>
          <w:p>
            <w:pPr>
              <w:spacing w:before="0" w:after="0"/>
              <w:jc w:val="left"/>
              <w:rPr>
                <w:b/>
                <w:noProof/>
                <w:snapToGrid w:val="0"/>
                <w:sz w:val="18"/>
                <w:szCs w:val="18"/>
              </w:rPr>
            </w:pPr>
            <w:r>
              <w:rPr>
                <w:b/>
                <w:noProof/>
                <w:sz w:val="18"/>
                <w:szCs w:val="18"/>
              </w:rPr>
              <w:t>SKUPAJ</w:t>
            </w:r>
          </w:p>
        </w:tc>
        <w:tc>
          <w:tcPr>
            <w:tcW w:w="1134" w:type="dxa"/>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5812" w:type="dxa"/>
            <w:gridSpan w:val="5"/>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1134" w:type="dxa"/>
            <w:tcBorders>
              <w:top w:val="single" w:sz="4" w:space="0" w:color="auto"/>
              <w:bottom w:val="single" w:sz="4" w:space="0" w:color="auto"/>
            </w:tcBorders>
            <w:vAlign w:val="center"/>
          </w:tcPr>
          <w:p>
            <w:pPr>
              <w:spacing w:before="0" w:after="0"/>
              <w:jc w:val="right"/>
              <w:rPr>
                <w:b/>
                <w:bCs/>
                <w:i/>
                <w:iCs/>
                <w:noProof/>
                <w:sz w:val="18"/>
                <w:szCs w:val="18"/>
              </w:rPr>
            </w:pPr>
            <w:r>
              <w:rPr>
                <w:i/>
                <w:iCs/>
                <w:noProof/>
                <w:sz w:val="18"/>
                <w:szCs w:val="18"/>
              </w:rPr>
              <w:t xml:space="preserve">278 993 814 </w:t>
            </w:r>
          </w:p>
        </w:tc>
        <w:tc>
          <w:tcPr>
            <w:tcW w:w="1134" w:type="dxa"/>
            <w:tcBorders>
              <w:top w:val="single" w:sz="4" w:space="0" w:color="auto"/>
              <w:bottom w:val="single" w:sz="4" w:space="0" w:color="auto"/>
              <w:right w:val="single" w:sz="4" w:space="0" w:color="auto"/>
            </w:tcBorders>
          </w:tcPr>
          <w:p>
            <w:pPr>
              <w:spacing w:before="60" w:after="0"/>
              <w:jc w:val="right"/>
              <w:rPr>
                <w:b/>
                <w:bCs/>
                <w:i/>
                <w:iCs/>
                <w:noProof/>
                <w:sz w:val="18"/>
                <w:szCs w:val="18"/>
              </w:rPr>
            </w:pPr>
          </w:p>
        </w:tc>
      </w:tr>
    </w:tbl>
    <w:p>
      <w:pPr>
        <w:rPr>
          <w:noProof/>
        </w:rPr>
      </w:pPr>
      <w:r>
        <w:rPr>
          <w:noProof/>
        </w:rPr>
        <w:t>V skladu s členom 10(1) uredbe o VFO je skupni znesek, ki je bil na voljo za uporabo sredstev Solidarnostnega sklada EU v začetku leta 2020, znašal 1 150 524 045 EUR, kar je vsota dodeljenih sredstev za leto 2020 v višini 597 546 284 EUR, čemur se prištejejo dodeljena sredstva za leto 2019 v višini 552 977 761 EUR, ki so ostala neporabljena in so bila prenesena v leto 2020.</w:t>
      </w:r>
    </w:p>
    <w:p>
      <w:pPr>
        <w:rPr>
          <w:noProof/>
        </w:rPr>
      </w:pPr>
      <w:r>
        <w:rPr>
          <w:noProof/>
        </w:rPr>
        <w:t>Znesek, ki se lahko uporabi na tej stopnji leta 2020, znaša 1 001 137 474 EUR. To ustreza skupnemu znesku, ki je bil na voljo za uporabo sredstev Solidarnostnega sklada EU v začetku leta 2020 (1 150 524 045 EUR), od česar se odšteje zadržani znesek v višini 149 386 571 EUR, da se spoštuje obveznost glede zadržanja 25 % sredstev, dodeljenih v letu 2020, do 1. oktobra 2020, kot je določeno v členu 10(1) uredbe o VFO.</w:t>
      </w:r>
    </w:p>
    <w:tbl>
      <w:tblPr>
        <w:tblStyle w:val="TableGrid"/>
        <w:tblW w:w="0" w:type="auto"/>
        <w:jc w:val="center"/>
        <w:tblLook w:val="04A0" w:firstRow="1" w:lastRow="0" w:firstColumn="1" w:lastColumn="0" w:noHBand="0" w:noVBand="1"/>
      </w:tblPr>
      <w:tblGrid>
        <w:gridCol w:w="6644"/>
        <w:gridCol w:w="1897"/>
      </w:tblGrid>
      <w:tr>
        <w:trPr>
          <w:trHeight w:val="490"/>
          <w:jc w:val="center"/>
        </w:trPr>
        <w:tc>
          <w:tcPr>
            <w:tcW w:w="6644" w:type="dxa"/>
            <w:shd w:val="clear" w:color="auto" w:fill="D9D9D9" w:themeFill="background1" w:themeFillShade="D9"/>
            <w:vAlign w:val="center"/>
          </w:tcPr>
          <w:p>
            <w:pPr>
              <w:keepNext/>
              <w:spacing w:after="0"/>
              <w:jc w:val="center"/>
              <w:rPr>
                <w:b/>
                <w:noProof/>
                <w:sz w:val="20"/>
                <w:szCs w:val="20"/>
              </w:rPr>
            </w:pPr>
            <w:r>
              <w:rPr>
                <w:b/>
                <w:noProof/>
                <w:sz w:val="20"/>
                <w:szCs w:val="20"/>
              </w:rPr>
              <w:lastRenderedPageBreak/>
              <w:t>Zbirna razpredelnica financiranja Solidarnostnega sklada EU</w:t>
            </w:r>
          </w:p>
        </w:tc>
        <w:tc>
          <w:tcPr>
            <w:tcW w:w="1897" w:type="dxa"/>
            <w:shd w:val="clear" w:color="auto" w:fill="D9D9D9" w:themeFill="background1" w:themeFillShade="D9"/>
            <w:vAlign w:val="center"/>
          </w:tcPr>
          <w:p>
            <w:pPr>
              <w:keepNext/>
              <w:spacing w:after="0"/>
              <w:jc w:val="center"/>
              <w:rPr>
                <w:b/>
                <w:noProof/>
                <w:sz w:val="20"/>
                <w:szCs w:val="20"/>
              </w:rPr>
            </w:pPr>
            <w:r>
              <w:rPr>
                <w:b/>
                <w:noProof/>
                <w:sz w:val="20"/>
                <w:szCs w:val="20"/>
              </w:rPr>
              <w:t>Znesek</w:t>
            </w:r>
          </w:p>
          <w:p>
            <w:pPr>
              <w:keepNext/>
              <w:spacing w:after="0"/>
              <w:jc w:val="center"/>
              <w:rPr>
                <w:noProof/>
                <w:sz w:val="20"/>
                <w:szCs w:val="20"/>
              </w:rPr>
            </w:pPr>
            <w:r>
              <w:rPr>
                <w:b/>
                <w:noProof/>
                <w:sz w:val="20"/>
                <w:szCs w:val="20"/>
              </w:rPr>
              <w:t>v EUR</w:t>
            </w:r>
          </w:p>
        </w:tc>
      </w:tr>
      <w:tr>
        <w:trPr>
          <w:trHeight w:val="258"/>
          <w:jc w:val="center"/>
        </w:trPr>
        <w:tc>
          <w:tcPr>
            <w:tcW w:w="6644" w:type="dxa"/>
          </w:tcPr>
          <w:p>
            <w:pPr>
              <w:keepNext/>
              <w:spacing w:after="0"/>
              <w:rPr>
                <w:noProof/>
                <w:sz w:val="20"/>
                <w:szCs w:val="20"/>
              </w:rPr>
            </w:pPr>
            <w:r>
              <w:rPr>
                <w:noProof/>
                <w:sz w:val="20"/>
                <w:szCs w:val="20"/>
              </w:rPr>
              <w:t>Dodelitve iz leta 2019, prenesene v leto 2020</w:t>
            </w:r>
          </w:p>
        </w:tc>
        <w:tc>
          <w:tcPr>
            <w:tcW w:w="1897" w:type="dxa"/>
          </w:tcPr>
          <w:p>
            <w:pPr>
              <w:keepNext/>
              <w:spacing w:after="0"/>
              <w:jc w:val="right"/>
              <w:rPr>
                <w:noProof/>
                <w:sz w:val="20"/>
                <w:szCs w:val="20"/>
              </w:rPr>
            </w:pPr>
            <w:r>
              <w:rPr>
                <w:noProof/>
                <w:sz w:val="20"/>
                <w:szCs w:val="20"/>
              </w:rPr>
              <w:t>552 977 761</w:t>
            </w:r>
          </w:p>
        </w:tc>
      </w:tr>
      <w:tr>
        <w:trPr>
          <w:trHeight w:val="297"/>
          <w:jc w:val="center"/>
        </w:trPr>
        <w:tc>
          <w:tcPr>
            <w:tcW w:w="6644" w:type="dxa"/>
          </w:tcPr>
          <w:p>
            <w:pPr>
              <w:keepNext/>
              <w:spacing w:after="0"/>
              <w:rPr>
                <w:noProof/>
                <w:sz w:val="20"/>
                <w:szCs w:val="20"/>
              </w:rPr>
            </w:pPr>
            <w:r>
              <w:rPr>
                <w:noProof/>
                <w:sz w:val="20"/>
                <w:szCs w:val="20"/>
              </w:rPr>
              <w:t>Dodelitve za leto 2020</w:t>
            </w:r>
          </w:p>
        </w:tc>
        <w:tc>
          <w:tcPr>
            <w:tcW w:w="1897" w:type="dxa"/>
          </w:tcPr>
          <w:p>
            <w:pPr>
              <w:keepNext/>
              <w:spacing w:after="0"/>
              <w:jc w:val="right"/>
              <w:rPr>
                <w:noProof/>
                <w:sz w:val="20"/>
                <w:szCs w:val="20"/>
              </w:rPr>
            </w:pPr>
            <w:r>
              <w:rPr>
                <w:noProof/>
                <w:sz w:val="20"/>
                <w:szCs w:val="20"/>
              </w:rPr>
              <w:t>597 546 284</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Skupna sredstva na voljo v začetku leta 2020</w:t>
            </w:r>
          </w:p>
        </w:tc>
        <w:tc>
          <w:tcPr>
            <w:tcW w:w="1897" w:type="dxa"/>
          </w:tcPr>
          <w:p>
            <w:pPr>
              <w:keepNext/>
              <w:spacing w:after="0"/>
              <w:jc w:val="right"/>
              <w:rPr>
                <w:b/>
                <w:noProof/>
                <w:sz w:val="20"/>
                <w:szCs w:val="20"/>
              </w:rPr>
            </w:pPr>
            <w:r>
              <w:rPr>
                <w:b/>
                <w:noProof/>
                <w:sz w:val="20"/>
                <w:szCs w:val="20"/>
              </w:rPr>
              <w:t>1 150 524 045</w:t>
            </w:r>
          </w:p>
        </w:tc>
      </w:tr>
      <w:tr>
        <w:trPr>
          <w:trHeight w:val="299"/>
          <w:jc w:val="center"/>
        </w:trPr>
        <w:tc>
          <w:tcPr>
            <w:tcW w:w="6644" w:type="dxa"/>
          </w:tcPr>
          <w:p>
            <w:pPr>
              <w:keepNext/>
              <w:spacing w:after="0"/>
              <w:rPr>
                <w:noProof/>
                <w:sz w:val="20"/>
                <w:szCs w:val="20"/>
              </w:rPr>
            </w:pPr>
            <w:r>
              <w:rPr>
                <w:noProof/>
                <w:sz w:val="20"/>
                <w:szCs w:val="20"/>
              </w:rPr>
              <w:t>Minus 25 % zadržanih dodelitev za leto 2020</w:t>
            </w:r>
          </w:p>
        </w:tc>
        <w:tc>
          <w:tcPr>
            <w:tcW w:w="1897" w:type="dxa"/>
          </w:tcPr>
          <w:p>
            <w:pPr>
              <w:keepNext/>
              <w:spacing w:after="0"/>
              <w:jc w:val="right"/>
              <w:rPr>
                <w:noProof/>
                <w:sz w:val="20"/>
                <w:szCs w:val="20"/>
              </w:rPr>
            </w:pPr>
            <w:r>
              <w:rPr>
                <w:noProof/>
                <w:sz w:val="20"/>
                <w:szCs w:val="20"/>
              </w:rPr>
              <w:t>–149 386 571</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Najvišji znesek, ki je trenutno na voljo (dodelitve za leti 2019 +2020)</w:t>
            </w:r>
          </w:p>
        </w:tc>
        <w:tc>
          <w:tcPr>
            <w:tcW w:w="1897" w:type="dxa"/>
          </w:tcPr>
          <w:p>
            <w:pPr>
              <w:keepNext/>
              <w:spacing w:after="0"/>
              <w:jc w:val="right"/>
              <w:rPr>
                <w:b/>
                <w:noProof/>
                <w:sz w:val="20"/>
                <w:szCs w:val="20"/>
              </w:rPr>
            </w:pPr>
            <w:r>
              <w:rPr>
                <w:b/>
                <w:noProof/>
                <w:sz w:val="20"/>
                <w:szCs w:val="20"/>
              </w:rPr>
              <w:t>1 001 137 474</w:t>
            </w:r>
          </w:p>
        </w:tc>
      </w:tr>
      <w:tr>
        <w:trPr>
          <w:trHeight w:val="245"/>
          <w:jc w:val="center"/>
        </w:trPr>
        <w:tc>
          <w:tcPr>
            <w:tcW w:w="6644" w:type="dxa"/>
          </w:tcPr>
          <w:p>
            <w:pPr>
              <w:keepNext/>
              <w:spacing w:after="0"/>
              <w:rPr>
                <w:bCs/>
                <w:noProof/>
                <w:sz w:val="20"/>
                <w:szCs w:val="20"/>
              </w:rPr>
            </w:pPr>
            <w:r>
              <w:rPr>
                <w:bCs/>
                <w:noProof/>
                <w:sz w:val="20"/>
                <w:szCs w:val="20"/>
              </w:rPr>
              <w:t>Skupni znesek predlagane pomoči, ki se bo uporabil za Portugalsko, Španijo, Italijo in Avstrijo</w:t>
            </w:r>
          </w:p>
        </w:tc>
        <w:tc>
          <w:tcPr>
            <w:tcW w:w="1897" w:type="dxa"/>
          </w:tcPr>
          <w:p>
            <w:pPr>
              <w:keepNext/>
              <w:spacing w:after="0"/>
              <w:jc w:val="right"/>
              <w:rPr>
                <w:noProof/>
                <w:sz w:val="20"/>
                <w:szCs w:val="20"/>
              </w:rPr>
            </w:pPr>
            <w:r>
              <w:rPr>
                <w:noProof/>
                <w:sz w:val="20"/>
                <w:szCs w:val="20"/>
              </w:rPr>
              <w:t>–278 993 814</w:t>
            </w:r>
          </w:p>
          <w:p>
            <w:pPr>
              <w:keepNext/>
              <w:spacing w:after="0"/>
              <w:jc w:val="right"/>
              <w:rPr>
                <w:noProof/>
                <w:sz w:val="20"/>
                <w:szCs w:val="20"/>
              </w:rPr>
            </w:pPr>
            <w:r>
              <w:rPr>
                <w:noProof/>
                <w:sz w:val="20"/>
                <w:szCs w:val="20"/>
              </w:rPr>
              <w:t>-----------------</w:t>
            </w:r>
          </w:p>
        </w:tc>
      </w:tr>
      <w:tr>
        <w:trPr>
          <w:trHeight w:val="258"/>
          <w:jc w:val="center"/>
        </w:trPr>
        <w:tc>
          <w:tcPr>
            <w:tcW w:w="6644" w:type="dxa"/>
          </w:tcPr>
          <w:p>
            <w:pPr>
              <w:keepNext/>
              <w:spacing w:after="0"/>
              <w:rPr>
                <w:b/>
                <w:noProof/>
                <w:sz w:val="20"/>
                <w:szCs w:val="20"/>
              </w:rPr>
            </w:pPr>
            <w:r>
              <w:rPr>
                <w:b/>
                <w:noProof/>
                <w:sz w:val="20"/>
                <w:szCs w:val="20"/>
              </w:rPr>
              <w:t>Preostala sredstva, ki so na voljo do 1. oktobra 2020</w:t>
            </w:r>
          </w:p>
        </w:tc>
        <w:tc>
          <w:tcPr>
            <w:tcW w:w="1897" w:type="dxa"/>
          </w:tcPr>
          <w:p>
            <w:pPr>
              <w:keepNext/>
              <w:spacing w:after="0"/>
              <w:jc w:val="right"/>
              <w:rPr>
                <w:b/>
                <w:noProof/>
                <w:sz w:val="20"/>
                <w:szCs w:val="20"/>
              </w:rPr>
            </w:pPr>
            <w:r>
              <w:rPr>
                <w:b/>
                <w:noProof/>
                <w:sz w:val="20"/>
                <w:szCs w:val="20"/>
              </w:rPr>
              <w:t>722 143 660</w:t>
            </w:r>
          </w:p>
        </w:tc>
      </w:tr>
    </w:tbl>
    <w:p>
      <w:pPr>
        <w:pBdr>
          <w:top w:val="nil"/>
          <w:left w:val="nil"/>
          <w:bottom w:val="nil"/>
          <w:right w:val="nil"/>
          <w:between w:val="nil"/>
          <w:bar w:val="nil"/>
        </w:pBdr>
        <w:spacing w:before="0" w:after="240"/>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Predlog</w:t>
      </w:r>
    </w:p>
    <w:p>
      <w:pPr>
        <w:pStyle w:val="Typedudocument"/>
        <w:rPr>
          <w:noProof/>
        </w:rPr>
      </w:pPr>
      <w:r>
        <w:rPr>
          <w:noProof/>
        </w:rPr>
        <w:t>SKLEP EVROPSKEGA PARLAMENTA IN SVETA</w:t>
      </w:r>
    </w:p>
    <w:p>
      <w:pPr>
        <w:pStyle w:val="Titreobjet"/>
        <w:rPr>
          <w:noProof/>
        </w:rPr>
      </w:pPr>
      <w:r>
        <w:rPr>
          <w:noProof/>
        </w:rPr>
        <w:t>o uporabi Solidarnostnega sklada Evropske unije za pomoč Portugalski, Španiji, Italiji in Avstriji</w:t>
      </w:r>
    </w:p>
    <w:p>
      <w:pPr>
        <w:pStyle w:val="Institutionquiagit"/>
        <w:spacing w:before="480" w:after="360"/>
        <w:rPr>
          <w:noProof/>
        </w:rPr>
      </w:pPr>
      <w:r>
        <w:rPr>
          <w:noProof/>
        </w:rPr>
        <w:t>EVROPSKI PARLAMENT IN SVET EVROPSKE UNIJE STA –</w:t>
      </w:r>
    </w:p>
    <w:p>
      <w:pPr>
        <w:rPr>
          <w:noProof/>
        </w:rPr>
      </w:pPr>
      <w:r>
        <w:rPr>
          <w:noProof/>
        </w:rPr>
        <w:t>ob upoštevanju Pogodbe o delovanju Evropske unije,</w:t>
      </w:r>
    </w:p>
    <w:p>
      <w:pPr>
        <w:rPr>
          <w:noProof/>
        </w:rPr>
      </w:pPr>
      <w:r>
        <w:rPr>
          <w:noProof/>
        </w:rPr>
        <w:t>ob upoštevanju Uredbe Sveta (ES) št. 2012/2002 z dne 11. novembra 2002 o ustanovitvi Solidarnostnega sklada Evropske unije</w:t>
      </w:r>
      <w:r>
        <w:rPr>
          <w:rStyle w:val="FootnoteReference"/>
          <w:noProof/>
        </w:rPr>
        <w:footnoteReference w:id="4"/>
      </w:r>
      <w:r>
        <w:rPr>
          <w:noProof/>
        </w:rPr>
        <w:t xml:space="preserve"> in zlasti člena 4(3) Uredbe,</w:t>
      </w:r>
    </w:p>
    <w:p>
      <w:pPr>
        <w:rPr>
          <w:noProof/>
        </w:rPr>
      </w:pPr>
      <w:r>
        <w:rPr>
          <w:noProof/>
        </w:rPr>
        <w:t>ob upoštevanju Medinstitucionalnega sporazuma z dne 2. decembra 2013 med Evropskim parlamentom, Svetom in Komisijo o proračunski disciplini, sodelovanju v proračunskih zadevah in dobrem finančnem poslovodenju</w:t>
      </w:r>
      <w:r>
        <w:rPr>
          <w:rStyle w:val="FootnoteReference"/>
          <w:noProof/>
        </w:rPr>
        <w:footnoteReference w:id="5"/>
      </w:r>
      <w:r>
        <w:rPr>
          <w:noProof/>
        </w:rPr>
        <w:t xml:space="preserve"> in zlasti točke 11 Sporazuma,</w:t>
      </w:r>
    </w:p>
    <w:p>
      <w:pPr>
        <w:rPr>
          <w:noProof/>
        </w:rPr>
      </w:pPr>
      <w:r>
        <w:rPr>
          <w:noProof/>
        </w:rPr>
        <w:t>ob upoštevanju predloga Evropske komisije,</w:t>
      </w:r>
    </w:p>
    <w:p>
      <w:pPr>
        <w:spacing w:after="360"/>
        <w:rPr>
          <w:noProof/>
        </w:rPr>
      </w:pPr>
      <w:r>
        <w:rPr>
          <w:noProof/>
        </w:rPr>
        <w:t>ob upoštevanju naslednjega:</w:t>
      </w:r>
    </w:p>
    <w:p>
      <w:pPr>
        <w:pStyle w:val="Point0"/>
        <w:rPr>
          <w:noProof/>
        </w:rPr>
      </w:pPr>
      <w:r>
        <w:t>(1)</w:t>
      </w:r>
      <w:r>
        <w:tab/>
      </w:r>
      <w:r>
        <w:rPr>
          <w:noProof/>
        </w:rPr>
        <w:t xml:space="preserve">Namen Solidarnostnega sklada Evropske unije (v nadaljnjem besedilu: Sklad) je omogočiti Uniji, da se hitro, učinkovito in prožno odziva na izredne razmere in tako izkaže solidarnost s prebivalstvom regij, ki so jih prizadele naravne nesreče. </w:t>
      </w:r>
    </w:p>
    <w:p>
      <w:pPr>
        <w:pStyle w:val="Point0"/>
        <w:rPr>
          <w:noProof/>
        </w:rPr>
      </w:pPr>
      <w:r>
        <w:t>(2)</w:t>
      </w:r>
      <w:r>
        <w:tab/>
      </w:r>
      <w:r>
        <w:rPr>
          <w:noProof/>
        </w:rPr>
        <w:t>Sredstva Sklada ne presegajo najvišjega letnega zneska 500 000 000 EUR (v cenah iz leta 2011), kot je določeno v členu 10 Uredbe Sveta (EU, Euratom) št. 1311/2013</w:t>
      </w:r>
      <w:r>
        <w:rPr>
          <w:rStyle w:val="FootnoteReference"/>
          <w:noProof/>
        </w:rPr>
        <w:footnoteReference w:id="6"/>
      </w:r>
      <w:r>
        <w:rPr>
          <w:noProof/>
        </w:rPr>
        <w:t>.</w:t>
      </w:r>
    </w:p>
    <w:p>
      <w:pPr>
        <w:pStyle w:val="Point0"/>
        <w:rPr>
          <w:noProof/>
        </w:rPr>
      </w:pPr>
      <w:r>
        <w:t>(3)</w:t>
      </w:r>
      <w:r>
        <w:tab/>
      </w:r>
      <w:r>
        <w:rPr>
          <w:noProof/>
        </w:rPr>
        <w:t>Portugalska je 8. novembra 2019 vložila vlogo za uporabo sredstev Sklada po ekstremnih vremenskih dogodkih na Azorih.</w:t>
      </w:r>
    </w:p>
    <w:p>
      <w:pPr>
        <w:pStyle w:val="Point0"/>
        <w:rPr>
          <w:noProof/>
        </w:rPr>
      </w:pPr>
      <w:r>
        <w:t>(4)</w:t>
      </w:r>
      <w:r>
        <w:tab/>
      </w:r>
      <w:r>
        <w:rPr>
          <w:noProof/>
        </w:rPr>
        <w:t xml:space="preserve">Španija je 28. novembra 2019 vložila vlogo za uporabo sredstev sklada po ekstremnih padavinah, ki so povzročile poplave v regijah Valencija, Murcija, Kastilja-Manča in Andaluzija. </w:t>
      </w:r>
    </w:p>
    <w:p>
      <w:pPr>
        <w:pStyle w:val="Point0"/>
        <w:rPr>
          <w:noProof/>
        </w:rPr>
      </w:pPr>
      <w:r>
        <w:t>(5)</w:t>
      </w:r>
      <w:r>
        <w:tab/>
      </w:r>
      <w:r>
        <w:rPr>
          <w:noProof/>
        </w:rPr>
        <w:t>Italija je 10. januarja 2020 vložila vlogo za uporabo sredstev Sklada po ekstremnih vremenskih dogodkih v 17 regijah jeseni 2019.</w:t>
      </w:r>
    </w:p>
    <w:p>
      <w:pPr>
        <w:pStyle w:val="Point0"/>
        <w:rPr>
          <w:noProof/>
        </w:rPr>
      </w:pPr>
      <w:r>
        <w:t>(6)</w:t>
      </w:r>
      <w:r>
        <w:tab/>
      </w:r>
      <w:r>
        <w:rPr>
          <w:noProof/>
        </w:rPr>
        <w:t>Avstrija je 29. januarja 2019 vložila vlogo za uporabo sredstev Sklada po ekstremnih vremenskih dogodkih novembra 2019.</w:t>
      </w:r>
    </w:p>
    <w:p>
      <w:pPr>
        <w:pStyle w:val="Point0"/>
        <w:rPr>
          <w:noProof/>
        </w:rPr>
      </w:pPr>
      <w:r>
        <w:t>(7)</w:t>
      </w:r>
      <w:r>
        <w:tab/>
      </w:r>
      <w:r>
        <w:rPr>
          <w:noProof/>
        </w:rPr>
        <w:t>Vloge Portugalske, Španije, Italije in Avstrije izpolnjujejo pogoje za izplačilo finančnega prispevka iz Sklada, kot je določeno v členu 4 Uredbe (ES) št. 2012/2002.</w:t>
      </w:r>
    </w:p>
    <w:p>
      <w:pPr>
        <w:pStyle w:val="Point0"/>
        <w:rPr>
          <w:noProof/>
        </w:rPr>
      </w:pPr>
      <w:r>
        <w:t>(8)</w:t>
      </w:r>
      <w:r>
        <w:tab/>
      </w:r>
      <w:r>
        <w:rPr>
          <w:noProof/>
        </w:rPr>
        <w:t>Zato bi bilo treba uporabiti Sklad za zagotovitev finančnega prispevka Portugalski, Španiji, Italiji in Avstriji.</w:t>
      </w:r>
    </w:p>
    <w:p>
      <w:pPr>
        <w:pStyle w:val="Point0"/>
        <w:rPr>
          <w:noProof/>
        </w:rPr>
      </w:pPr>
      <w:r>
        <w:lastRenderedPageBreak/>
        <w:t>(9)</w:t>
      </w:r>
      <w:r>
        <w:tab/>
      </w:r>
      <w:r>
        <w:rPr>
          <w:noProof/>
        </w:rPr>
        <w:t>Da bi se lahko sredstva iz Sklada čim prej uporabila, bi bilo treba ta sklep uporabljati od datuma sprejetja –</w:t>
      </w:r>
    </w:p>
    <w:p>
      <w:pPr>
        <w:pStyle w:val="Formuledadoption"/>
        <w:rPr>
          <w:noProof/>
        </w:rPr>
      </w:pPr>
      <w:r>
        <w:rPr>
          <w:noProof/>
        </w:rPr>
        <w:t>SPREJELA NASLEDNJI SKLEP:</w:t>
      </w:r>
    </w:p>
    <w:p>
      <w:pPr>
        <w:pStyle w:val="Titrearticle"/>
        <w:spacing w:before="240"/>
        <w:rPr>
          <w:noProof/>
        </w:rPr>
      </w:pPr>
      <w:r>
        <w:rPr>
          <w:noProof/>
        </w:rPr>
        <w:t>Člen 1</w:t>
      </w:r>
    </w:p>
    <w:p>
      <w:pPr>
        <w:pStyle w:val="FootnoteText"/>
        <w:spacing w:before="120" w:after="120"/>
        <w:ind w:left="0" w:firstLine="0"/>
        <w:rPr>
          <w:noProof/>
          <w:sz w:val="24"/>
          <w:szCs w:val="22"/>
        </w:rPr>
      </w:pPr>
      <w:r>
        <w:rPr>
          <w:noProof/>
          <w:sz w:val="24"/>
          <w:szCs w:val="22"/>
        </w:rPr>
        <w:t>V okviru splošnega proračuna Evropske unije za proračunsko leto 2020 se iz Solidarnostnega sklada Evropske unije uporabijo naslednja sredstva v odobritvah za prevzem obveznosti in odobritvah plačil:</w:t>
      </w:r>
    </w:p>
    <w:p>
      <w:pPr>
        <w:pStyle w:val="FootnoteText"/>
        <w:spacing w:before="120" w:after="120"/>
        <w:ind w:firstLine="0"/>
        <w:rPr>
          <w:noProof/>
          <w:sz w:val="24"/>
          <w:szCs w:val="22"/>
        </w:rPr>
      </w:pPr>
      <w:r>
        <w:rPr>
          <w:noProof/>
          <w:sz w:val="24"/>
          <w:szCs w:val="22"/>
        </w:rPr>
        <w:t>(a) znesek v višini 8 212 697 EUR se zagotovi Portugalski;</w:t>
      </w:r>
    </w:p>
    <w:p>
      <w:pPr>
        <w:pStyle w:val="FootnoteText"/>
        <w:spacing w:before="120" w:after="120"/>
        <w:ind w:firstLine="0"/>
        <w:rPr>
          <w:noProof/>
          <w:sz w:val="24"/>
          <w:szCs w:val="22"/>
        </w:rPr>
      </w:pPr>
      <w:r>
        <w:rPr>
          <w:noProof/>
          <w:sz w:val="24"/>
          <w:szCs w:val="22"/>
        </w:rPr>
        <w:t>(b) znesek v višini 56 743 358 EUR se zagotovi Španiji;</w:t>
      </w:r>
    </w:p>
    <w:p>
      <w:pPr>
        <w:pStyle w:val="FootnoteText"/>
        <w:spacing w:before="120" w:after="120"/>
        <w:ind w:firstLine="0"/>
        <w:rPr>
          <w:noProof/>
          <w:sz w:val="24"/>
          <w:szCs w:val="22"/>
        </w:rPr>
      </w:pPr>
      <w:r>
        <w:rPr>
          <w:noProof/>
          <w:sz w:val="24"/>
          <w:szCs w:val="22"/>
        </w:rPr>
        <w:t>(c) znesek v višini 211 707 982 EUR se zagotovi Italiji;</w:t>
      </w:r>
    </w:p>
    <w:p>
      <w:pPr>
        <w:pStyle w:val="FootnoteText"/>
        <w:spacing w:before="120" w:after="120"/>
        <w:ind w:firstLine="0"/>
        <w:rPr>
          <w:noProof/>
          <w:sz w:val="24"/>
          <w:szCs w:val="22"/>
        </w:rPr>
      </w:pPr>
      <w:r>
        <w:rPr>
          <w:noProof/>
          <w:sz w:val="24"/>
          <w:szCs w:val="22"/>
        </w:rPr>
        <w:t>(d) znesek v višini 2 329 777 EUR se zagotovi Avstriji.</w:t>
      </w:r>
    </w:p>
    <w:p>
      <w:pPr>
        <w:pStyle w:val="Titrearticle"/>
        <w:rPr>
          <w:noProof/>
        </w:rPr>
      </w:pPr>
      <w:r>
        <w:rPr>
          <w:noProof/>
        </w:rPr>
        <w:t>Člen 2</w:t>
      </w:r>
    </w:p>
    <w:p>
      <w:pPr>
        <w:rPr>
          <w:noProof/>
        </w:rPr>
      </w:pPr>
      <w:r>
        <w:rPr>
          <w:noProof/>
        </w:rPr>
        <w:t>Ta sklep začne veljati na dan objave v </w:t>
      </w:r>
      <w:r>
        <w:rPr>
          <w:i/>
          <w:noProof/>
        </w:rPr>
        <w:t>Uradnem listu Evropske unije</w:t>
      </w:r>
      <w:r>
        <w:rPr>
          <w:noProof/>
        </w:rPr>
        <w:t>.</w:t>
      </w:r>
    </w:p>
    <w:p>
      <w:pPr>
        <w:rPr>
          <w:i/>
          <w:noProof/>
        </w:rPr>
      </w:pPr>
      <w:r>
        <w:rPr>
          <w:noProof/>
        </w:rPr>
        <w:t>Uporablja se od ... [</w:t>
      </w:r>
      <w:r>
        <w:rPr>
          <w:i/>
          <w:noProof/>
        </w:rPr>
        <w:t>datum sprejetja</w:t>
      </w:r>
      <w:r>
        <w:rPr>
          <w:noProof/>
        </w:rPr>
        <w:t>]</w:t>
      </w:r>
      <w:r>
        <w:rPr>
          <w:rStyle w:val="FootnoteReference"/>
          <w:noProof/>
        </w:rPr>
        <w:footnoteReference w:customMarkFollows="1" w:id="7"/>
        <w:sym w:font="Symbol" w:char="F02A"/>
      </w:r>
      <w:r>
        <w:rPr>
          <w:rStyle w:val="FootnoteReference"/>
          <w:noProof/>
        </w:rPr>
        <w:sym w:font="Symbol" w:char="F02A"/>
      </w:r>
      <w:r>
        <w:rPr>
          <w:rStyle w:val="FootnoteReference"/>
          <w:noProof/>
        </w:rPr>
        <w:sym w:font="Symbol" w:char="F02A"/>
      </w:r>
      <w:r>
        <w:rPr>
          <w:i/>
          <w:noProof/>
        </w:rPr>
        <w:t>.</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COM(2020) 190 z dne 30. aprila 2020.</w:t>
      </w:r>
    </w:p>
  </w:footnote>
  <w:footnote w:id="2">
    <w:p>
      <w:pPr>
        <w:pStyle w:val="FootnoteText"/>
      </w:pPr>
      <w:r>
        <w:rPr>
          <w:rStyle w:val="FootnoteReference"/>
        </w:rPr>
        <w:footnoteRef/>
      </w:r>
      <w:r>
        <w:tab/>
        <w:t>UL L 347, 20.12.2013, str. 884.</w:t>
      </w:r>
    </w:p>
  </w:footnote>
  <w:footnote w:id="3">
    <w:p>
      <w:pPr>
        <w:pStyle w:val="FootnoteText"/>
      </w:pPr>
      <w:r>
        <w:rPr>
          <w:rStyle w:val="FootnoteReference"/>
        </w:rPr>
        <w:footnoteRef/>
      </w:r>
      <w:r>
        <w:tab/>
        <w:t>UL C 373, 20.12.2013, str. 1.</w:t>
      </w:r>
    </w:p>
  </w:footnote>
  <w:footnote w:id="4">
    <w:p>
      <w:pPr>
        <w:pStyle w:val="FootnoteText"/>
      </w:pPr>
      <w:r>
        <w:rPr>
          <w:rStyle w:val="FootnoteReference"/>
        </w:rPr>
        <w:footnoteRef/>
      </w:r>
      <w:r>
        <w:tab/>
      </w:r>
      <w:r>
        <w:rPr>
          <w:shd w:val="clear" w:color="auto" w:fill="FFFFFF"/>
        </w:rPr>
        <w:t>UL L 311, 14.11.2002, str. 3.</w:t>
      </w:r>
    </w:p>
  </w:footnote>
  <w:footnote w:id="5">
    <w:p>
      <w:pPr>
        <w:pStyle w:val="FootnoteText"/>
      </w:pPr>
      <w:r>
        <w:rPr>
          <w:rStyle w:val="FootnoteReference"/>
        </w:rPr>
        <w:footnoteRef/>
      </w:r>
      <w:r>
        <w:tab/>
        <w:t>UL C 373, 20.12.2013, str. 1.</w:t>
      </w:r>
    </w:p>
  </w:footnote>
  <w:footnote w:id="6">
    <w:p>
      <w:pPr>
        <w:pStyle w:val="FootnoteText"/>
      </w:pPr>
      <w:r>
        <w:rPr>
          <w:rStyle w:val="FootnoteReference"/>
        </w:rPr>
        <w:footnoteRef/>
      </w:r>
      <w:r>
        <w:tab/>
        <w:t>Uredba Sveta (EU, Euratom) št. 1311/2013 z dne 2. decembra 2013 o večletnem finančnem okviru za obdobje 2014–2020 (UL L 347, 20.12.2013, str. 884).</w:t>
      </w:r>
    </w:p>
  </w:footnote>
  <w:footnote w:id="7">
    <w:p>
      <w:pPr>
        <w:pStyle w:val="FootnoteText"/>
      </w:pPr>
      <w:r>
        <w:rPr>
          <w:rStyle w:val="FootnoteReference"/>
        </w:rPr>
        <w:sym w:font="Symbol" w:char="F02A"/>
      </w:r>
      <w:r>
        <w:rPr>
          <w:rStyle w:val="FootnoteReference"/>
        </w:rPr>
        <w:sym w:font="Symbol" w:char="F02A"/>
      </w:r>
      <w:r>
        <w:t xml:space="preserve"> </w:t>
      </w:r>
      <w:r>
        <w:rPr>
          <w:i/>
        </w:rPr>
        <w:t>Datum vstavi Parlament pred objavo v 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06B7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6A31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6A1C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86FA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7C8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0C06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6A607E0"/>
    <w:lvl w:ilvl="0">
      <w:start w:val="1"/>
      <w:numFmt w:val="decimal"/>
      <w:pStyle w:val="ListNumber"/>
      <w:lvlText w:val="%1."/>
      <w:lvlJc w:val="left"/>
      <w:pPr>
        <w:tabs>
          <w:tab w:val="num" w:pos="360"/>
        </w:tabs>
        <w:ind w:left="360" w:hanging="360"/>
      </w:pPr>
    </w:lvl>
  </w:abstractNum>
  <w:abstractNum w:abstractNumId="7">
    <w:nsid w:val="FFFFFF89"/>
    <w:multiLevelType w:val="singleLevel"/>
    <w:tmpl w:val="AE7C5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1 19:03:18"/>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AC14610-D23B-4A80-ADBD-49EE2D684098"/>
    <w:docVar w:name="LW_COVERPAGE_TYPE" w:val="1"/>
    <w:docVar w:name="LW_CROSSREFERENCE" w:val="&lt;UNUSED&gt;"/>
    <w:docVar w:name="LW_DocType" w:val="COM"/>
    <w:docVar w:name="LW_EMISSION" w:val="30.4.2020"/>
    <w:docVar w:name="LW_EMISSION_ISODATE" w:val="2020-04-30"/>
    <w:docVar w:name="LW_EMISSION_LOCATION" w:val="BRX"/>
    <w:docVar w:name="LW_EMISSION_PREFIX" w:val="Bruselj,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uporabi Solidarnostnega sklada Evropske unije za pomo\u269? Portugalski, \u352?paniji, Italiji in Avstriji"/>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11</Pages>
  <Words>3931</Words>
  <Characters>21819</Characters>
  <Application>Microsoft Office Word</Application>
  <DocSecurity>0</DocSecurity>
  <Lines>464</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2020-05-11T06:57:00Z</dcterms:created>
  <dcterms:modified xsi:type="dcterms:W3CDTF">2020-05-11T17:03:00Z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