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51FCA45A-51FE-4429-92A9-D909EF981143" style="width:450.75pt;height:393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MOTIVERING</w:t>
      </w:r>
    </w:p>
    <w:p>
      <w:pPr>
        <w:pStyle w:val="ManualHeading1"/>
        <w:rPr>
          <w:rFonts w:eastAsia="Arial Unicode MS"/>
          <w:noProof/>
        </w:rPr>
      </w:pPr>
      <w:r>
        <w:t>1.</w:t>
      </w:r>
      <w:r>
        <w:tab/>
      </w:r>
      <w:r>
        <w:rPr>
          <w:noProof/>
        </w:rPr>
        <w:t>Fråga som behandlas i förslaget</w:t>
      </w:r>
    </w:p>
    <w:p>
      <w:pPr>
        <w:rPr>
          <w:noProof/>
        </w:rPr>
      </w:pPr>
      <w:r>
        <w:rPr>
          <w:noProof/>
        </w:rPr>
        <w:t xml:space="preserve">Detta förslag avser ett beslut om fastställande av den ståndpunkt som ska intas på Europeiska unionens (nedan kallad </w:t>
      </w:r>
      <w:r>
        <w:rPr>
          <w:i/>
          <w:noProof/>
        </w:rPr>
        <w:t>unionen</w:t>
      </w:r>
      <w:r>
        <w:rPr>
          <w:noProof/>
        </w:rPr>
        <w:t xml:space="preserve">) vägnar i kommittén för ekonomiskt partnerskap (nedan kallad </w:t>
      </w:r>
      <w:r>
        <w:rPr>
          <w:i/>
          <w:noProof/>
        </w:rPr>
        <w:t>AEP-kommittén</w:t>
      </w:r>
      <w:r>
        <w:rPr>
          <w:noProof/>
        </w:rPr>
        <w:t xml:space="preserve">), vilken inrättades genom det inledande avtalet om ekonomiskt partnerskap mellan Elfenbenskusten, å ena sidan, och Europeiska gemenskapen och dess medlemsstater, å andra sidan (nedan kallat </w:t>
      </w:r>
      <w:r>
        <w:rPr>
          <w:i/>
          <w:noProof/>
        </w:rPr>
        <w:t>avtalet</w:t>
      </w:r>
      <w:r>
        <w:rPr>
          <w:noProof/>
        </w:rPr>
        <w:t>)</w:t>
      </w:r>
      <w:r>
        <w:rPr>
          <w:rStyle w:val="FootnoteReference"/>
          <w:noProof/>
        </w:rPr>
        <w:footnoteReference w:id="1"/>
      </w:r>
      <w:r>
        <w:rPr>
          <w:noProof/>
        </w:rPr>
        <w:t>, med avseende på det planerade antagandet av förteckningen över personer som är villiga och kapabla att åta sig uppdraget som skiljemän.</w:t>
      </w:r>
    </w:p>
    <w:p>
      <w:pPr>
        <w:pStyle w:val="ManualHeading1"/>
        <w:rPr>
          <w:bCs/>
          <w:noProof/>
          <w:szCs w:val="24"/>
        </w:rPr>
      </w:pPr>
      <w:r>
        <w:t>2.</w:t>
      </w:r>
      <w:r>
        <w:tab/>
      </w:r>
      <w:r>
        <w:rPr>
          <w:noProof/>
        </w:rPr>
        <w:t>Bakgrund till förslaget</w:t>
      </w:r>
    </w:p>
    <w:p>
      <w:pPr>
        <w:pStyle w:val="ManualHeading2"/>
        <w:rPr>
          <w:noProof/>
        </w:rPr>
      </w:pPr>
      <w:r>
        <w:t>2.1.</w:t>
      </w:r>
      <w:r>
        <w:tab/>
      </w:r>
      <w:r>
        <w:rPr>
          <w:noProof/>
        </w:rPr>
        <w:t>Inledande avtal om ekonomiskt partnerskap mellan Elfenbenskusten och Europeiska unionen</w:t>
      </w:r>
    </w:p>
    <w:p>
      <w:pPr>
        <w:pBdr>
          <w:top w:val="nil"/>
          <w:left w:val="nil"/>
          <w:bottom w:val="nil"/>
          <w:right w:val="nil"/>
          <w:between w:val="nil"/>
          <w:bar w:val="nil"/>
        </w:pBdr>
        <w:spacing w:after="100" w:afterAutospacing="1"/>
        <w:rPr>
          <w:noProof/>
          <w:szCs w:val="24"/>
        </w:rPr>
      </w:pPr>
      <w:r>
        <w:rPr>
          <w:noProof/>
        </w:rPr>
        <w:t>Avtalets syfte är att lägga grunden för ett avtal om ekonomiskt partnerskap som är förenligt med Cotonouavtalet. Avtalet har tillämpats provisoriskt sedan den 3 september 2016.</w:t>
      </w:r>
    </w:p>
    <w:p>
      <w:pPr>
        <w:pStyle w:val="ManualHeading2"/>
        <w:rPr>
          <w:noProof/>
          <w:szCs w:val="24"/>
        </w:rPr>
      </w:pPr>
      <w:r>
        <w:t>2.2.</w:t>
      </w:r>
      <w:r>
        <w:tab/>
      </w:r>
      <w:r>
        <w:rPr>
          <w:noProof/>
        </w:rPr>
        <w:t>AEP-kommittén</w:t>
      </w:r>
    </w:p>
    <w:p>
      <w:pPr>
        <w:pBdr>
          <w:top w:val="nil"/>
          <w:left w:val="nil"/>
          <w:bottom w:val="nil"/>
          <w:right w:val="nil"/>
          <w:between w:val="nil"/>
          <w:bar w:val="nil"/>
        </w:pBdr>
        <w:spacing w:after="100" w:afterAutospacing="1"/>
        <w:rPr>
          <w:noProof/>
          <w:szCs w:val="24"/>
        </w:rPr>
      </w:pPr>
      <w:r>
        <w:rPr>
          <w:noProof/>
        </w:rPr>
        <w:t>AEP-kommittén är det gemensamma institutionella organet för avtalet. I artikel 73 i avtalet anges att AEP-kommittén ska ansvara för förvaltningen av alla områden som omfattas av avtalet och för utförandet av alla uppgifter som nämns i avtalet. AEP-kommitténs beslut ska fattas med enhällighet.  AEP-kommitténs arbetssätt beskrivs i dess arbetsordning</w:t>
      </w:r>
      <w:r>
        <w:rPr>
          <w:rStyle w:val="FootnoteReference"/>
          <w:noProof/>
        </w:rPr>
        <w:footnoteReference w:id="2"/>
      </w:r>
      <w:r>
        <w:rPr>
          <w:noProof/>
        </w:rPr>
        <w:t xml:space="preserve">. </w:t>
      </w:r>
    </w:p>
    <w:p>
      <w:pPr>
        <w:pStyle w:val="ManualHeading2"/>
        <w:rPr>
          <w:noProof/>
          <w:szCs w:val="24"/>
        </w:rPr>
      </w:pPr>
      <w:r>
        <w:t>2.3.</w:t>
      </w:r>
      <w:r>
        <w:tab/>
      </w:r>
      <w:r>
        <w:rPr>
          <w:noProof/>
        </w:rPr>
        <w:t>Akt som planeras av AEP-kommittén</w:t>
      </w:r>
    </w:p>
    <w:p>
      <w:pPr>
        <w:pBdr>
          <w:top w:val="nil"/>
          <w:left w:val="nil"/>
          <w:bottom w:val="nil"/>
          <w:right w:val="nil"/>
          <w:between w:val="nil"/>
          <w:bar w:val="nil"/>
        </w:pBdr>
        <w:spacing w:after="100" w:afterAutospacing="1"/>
        <w:rPr>
          <w:noProof/>
          <w:szCs w:val="24"/>
        </w:rPr>
      </w:pPr>
      <w:r>
        <w:rPr>
          <w:noProof/>
        </w:rPr>
        <w:t>Vid sitt femte sammanträde den [</w:t>
      </w:r>
      <w:r>
        <w:rPr>
          <w:i/>
          <w:noProof/>
        </w:rPr>
        <w:t>datum</w:t>
      </w:r>
      <w:r>
        <w:rPr>
          <w:noProof/>
        </w:rPr>
        <w:t xml:space="preserve">] kommer AEP-kommittén i enlighet med artikel 64 i avtalet att anta ett beslut om antagande av förteckningen över skiljemän (nedan kallad </w:t>
      </w:r>
      <w:r>
        <w:rPr>
          <w:i/>
          <w:noProof/>
        </w:rPr>
        <w:t>den planerade akten</w:t>
      </w:r>
      <w:r>
        <w:rPr>
          <w:noProof/>
        </w:rPr>
        <w:t xml:space="preserve">). </w:t>
      </w:r>
    </w:p>
    <w:p>
      <w:pPr>
        <w:pBdr>
          <w:top w:val="nil"/>
          <w:left w:val="nil"/>
          <w:bottom w:val="nil"/>
          <w:right w:val="nil"/>
          <w:between w:val="nil"/>
          <w:bar w:val="nil"/>
        </w:pBdr>
        <w:spacing w:after="100" w:afterAutospacing="1"/>
        <w:rPr>
          <w:noProof/>
          <w:szCs w:val="24"/>
        </w:rPr>
      </w:pPr>
      <w:r>
        <w:rPr>
          <w:noProof/>
        </w:rPr>
        <w:t>I artikel 64.1 i avtalet föreskrivs att AEP-kommittén ska ”sammanställa en förteckning över 15 personer som är villiga och kapabla att åta sig uppdraget som skiljemän”.</w:t>
      </w:r>
    </w:p>
    <w:p>
      <w:pPr>
        <w:pBdr>
          <w:top w:val="nil"/>
          <w:left w:val="nil"/>
          <w:bottom w:val="nil"/>
          <w:right w:val="nil"/>
          <w:between w:val="nil"/>
          <w:bar w:val="nil"/>
        </w:pBdr>
        <w:spacing w:after="100" w:afterAutospacing="1"/>
        <w:rPr>
          <w:noProof/>
          <w:szCs w:val="24"/>
        </w:rPr>
      </w:pPr>
      <w:r>
        <w:rPr>
          <w:noProof/>
        </w:rPr>
        <w:t>Syftet med den planerade akten är att upprätta en förteckning över femton personer som fullgör uppdraget som skiljemän vid ett skiljeförfarande i enlighet med avdelning V i avtalet. Antagandet av förteckningen är ett mycket viktigt led i färdigställandet av den operativa ramen för avtalets bestämmelser om förebyggande och lösning av tvister.</w:t>
      </w:r>
    </w:p>
    <w:p>
      <w:pPr>
        <w:pStyle w:val="ManualHeading1"/>
        <w:rPr>
          <w:bCs/>
          <w:noProof/>
        </w:rPr>
      </w:pPr>
      <w:r>
        <w:t>3.</w:t>
      </w:r>
      <w:r>
        <w:tab/>
      </w:r>
      <w:r>
        <w:rPr>
          <w:noProof/>
        </w:rPr>
        <w:t>Den ståndpunkt som ska intas på unionens vägnar</w:t>
      </w:r>
    </w:p>
    <w:p>
      <w:pPr>
        <w:pBdr>
          <w:top w:val="nil"/>
          <w:left w:val="nil"/>
          <w:bottom w:val="nil"/>
          <w:right w:val="nil"/>
          <w:between w:val="nil"/>
          <w:bar w:val="nil"/>
        </w:pBdr>
        <w:spacing w:after="100" w:afterAutospacing="1"/>
        <w:rPr>
          <w:noProof/>
          <w:szCs w:val="24"/>
        </w:rPr>
      </w:pPr>
      <w:r>
        <w:rPr>
          <w:noProof/>
        </w:rPr>
        <w:t>Genom detta förslag till rådets beslut fastställs den ståndpunkt som ska intas på unionens vägnar i AEP-kommittén, vilken inrättades genom det inledande avtalet om ekonomiskt partnerskap mellan Elfenbenskusten, å ena sidan, och Europeiska gemenskapen och dess medlemsstater, å andra sidan, med avseende på fastställandet av förteckningen över personer som är villiga och kapabla att åta sig uppdraget som skiljemän i enlighet med artikel 64 i avtalet.</w:t>
      </w:r>
    </w:p>
    <w:p>
      <w:pPr>
        <w:pBdr>
          <w:top w:val="nil"/>
          <w:left w:val="nil"/>
          <w:bottom w:val="nil"/>
          <w:right w:val="nil"/>
          <w:between w:val="nil"/>
          <w:bar w:val="nil"/>
        </w:pBdr>
        <w:spacing w:after="100" w:afterAutospacing="1"/>
        <w:rPr>
          <w:noProof/>
          <w:szCs w:val="24"/>
        </w:rPr>
      </w:pPr>
      <w:r>
        <w:rPr>
          <w:noProof/>
        </w:rPr>
        <w:lastRenderedPageBreak/>
        <w:t>Parterna i avtalet godkände detta förslag till beslut och paraferade det vid AEP-kommitténs fjärde sammanträde den 27–28 november 2019 och de kommer, om inte annat följer av EU:s beslutsförfaranden, att anta det vid AEP-kommitténs nästa sammanträde, vilket planeras äga rum i slutet av 2020.</w:t>
      </w:r>
    </w:p>
    <w:p>
      <w:pPr>
        <w:pBdr>
          <w:top w:val="nil"/>
          <w:left w:val="nil"/>
          <w:bottom w:val="nil"/>
          <w:right w:val="nil"/>
          <w:between w:val="nil"/>
          <w:bar w:val="nil"/>
        </w:pBdr>
        <w:spacing w:after="100" w:afterAutospacing="1"/>
        <w:rPr>
          <w:noProof/>
          <w:szCs w:val="24"/>
        </w:rPr>
      </w:pPr>
      <w:r>
        <w:rPr>
          <w:noProof/>
        </w:rPr>
        <w:t>Föreliggande beslut är nödvändigt för att ge rättslig verkan åt bestämmelserna i avdelning V i avtalet om förebyggande av tvister och tvistlösning och för att säkerställa ett korrekt genomförande av avtalet.</w:t>
      </w:r>
    </w:p>
    <w:p>
      <w:pPr>
        <w:pStyle w:val="ManualHeading1"/>
        <w:rPr>
          <w:bCs/>
          <w:noProof/>
          <w:szCs w:val="24"/>
        </w:rPr>
      </w:pPr>
      <w:r>
        <w:t>4.</w:t>
      </w:r>
      <w:r>
        <w:tab/>
      </w:r>
      <w:r>
        <w:rPr>
          <w:noProof/>
        </w:rPr>
        <w:t>Förfarandemässig rättslig grund</w:t>
      </w:r>
    </w:p>
    <w:p>
      <w:pPr>
        <w:pStyle w:val="ManualHeading2"/>
        <w:rPr>
          <w:noProof/>
        </w:rPr>
      </w:pPr>
      <w:r>
        <w:t>4.1.</w:t>
      </w:r>
      <w:r>
        <w:tab/>
      </w:r>
      <w:r>
        <w:rPr>
          <w:noProof/>
        </w:rPr>
        <w:t>Förfarandemässig rättslig grund</w:t>
      </w:r>
    </w:p>
    <w:p>
      <w:pPr>
        <w:keepNext/>
        <w:outlineLvl w:val="2"/>
        <w:rPr>
          <w:i/>
          <w:noProof/>
        </w:rPr>
      </w:pPr>
      <w:r>
        <w:rPr>
          <w:i/>
          <w:noProof/>
        </w:rPr>
        <w:t>4.1.1.</w:t>
      </w:r>
      <w:r>
        <w:rPr>
          <w:i/>
          <w:noProof/>
        </w:rPr>
        <w:tab/>
        <w:t>Principer</w:t>
      </w:r>
    </w:p>
    <w:p>
      <w:pPr>
        <w:pBdr>
          <w:top w:val="nil"/>
          <w:left w:val="nil"/>
          <w:bottom w:val="nil"/>
          <w:right w:val="nil"/>
          <w:between w:val="nil"/>
          <w:bar w:val="nil"/>
        </w:pBdr>
        <w:spacing w:after="100" w:afterAutospacing="1"/>
        <w:rPr>
          <w:noProof/>
          <w:szCs w:val="24"/>
        </w:rPr>
      </w:pPr>
      <w:r>
        <w:rPr>
          <w:iCs/>
          <w:noProof/>
          <w:shd w:val="clear" w:color="auto" w:fill="FFFFFF"/>
        </w:rPr>
        <w:t>I artikel 218.9 i fördraget om Europeiska unionens funktionssätt</w:t>
      </w:r>
      <w:r>
        <w:rPr>
          <w:noProof/>
        </w:rPr>
        <w:t xml:space="preserve"> (nedan kallat </w:t>
      </w:r>
      <w:r>
        <w:rPr>
          <w:i/>
          <w:noProof/>
        </w:rPr>
        <w:t>EUF-fördraget</w:t>
      </w:r>
      <w:r>
        <w:rPr>
          <w:noProof/>
        </w:rPr>
        <w:t>) anges att det bör antas beslut ”</w:t>
      </w:r>
      <w:r>
        <w:rPr>
          <w:i/>
          <w:noProof/>
        </w:rPr>
        <w:t>om fastställande av vilka ståndpunkter som på unionens vägnar ska intas i ett organ som inrättas genom ett avtal, om detta organ ska anta akter med rättslig verkan, med undantag av sådana akter som kompletterar eller ändrar avtalets institutionella ram</w:t>
      </w:r>
      <w:r>
        <w:rPr>
          <w:noProof/>
        </w:rPr>
        <w:t>”.</w:t>
      </w:r>
    </w:p>
    <w:p>
      <w:pPr>
        <w:pBdr>
          <w:top w:val="nil"/>
          <w:left w:val="nil"/>
          <w:bottom w:val="nil"/>
          <w:right w:val="nil"/>
          <w:between w:val="nil"/>
          <w:bar w:val="nil"/>
        </w:pBdr>
        <w:spacing w:after="100" w:afterAutospacing="1"/>
        <w:rPr>
          <w:i/>
          <w:iCs/>
          <w:noProof/>
          <w:color w:val="000000"/>
          <w:szCs w:val="24"/>
          <w:shd w:val="clear" w:color="auto" w:fill="FFFFFF"/>
        </w:rPr>
      </w:pPr>
      <w:r>
        <w:rPr>
          <w:noProof/>
        </w:rPr>
        <w:t>Med begreppet ”</w:t>
      </w:r>
      <w:r>
        <w:rPr>
          <w:i/>
          <w:iCs/>
          <w:noProof/>
          <w:shd w:val="clear" w:color="auto" w:fill="FFFFFF"/>
        </w:rPr>
        <w:t>akter med rättslig verkan</w:t>
      </w:r>
      <w:r>
        <w:rPr>
          <w:noProof/>
        </w:rPr>
        <w:t>” avses akter som har rättslig verkan med stöd av de regler i internationell rätt som tillämpas på organet i fråga. Begreppet omfattar även instrument som inte har bindande verkan enligt internationell rätt, men som är ”</w:t>
      </w:r>
      <w:r>
        <w:rPr>
          <w:i/>
          <w:noProof/>
        </w:rPr>
        <w:t>ägnade att på ett avgörande sätt påverka innehållet i de bestämmelser som antas av unionslagstiftaren</w:t>
      </w:r>
      <w:r>
        <w:rPr>
          <w:rStyle w:val="FootnoteReference"/>
          <w:noProof/>
        </w:rPr>
        <w:footnoteReference w:id="3"/>
      </w:r>
      <w:r>
        <w:rPr>
          <w:noProof/>
        </w:rPr>
        <w:t>”.</w:t>
      </w:r>
    </w:p>
    <w:p>
      <w:pPr>
        <w:keepNext/>
        <w:outlineLvl w:val="2"/>
        <w:rPr>
          <w:i/>
          <w:noProof/>
          <w:szCs w:val="24"/>
        </w:rPr>
      </w:pPr>
      <w:r>
        <w:rPr>
          <w:i/>
          <w:noProof/>
        </w:rPr>
        <w:t>4.1.2.</w:t>
      </w:r>
      <w:r>
        <w:rPr>
          <w:i/>
          <w:noProof/>
        </w:rPr>
        <w:tab/>
        <w:t>Tillämpning i det aktuella fallet</w:t>
      </w:r>
    </w:p>
    <w:p>
      <w:pPr>
        <w:rPr>
          <w:noProof/>
        </w:rPr>
      </w:pPr>
      <w:r>
        <w:rPr>
          <w:noProof/>
        </w:rPr>
        <w:t>AEP-kommittén är ett organ som inrättas genom ett avtal, det vill säga det inledande avtalet om ekonomiskt partnerskap mellan Elfenbenskusten, å ena sidan, och Europeiska gemenskapen och dess medlemsstater, å andra sidan.</w:t>
      </w:r>
    </w:p>
    <w:p>
      <w:pPr>
        <w:rPr>
          <w:noProof/>
        </w:rPr>
      </w:pPr>
      <w:r>
        <w:rPr>
          <w:noProof/>
        </w:rPr>
        <w:t>Den akt som AEP-kommittén väntas anta är en akt med rättslig verkan. Den planerade akten kommer att bli bindande enligt internationell rätt i enlighet med artikel 64 i avtalet.</w:t>
      </w:r>
    </w:p>
    <w:p>
      <w:pPr>
        <w:rPr>
          <w:noProof/>
        </w:rPr>
      </w:pPr>
      <w:r>
        <w:rPr>
          <w:noProof/>
        </w:rPr>
        <w:t>Den planerade akten varken kompletterar eller ändrar avtalets institutionella ram.</w:t>
      </w:r>
    </w:p>
    <w:p>
      <w:pPr>
        <w:rPr>
          <w:noProof/>
        </w:rPr>
      </w:pPr>
      <w:r>
        <w:rPr>
          <w:noProof/>
        </w:rPr>
        <w:t>Den förfarandemässiga rättsliga grunden för det föreslagna beslutet är därför artikel 218.9 i EUF-fördraget.</w:t>
      </w:r>
    </w:p>
    <w:p>
      <w:pPr>
        <w:pStyle w:val="ManualHeading2"/>
        <w:rPr>
          <w:noProof/>
        </w:rPr>
      </w:pPr>
      <w:r>
        <w:t>4.2.</w:t>
      </w:r>
      <w:r>
        <w:tab/>
      </w:r>
      <w:r>
        <w:rPr>
          <w:noProof/>
        </w:rPr>
        <w:t>Materiell rättslig grund</w:t>
      </w:r>
    </w:p>
    <w:p>
      <w:pPr>
        <w:keepNext/>
        <w:outlineLvl w:val="2"/>
        <w:rPr>
          <w:i/>
          <w:noProof/>
          <w:szCs w:val="24"/>
        </w:rPr>
      </w:pPr>
      <w:r>
        <w:rPr>
          <w:i/>
          <w:noProof/>
        </w:rPr>
        <w:t>4.2.1.</w:t>
      </w:r>
      <w:r>
        <w:rPr>
          <w:i/>
          <w:noProof/>
        </w:rPr>
        <w:tab/>
        <w:t>Principer</w:t>
      </w:r>
    </w:p>
    <w:p>
      <w:pPr>
        <w:rPr>
          <w:noProof/>
          <w:szCs w:val="24"/>
        </w:rPr>
      </w:pPr>
      <w:r>
        <w:rPr>
          <w:noProof/>
        </w:rPr>
        <w:t>Valet av materiell rättslig grund för ett beslut enligt artikel 218.9 i EUF-fördraget avgörs främst av syftet med och innehållet i den planerade akt avseende vilken en ståndpunkt intas på unionens vägnar. Om den planerade akten har två syften eller har två beståndsdelar, av vilka det ena syftet eller den ena beståndsdelen kan identifieras som det eller den huvudsakliga, medan det eller den andra endast är av underordnad betydelse, måste det beslut som antas enligt artikel 218.9 i EUF-fördraget ha en enda materiell rättslig grund, nämligen den som krävs med hänsyn till det huvudsakliga eller avgörande syftet eller den huvudsakliga eller avgörande beståndsdelen.</w:t>
      </w:r>
    </w:p>
    <w:p>
      <w:pPr>
        <w:keepNext/>
        <w:outlineLvl w:val="2"/>
        <w:rPr>
          <w:i/>
          <w:noProof/>
          <w:szCs w:val="24"/>
        </w:rPr>
      </w:pPr>
      <w:r>
        <w:rPr>
          <w:i/>
          <w:noProof/>
        </w:rPr>
        <w:lastRenderedPageBreak/>
        <w:t>4.2.2.</w:t>
      </w:r>
      <w:r>
        <w:rPr>
          <w:i/>
          <w:noProof/>
        </w:rPr>
        <w:tab/>
        <w:t>Tillämpning i det aktuella fallet</w:t>
      </w:r>
    </w:p>
    <w:p>
      <w:pPr>
        <w:rPr>
          <w:noProof/>
          <w:szCs w:val="24"/>
        </w:rPr>
      </w:pPr>
      <w:r>
        <w:rPr>
          <w:noProof/>
        </w:rPr>
        <w:t>Eftersom skiljeförfarandet är avsett att tillämpas inom handelssektorn rör det huvudsakliga syftet med och innehållet i den planerade akten den gemensamma handelspolitiken. Den materiella rättsliga grunden för det föreslagna beslutet är därför artikel 207 i EUF-fördraget.</w:t>
      </w:r>
    </w:p>
    <w:p>
      <w:pPr>
        <w:pStyle w:val="ManualHeading2"/>
        <w:rPr>
          <w:noProof/>
          <w:szCs w:val="24"/>
        </w:rPr>
      </w:pPr>
      <w:r>
        <w:t>4.3.</w:t>
      </w:r>
      <w:r>
        <w:tab/>
      </w:r>
      <w:r>
        <w:rPr>
          <w:noProof/>
        </w:rPr>
        <w:t>Slutsats</w:t>
      </w:r>
    </w:p>
    <w:p>
      <w:pPr>
        <w:rPr>
          <w:noProof/>
          <w:szCs w:val="24"/>
        </w:rPr>
      </w:pPr>
      <w:r>
        <w:rPr>
          <w:noProof/>
        </w:rPr>
        <w:t>Den rättsliga grunden för förslaget till beslut bör vara artikel 207.4 första stycket i EUF-fördraget, jämförd med artikel 218.9 i EUF-fördraget.</w:t>
      </w:r>
    </w:p>
    <w:p>
      <w:pPr>
        <w:pStyle w:val="ManualHeading1"/>
        <w:rPr>
          <w:noProof/>
        </w:rPr>
      </w:pPr>
      <w:r>
        <w:t>5.</w:t>
      </w:r>
      <w:r>
        <w:tab/>
      </w:r>
      <w:r>
        <w:rPr>
          <w:noProof/>
        </w:rPr>
        <w:t>OFFENTLIGGÖRANDE AV DEN PLANERADE AKTEN</w:t>
      </w:r>
    </w:p>
    <w:p>
      <w:pPr>
        <w:rPr>
          <w:noProof/>
        </w:rPr>
      </w:pPr>
      <w:r>
        <w:rPr>
          <w:noProof/>
        </w:rPr>
        <w:t xml:space="preserve">Eftersom AEP-kommitténs beslut kommer att medföra en ändring av avtalet bör beslutet efter antagandet offentliggöras i </w:t>
      </w:r>
      <w:r>
        <w:rPr>
          <w:i/>
          <w:noProof/>
        </w:rPr>
        <w:t>Europeiska unionens officiella tidning</w:t>
      </w:r>
      <w:r>
        <w:rPr>
          <w:noProof/>
        </w:rPr>
        <w:t>.</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2020/0077 (NLE)</w:t>
      </w:r>
    </w:p>
    <w:p>
      <w:pPr>
        <w:pStyle w:val="Statut"/>
        <w:rPr>
          <w:noProof/>
        </w:rPr>
      </w:pPr>
      <w:r>
        <w:rPr>
          <w:noProof/>
        </w:rPr>
        <w:t>Förslag till</w:t>
      </w:r>
    </w:p>
    <w:p>
      <w:pPr>
        <w:pStyle w:val="Typedudocument"/>
        <w:rPr>
          <w:noProof/>
        </w:rPr>
      </w:pPr>
      <w:r>
        <w:rPr>
          <w:noProof/>
        </w:rPr>
        <w:t>RÅDETS BESLUT</w:t>
      </w:r>
    </w:p>
    <w:p>
      <w:pPr>
        <w:pStyle w:val="Titreobjet"/>
        <w:rPr>
          <w:noProof/>
        </w:rPr>
      </w:pPr>
      <w:r>
        <w:rPr>
          <w:noProof/>
        </w:rPr>
        <w:t>om fastställande av den ståndpunkt som ska intas på Europeiska unionens vägnar i AEP-kommittén, vilken inrättades genom det inledande avtalet om ekonomiskt partnerskap mellan Elfenbenskusten, å ena sidan, och Europeiska gemenskapen och dess medlemsstater, å andra sidan, med avseende på antagandet av förteckningen över skiljemän</w:t>
      </w:r>
    </w:p>
    <w:p>
      <w:pPr>
        <w:pStyle w:val="Institutionquiagit"/>
        <w:rPr>
          <w:noProof/>
        </w:rPr>
      </w:pPr>
      <w:r>
        <w:rPr>
          <w:noProof/>
        </w:rPr>
        <w:t>EUROPEISKA UNIONENS RÅD HAR ANTAGIT DETTA BESLUT</w:t>
      </w:r>
    </w:p>
    <w:p>
      <w:pPr>
        <w:rPr>
          <w:noProof/>
        </w:rPr>
      </w:pPr>
      <w:r>
        <w:rPr>
          <w:noProof/>
        </w:rPr>
        <w:t xml:space="preserve">med beaktande av fördraget om Europeiska unionens funktionssätt (nedan kallat </w:t>
      </w:r>
      <w:r>
        <w:rPr>
          <w:i/>
          <w:noProof/>
        </w:rPr>
        <w:t>EUF-fördraget</w:t>
      </w:r>
      <w:r>
        <w:rPr>
          <w:noProof/>
        </w:rPr>
        <w:t xml:space="preserve">), särskilt artikel 207.4 första stycket jämförd med artikel 218.9, </w:t>
      </w:r>
    </w:p>
    <w:p>
      <w:pPr>
        <w:rPr>
          <w:noProof/>
        </w:rPr>
      </w:pPr>
      <w:r>
        <w:rPr>
          <w:noProof/>
        </w:rPr>
        <w:t xml:space="preserve">med beaktande av det inledande avtalet om ekonomiskt partnerskap mellan Elfenbenskusten, å ena sidan, och Europeiska gemenskapen och dess medlemsstater, å andra sidan (nedan kallat </w:t>
      </w:r>
      <w:r>
        <w:rPr>
          <w:i/>
          <w:iCs/>
          <w:noProof/>
        </w:rPr>
        <w:t>avtalet</w:t>
      </w:r>
      <w:r>
        <w:rPr>
          <w:noProof/>
        </w:rPr>
        <w:t>)</w:t>
      </w:r>
      <w:r>
        <w:rPr>
          <w:rStyle w:val="FootnoteReference"/>
          <w:noProof/>
        </w:rPr>
        <w:footnoteReference w:id="4"/>
      </w:r>
      <w:r>
        <w:rPr>
          <w:noProof/>
        </w:rPr>
        <w:t>,</w:t>
      </w:r>
    </w:p>
    <w:p>
      <w:pPr>
        <w:rPr>
          <w:noProof/>
        </w:rPr>
      </w:pPr>
      <w:r>
        <w:rPr>
          <w:noProof/>
        </w:rPr>
        <w:t>med beaktande av Europeiska kommissionens förslag, och</w:t>
      </w:r>
    </w:p>
    <w:p>
      <w:pPr>
        <w:rPr>
          <w:noProof/>
        </w:rPr>
      </w:pPr>
      <w:r>
        <w:rPr>
          <w:noProof/>
        </w:rPr>
        <w:t>av följande skäl:</w:t>
      </w:r>
    </w:p>
    <w:p>
      <w:pPr>
        <w:pStyle w:val="ManualConsidrant"/>
        <w:rPr>
          <w:noProof/>
        </w:rPr>
      </w:pPr>
      <w:r>
        <w:t>(1)</w:t>
      </w:r>
      <w:r>
        <w:tab/>
      </w:r>
      <w:r>
        <w:rPr>
          <w:noProof/>
        </w:rPr>
        <w:t xml:space="preserve">Avtalet ingicks på Europeiska unionens vägnar (nedan kallad </w:t>
      </w:r>
      <w:r>
        <w:rPr>
          <w:i/>
          <w:noProof/>
        </w:rPr>
        <w:t>unionen</w:t>
      </w:r>
      <w:r>
        <w:rPr>
          <w:noProof/>
        </w:rPr>
        <w:t>) genom beslut 2009/156/EG</w:t>
      </w:r>
      <w:r>
        <w:rPr>
          <w:rStyle w:val="FootnoteReference"/>
          <w:noProof/>
        </w:rPr>
        <w:footnoteReference w:id="5"/>
      </w:r>
      <w:r>
        <w:rPr>
          <w:noProof/>
        </w:rPr>
        <w:t xml:space="preserve"> och har tillämpats provisoriskt sedan den 3 september 2016.</w:t>
      </w:r>
    </w:p>
    <w:p>
      <w:pPr>
        <w:pStyle w:val="ManualConsidrant"/>
        <w:rPr>
          <w:noProof/>
        </w:rPr>
      </w:pPr>
      <w:r>
        <w:t>(2)</w:t>
      </w:r>
      <w:r>
        <w:tab/>
      </w:r>
      <w:r>
        <w:rPr>
          <w:noProof/>
        </w:rPr>
        <w:t>I enlighet med artikel 64.1 i avtalet bör AEP-kommittén sammanställa en förteckning över personer som är villiga och kapabla att åta sig uppdraget som skiljemän.</w:t>
      </w:r>
    </w:p>
    <w:p>
      <w:pPr>
        <w:pStyle w:val="ManualConsidrant"/>
        <w:rPr>
          <w:noProof/>
        </w:rPr>
      </w:pPr>
      <w:r>
        <w:t>(3)</w:t>
      </w:r>
      <w:r>
        <w:tab/>
      </w:r>
      <w:r>
        <w:rPr>
          <w:noProof/>
        </w:rPr>
        <w:t>Vid sitt årliga sammanträde den [datum] kommer AEP-kommittén att anta ett beslut om fastställande av förteckningen enligt artikel 64.1 i avtalet över personer som är villiga och kapabla att åta sig uppdraget som skiljemän.</w:t>
      </w:r>
    </w:p>
    <w:p>
      <w:pPr>
        <w:pStyle w:val="ManualConsidrant"/>
        <w:rPr>
          <w:noProof/>
        </w:rPr>
      </w:pPr>
      <w:r>
        <w:t>(4)</w:t>
      </w:r>
      <w:r>
        <w:tab/>
      </w:r>
      <w:r>
        <w:rPr>
          <w:noProof/>
        </w:rPr>
        <w:t>Det är lämpligt att fastställa den ståndpunkt som bör intas på unionens vägnar i AEP-kommittén, eftersom beslutet kommer att vara bindande för unionen.</w:t>
      </w:r>
    </w:p>
    <w:p>
      <w:pPr>
        <w:pStyle w:val="Formuledadoption"/>
        <w:rPr>
          <w:noProof/>
        </w:rPr>
      </w:pPr>
      <w:r>
        <w:rPr>
          <w:noProof/>
        </w:rPr>
        <w:t>HÄRIGENOM FÖRESKRIVS FÖLJANDE.</w:t>
      </w:r>
    </w:p>
    <w:p>
      <w:pPr>
        <w:pStyle w:val="Titrearticle"/>
        <w:rPr>
          <w:noProof/>
        </w:rPr>
      </w:pPr>
      <w:r>
        <w:rPr>
          <w:noProof/>
        </w:rPr>
        <w:t>Artikel 1</w:t>
      </w:r>
    </w:p>
    <w:p>
      <w:pPr>
        <w:rPr>
          <w:noProof/>
        </w:rPr>
      </w:pPr>
      <w:r>
        <w:rPr>
          <w:noProof/>
        </w:rPr>
        <w:t>Den ståndpunkt som ska intas på unionens vägnar i AEP-kommittén ska grundas på det utkast till AEP-kommitténs beslut om antagande av förteckningen över skiljemän som åtföljer detta beslut.</w:t>
      </w:r>
    </w:p>
    <w:p>
      <w:pPr>
        <w:pStyle w:val="Titrearticle"/>
        <w:rPr>
          <w:i w:val="0"/>
          <w:noProof/>
          <w:szCs w:val="24"/>
        </w:rPr>
      </w:pPr>
      <w:r>
        <w:rPr>
          <w:noProof/>
        </w:rPr>
        <w:lastRenderedPageBreak/>
        <w:t>Artikel 2</w:t>
      </w:r>
    </w:p>
    <w:p>
      <w:pPr>
        <w:keepNext/>
        <w:keepLines/>
        <w:rPr>
          <w:noProof/>
          <w:szCs w:val="24"/>
        </w:rPr>
      </w:pPr>
      <w:r>
        <w:rPr>
          <w:noProof/>
        </w:rPr>
        <w:t>Detta beslut riktar sig till kommissionen.</w:t>
      </w:r>
    </w:p>
    <w:p>
      <w:pPr>
        <w:pStyle w:val="Fait"/>
        <w:rPr>
          <w:noProof/>
        </w:rPr>
      </w:pPr>
      <w:r>
        <w:t>Utfärdat i Bryssel den</w:t>
      </w:r>
    </w:p>
    <w:p>
      <w:pPr>
        <w:pStyle w:val="Institutionquisigne"/>
        <w:rPr>
          <w:noProof/>
        </w:rPr>
      </w:pPr>
      <w:r>
        <w:rPr>
          <w:noProof/>
        </w:rPr>
        <w:tab/>
        <w:t>På rådets vägnar</w:t>
      </w:r>
    </w:p>
    <w:p>
      <w:pPr>
        <w:pStyle w:val="Personnequisigne"/>
        <w:rPr>
          <w:noProof/>
        </w:rPr>
      </w:pPr>
      <w:r>
        <w:rPr>
          <w:noProof/>
        </w:rPr>
        <w:tab/>
        <w:t>Ordförande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fr-BE"/>
        </w:rPr>
      </w:pPr>
      <w:r>
        <w:rPr>
          <w:rStyle w:val="FootnoteReference"/>
        </w:rPr>
        <w:footnoteRef/>
      </w:r>
      <w:r>
        <w:rPr>
          <w:lang w:val="fr-BE"/>
        </w:rPr>
        <w:tab/>
        <w:t>EUT L 59, 3.3.2009, s. 2.</w:t>
      </w:r>
    </w:p>
  </w:footnote>
  <w:footnote w:id="2">
    <w:p>
      <w:pPr>
        <w:pStyle w:val="FootnoteText"/>
        <w:rPr>
          <w:lang w:val="fr-BE"/>
        </w:rPr>
      </w:pPr>
      <w:r>
        <w:rPr>
          <w:rStyle w:val="FootnoteReference"/>
        </w:rPr>
        <w:footnoteRef/>
      </w:r>
      <w:r>
        <w:rPr>
          <w:lang w:val="fr-BE"/>
        </w:rPr>
        <w:tab/>
        <w:t>EUT L 194, 31.7.2018, s. 158.</w:t>
      </w:r>
    </w:p>
  </w:footnote>
  <w:footnote w:id="3">
    <w:p>
      <w:pPr>
        <w:pStyle w:val="FootnoteText"/>
      </w:pPr>
      <w:r>
        <w:rPr>
          <w:rStyle w:val="FootnoteReference"/>
        </w:rPr>
        <w:footnoteRef/>
      </w:r>
      <w:r>
        <w:tab/>
        <w:t xml:space="preserve">Domstolens dom av den 7 oktober 2014, Tyskland/rådet, C-399/12, ECLI:EU:C:2014:2258, punkterna 61–64. </w:t>
      </w:r>
    </w:p>
  </w:footnote>
  <w:footnote w:id="4">
    <w:p>
      <w:pPr>
        <w:pStyle w:val="FootnoteText"/>
        <w:rPr>
          <w:lang w:val="fr-BE"/>
        </w:rPr>
      </w:pPr>
      <w:r>
        <w:rPr>
          <w:rStyle w:val="FootnoteReference"/>
        </w:rPr>
        <w:footnoteRef/>
      </w:r>
      <w:r>
        <w:rPr>
          <w:lang w:val="fr-BE"/>
        </w:rPr>
        <w:tab/>
        <w:t>EUT L 59, 3.3.2009, s. 3.</w:t>
      </w:r>
    </w:p>
  </w:footnote>
  <w:footnote w:id="5">
    <w:p>
      <w:pPr>
        <w:pStyle w:val="FootnoteText"/>
        <w:rPr>
          <w:lang w:val="fr-BE"/>
        </w:rPr>
      </w:pPr>
      <w:r>
        <w:rPr>
          <w:rStyle w:val="FootnoteReference"/>
        </w:rPr>
        <w:footnoteRef/>
      </w:r>
      <w:r>
        <w:rPr>
          <w:lang w:val="fr-BE"/>
        </w:rPr>
        <w:tab/>
        <w:t>EUT L 59, 3.3.2009,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3E9C2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00645C8"/>
    <w:lvl w:ilvl="0">
      <w:start w:val="1"/>
      <w:numFmt w:val="decimal"/>
      <w:pStyle w:val="ListNumber3"/>
      <w:lvlText w:val="%1."/>
      <w:lvlJc w:val="left"/>
      <w:pPr>
        <w:tabs>
          <w:tab w:val="num" w:pos="926"/>
        </w:tabs>
        <w:ind w:left="926" w:hanging="360"/>
      </w:pPr>
    </w:lvl>
  </w:abstractNum>
  <w:abstractNum w:abstractNumId="2">
    <w:nsid w:val="FFFFFF7F"/>
    <w:multiLevelType w:val="singleLevel"/>
    <w:tmpl w:val="6826D302"/>
    <w:lvl w:ilvl="0">
      <w:start w:val="1"/>
      <w:numFmt w:val="decimal"/>
      <w:pStyle w:val="ListNumber2"/>
      <w:lvlText w:val="%1."/>
      <w:lvlJc w:val="left"/>
      <w:pPr>
        <w:tabs>
          <w:tab w:val="num" w:pos="643"/>
        </w:tabs>
        <w:ind w:left="643" w:hanging="360"/>
      </w:pPr>
    </w:lvl>
  </w:abstractNum>
  <w:abstractNum w:abstractNumId="3">
    <w:nsid w:val="FFFFFF81"/>
    <w:multiLevelType w:val="singleLevel"/>
    <w:tmpl w:val="15940CF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7B0CA9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F12037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35C5330"/>
    <w:lvl w:ilvl="0">
      <w:start w:val="1"/>
      <w:numFmt w:val="decimal"/>
      <w:pStyle w:val="ListNumber"/>
      <w:lvlText w:val="%1."/>
      <w:lvlJc w:val="left"/>
      <w:pPr>
        <w:tabs>
          <w:tab w:val="num" w:pos="360"/>
        </w:tabs>
        <w:ind w:left="360" w:hanging="360"/>
      </w:pPr>
    </w:lvl>
  </w:abstractNum>
  <w:abstractNum w:abstractNumId="7">
    <w:nsid w:val="FFFFFF89"/>
    <w:multiLevelType w:val="singleLevel"/>
    <w:tmpl w:val="15A4901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5-05 18:24:1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51FCA45A-51FE-4429-92A9-D909EF981143"/>
    <w:docVar w:name="LW_COVERPAGE_TYPE" w:val="1"/>
    <w:docVar w:name="LW_CROSSREFERENCE" w:val="&lt;UNUSED&gt;"/>
    <w:docVar w:name="LW_DocType" w:val="COM"/>
    <w:docVar w:name="LW_EMISSION" w:val="12.5.2020"/>
    <w:docVar w:name="LW_EMISSION_ISODATE" w:val="2020-05-12"/>
    <w:docVar w:name="LW_EMISSION_LOCATION" w:val="BRX"/>
    <w:docVar w:name="LW_EMISSION_PREFIX" w:val="Bryssel den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NLE"/>
    <w:docVar w:name="LW_REF.II.NEW.CP_NUMBER" w:val="0077"/>
    <w:docVar w:name="LW_REF.II.NEW.CP_YEAR" w:val="2020"/>
    <w:docVar w:name="LW_REF.INST.NEW" w:val="COM"/>
    <w:docVar w:name="LW_REF.INST.NEW_ADOPTED" w:val="final"/>
    <w:docVar w:name="LW_REF.INST.NEW_TEXT" w:val="(2020) 19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Förslag till"/>
    <w:docVar w:name="LW_SUPERTITRE" w:val="&lt;UNUSED&gt;"/>
    <w:docVar w:name="LW_TITRE.OBJ.CP" w:val="om fastställande av den ståndpunkt som ska intas på Europeiska unionens vägnar i AEP-kommittén, vilken inrättades genom det inledande avtalet om ekonomiskt partnerskap mellan Elfenbenskusten, å ena sidan, och Europeiska gemenskapen och dess medlemsstater, å andra sidan, med avseende på antagandet av förteckningen över skiljemän"/>
    <w:docVar w:name="LW_TYPE.DOC.CP" w:val="RÅDETS BESLUT"/>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64471-AFF2-4FDE-A434-F0D1CD66A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6</Pages>
  <Words>1127</Words>
  <Characters>6633</Characters>
  <Application>Microsoft Office Word</Application>
  <DocSecurity>0</DocSecurity>
  <Lines>122</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2020-03-13T15:21:00Z</dcterms:created>
  <dcterms:modified xsi:type="dcterms:W3CDTF">2020-05-05T16:24:00Z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