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D8E9CDB-E66F-446A-99F5-64E6694406BD"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noProof/>
        </w:rPr>
      </w:pPr>
      <w:r>
        <w:rPr>
          <w:noProof/>
        </w:rPr>
        <w:t>Šis pasiūlymas teikiamas dėl sprendimo, kuriuo nustatoma pozicija, kurios Europos Sąjungos (toliau – Sąjunga) vardu turi būti laikomasi pagal Dramblio Kaulo Kranto Respublikos ir Europos bendrijos bei jos valstybių narių tarpinį ekonominės partnerystės susitarimą (toliau – Susitarimas)</w:t>
      </w:r>
      <w:r>
        <w:rPr>
          <w:rStyle w:val="FootnoteReference"/>
          <w:noProof/>
        </w:rPr>
        <w:footnoteReference w:id="1"/>
      </w:r>
      <w:r>
        <w:rPr>
          <w:noProof/>
        </w:rPr>
        <w:t xml:space="preserve"> įsteigtame EPS komitete, dėl numatomo asmenų, pageidaujančių ir galinčių būti arbitrais, sąrašo patvirtinimo.</w:t>
      </w:r>
    </w:p>
    <w:p>
      <w:pPr>
        <w:pStyle w:val="ManualHeading1"/>
        <w:rPr>
          <w:bCs/>
          <w:noProof/>
          <w:szCs w:val="24"/>
        </w:rPr>
      </w:pPr>
      <w:r>
        <w:t>2.</w:t>
      </w:r>
      <w:r>
        <w:tab/>
      </w:r>
      <w:r>
        <w:rPr>
          <w:noProof/>
        </w:rPr>
        <w:t>Pasiūlymo aplinkybės</w:t>
      </w:r>
    </w:p>
    <w:p>
      <w:pPr>
        <w:pStyle w:val="ManualHeading2"/>
        <w:rPr>
          <w:noProof/>
        </w:rPr>
      </w:pPr>
      <w:r>
        <w:t>2.1.</w:t>
      </w:r>
      <w:r>
        <w:tab/>
      </w:r>
      <w:r>
        <w:rPr>
          <w:noProof/>
        </w:rPr>
        <w:t>ES ir Dramblio Kaulo Kranto Respublikos tarpinis ekonominės partnerystės susitarimas</w:t>
      </w:r>
    </w:p>
    <w:p>
      <w:pPr>
        <w:pBdr>
          <w:top w:val="nil"/>
          <w:left w:val="nil"/>
          <w:bottom w:val="nil"/>
          <w:right w:val="nil"/>
          <w:between w:val="nil"/>
          <w:bar w:val="nil"/>
        </w:pBdr>
        <w:spacing w:after="100" w:afterAutospacing="1"/>
        <w:rPr>
          <w:noProof/>
          <w:szCs w:val="24"/>
        </w:rPr>
      </w:pPr>
      <w:r>
        <w:rPr>
          <w:noProof/>
        </w:rPr>
        <w:t>Susitarimo tikslas – nustatyti pradinę ekonominės partnerystės susitarimo sistemą, kuri atitiktų Kotonu susitarimą. Susitarimas laikinai taikomas nuo 2016 m. rugsėjo 3 d.</w:t>
      </w:r>
    </w:p>
    <w:p>
      <w:pPr>
        <w:pStyle w:val="ManualHeading2"/>
        <w:rPr>
          <w:noProof/>
          <w:szCs w:val="24"/>
        </w:rPr>
      </w:pPr>
      <w:r>
        <w:t>2.2.</w:t>
      </w:r>
      <w:r>
        <w:tab/>
      </w:r>
      <w:r>
        <w:rPr>
          <w:noProof/>
        </w:rPr>
        <w:t>EPS komitetas</w:t>
      </w:r>
    </w:p>
    <w:p>
      <w:pPr>
        <w:pBdr>
          <w:top w:val="nil"/>
          <w:left w:val="nil"/>
          <w:bottom w:val="nil"/>
          <w:right w:val="nil"/>
          <w:between w:val="nil"/>
          <w:bar w:val="nil"/>
        </w:pBdr>
        <w:spacing w:after="100" w:afterAutospacing="1"/>
        <w:rPr>
          <w:noProof/>
          <w:szCs w:val="24"/>
        </w:rPr>
      </w:pPr>
      <w:r>
        <w:rPr>
          <w:noProof/>
        </w:rPr>
        <w:t>EPS komitetas yra jungtinis Susitarimo institucinis organas. Susitarimo 73 straipsnyje nustatyta, kad EPS komitetas atsako už visų Susitarimo taikymo sričių administravimą ir jame nurodytų užduočių vykdymą. Sprendimus EPS komitetas priima bendru sutarimu. EPS komiteto veikla aprašyta jo darbo tvarkos taisyklėse</w:t>
      </w:r>
      <w:r>
        <w:rPr>
          <w:rStyle w:val="FootnoteReference"/>
          <w:noProof/>
        </w:rPr>
        <w:footnoteReference w:id="2"/>
      </w:r>
      <w:r>
        <w:rPr>
          <w:noProof/>
        </w:rPr>
        <w:t xml:space="preserve">. </w:t>
      </w:r>
    </w:p>
    <w:p>
      <w:pPr>
        <w:pStyle w:val="ManualHeading2"/>
        <w:rPr>
          <w:noProof/>
          <w:szCs w:val="24"/>
        </w:rPr>
      </w:pPr>
      <w:r>
        <w:t>2.3.</w:t>
      </w:r>
      <w:r>
        <w:tab/>
      </w:r>
      <w:r>
        <w:rPr>
          <w:noProof/>
        </w:rPr>
        <w:t>EPS komiteto numatomas aktas</w:t>
      </w:r>
    </w:p>
    <w:p>
      <w:pPr>
        <w:pBdr>
          <w:top w:val="nil"/>
          <w:left w:val="nil"/>
          <w:bottom w:val="nil"/>
          <w:right w:val="nil"/>
          <w:between w:val="nil"/>
          <w:bar w:val="nil"/>
        </w:pBdr>
        <w:spacing w:after="100" w:afterAutospacing="1"/>
        <w:rPr>
          <w:noProof/>
          <w:szCs w:val="24"/>
        </w:rPr>
      </w:pPr>
      <w:r>
        <w:rPr>
          <w:noProof/>
        </w:rPr>
        <w:t>Per penktąjį posėdį [</w:t>
      </w:r>
      <w:r>
        <w:rPr>
          <w:i/>
          <w:noProof/>
        </w:rPr>
        <w:t>data</w:t>
      </w:r>
      <w:r>
        <w:rPr>
          <w:noProof/>
        </w:rPr>
        <w:t xml:space="preserve">] EPS komitetas turi priimti sprendimą dėl arbitrų sąrašo patvirtinimo (toliau – numatomas aktas) pagal Susitarimo 64 straipsnį. </w:t>
      </w:r>
    </w:p>
    <w:p>
      <w:pPr>
        <w:pBdr>
          <w:top w:val="nil"/>
          <w:left w:val="nil"/>
          <w:bottom w:val="nil"/>
          <w:right w:val="nil"/>
          <w:between w:val="nil"/>
          <w:bar w:val="nil"/>
        </w:pBdr>
        <w:spacing w:after="100" w:afterAutospacing="1"/>
        <w:rPr>
          <w:noProof/>
          <w:szCs w:val="24"/>
        </w:rPr>
      </w:pPr>
      <w:r>
        <w:rPr>
          <w:noProof/>
        </w:rPr>
        <w:t>Susitarimo 64 straipsnio 1 dalyje nustatyta: „EPS komitetas [...] sudaro 15 asmenų, pageidaujančių ir galinčių būti arbitrais, sąrašą.“</w:t>
      </w:r>
    </w:p>
    <w:p>
      <w:pPr>
        <w:pBdr>
          <w:top w:val="nil"/>
          <w:left w:val="nil"/>
          <w:bottom w:val="nil"/>
          <w:right w:val="nil"/>
          <w:between w:val="nil"/>
          <w:bar w:val="nil"/>
        </w:pBdr>
        <w:spacing w:after="100" w:afterAutospacing="1"/>
        <w:rPr>
          <w:noProof/>
          <w:szCs w:val="24"/>
        </w:rPr>
      </w:pPr>
      <w:r>
        <w:rPr>
          <w:noProof/>
        </w:rPr>
        <w:t>Numatomo akto tikslas – sudaryti penkiolikos asmenų, galinčių būti arbitrais taikant Susitarimo V antraštinėje dalyje nustatytą ginčų sprendimo tvarką, sąrašą. Šio sąrašo patvirtinimas yra esminis elementas siekiant užbaigti kurti Susitarimo ginčų prevencijos ir sprendimo nuostatų veikimo sistemą.</w:t>
      </w:r>
    </w:p>
    <w:p>
      <w:pPr>
        <w:pStyle w:val="ManualHeading1"/>
        <w:rPr>
          <w:bCs/>
          <w:noProof/>
        </w:rPr>
      </w:pPr>
      <w:r>
        <w:t>3.</w:t>
      </w:r>
      <w:r>
        <w:tab/>
      </w:r>
      <w:r>
        <w:rPr>
          <w:noProof/>
        </w:rPr>
        <w:t>Pozicija, kurios turi būti laikomasi Sąjungos vardu</w:t>
      </w:r>
    </w:p>
    <w:p>
      <w:pPr>
        <w:pBdr>
          <w:top w:val="nil"/>
          <w:left w:val="nil"/>
          <w:bottom w:val="nil"/>
          <w:right w:val="nil"/>
          <w:between w:val="nil"/>
          <w:bar w:val="nil"/>
        </w:pBdr>
        <w:spacing w:after="100" w:afterAutospacing="1"/>
        <w:rPr>
          <w:noProof/>
          <w:szCs w:val="24"/>
        </w:rPr>
      </w:pPr>
      <w:r>
        <w:rPr>
          <w:noProof/>
        </w:rPr>
        <w:t>Šiame Tarybos sprendimo pasiūlyme nustatoma pozicija, kurios Sąjungos vardu turi būti laikomasi pagal Dramblio Kaulo Kranto Respublikos ir Europos bendrijos bei jos valstybių narių tarpinį ekonominės partnerystės susitarimą įsteigtame EPS komitete, dėl asmenų, pageidaujančių ir galinčių būti arbitrais, sąrašo patvirtinimo pagal Susitarimo 64 straipsnį.</w:t>
      </w:r>
    </w:p>
    <w:p>
      <w:pPr>
        <w:pBdr>
          <w:top w:val="nil"/>
          <w:left w:val="nil"/>
          <w:bottom w:val="nil"/>
          <w:right w:val="nil"/>
          <w:between w:val="nil"/>
          <w:bar w:val="nil"/>
        </w:pBdr>
        <w:spacing w:after="100" w:afterAutospacing="1"/>
        <w:rPr>
          <w:noProof/>
          <w:szCs w:val="24"/>
        </w:rPr>
      </w:pPr>
      <w:r>
        <w:rPr>
          <w:noProof/>
        </w:rPr>
        <w:t>Susitarimo Šalys susitarė dėl šio sprendimo projekto, jį parafavo ketvirtajame EPS komiteto posėdyje 2019 m. lapkričio 27–28 d. ir, jei bus patvirtintas laikantis Europos Sąjungos sprendimų priėmimo tvarkos, jis turėtų būti priimtas kitame EPS komiteto posėdyje, kuris turėtų įvykti 2020 m. pabaigoje.</w:t>
      </w:r>
    </w:p>
    <w:p>
      <w:pPr>
        <w:pBdr>
          <w:top w:val="nil"/>
          <w:left w:val="nil"/>
          <w:bottom w:val="nil"/>
          <w:right w:val="nil"/>
          <w:between w:val="nil"/>
          <w:bar w:val="nil"/>
        </w:pBdr>
        <w:spacing w:after="100" w:afterAutospacing="1"/>
        <w:rPr>
          <w:noProof/>
          <w:szCs w:val="24"/>
        </w:rPr>
      </w:pPr>
      <w:r>
        <w:rPr>
          <w:noProof/>
        </w:rPr>
        <w:lastRenderedPageBreak/>
        <w:t>Šis sprendimas yra būtinas, kad būtų galima pradėti taikyti V antraštinės dalies ginčų vengimo ir sprendimo nuostatas, taigi ir užtikrinti sklandų Susitarimo įgyvendinimą.</w:t>
      </w:r>
    </w:p>
    <w:p>
      <w:pPr>
        <w:pStyle w:val="ManualHeading1"/>
        <w:rPr>
          <w:bCs/>
          <w:noProof/>
          <w:szCs w:val="24"/>
        </w:rPr>
      </w:pPr>
      <w:r>
        <w:t>4.</w:t>
      </w:r>
      <w:r>
        <w:tab/>
      </w:r>
      <w:r>
        <w:rPr>
          <w:noProof/>
        </w:rPr>
        <w:t>Procedūrinis teisinis pagrindas</w:t>
      </w:r>
    </w:p>
    <w:p>
      <w:pPr>
        <w:pStyle w:val="ManualHeading2"/>
        <w:rPr>
          <w:noProof/>
        </w:rPr>
      </w:pPr>
      <w:r>
        <w:t>4.1.</w:t>
      </w:r>
      <w:r>
        <w:tab/>
      </w:r>
      <w:r>
        <w:rPr>
          <w:noProof/>
        </w:rPr>
        <w:t>Procedūrinis teisinis pagrindas</w:t>
      </w:r>
    </w:p>
    <w:p>
      <w:pPr>
        <w:keepNext/>
        <w:outlineLvl w:val="2"/>
        <w:rPr>
          <w:i/>
          <w:noProof/>
        </w:rPr>
      </w:pPr>
      <w:r>
        <w:rPr>
          <w:i/>
          <w:noProof/>
        </w:rPr>
        <w:t>4.1.1.</w:t>
      </w:r>
      <w:r>
        <w:rPr>
          <w:i/>
          <w:noProof/>
        </w:rPr>
        <w:tab/>
        <w:t>Principai</w:t>
      </w:r>
    </w:p>
    <w:p>
      <w:pPr>
        <w:pBdr>
          <w:top w:val="nil"/>
          <w:left w:val="nil"/>
          <w:bottom w:val="nil"/>
          <w:right w:val="nil"/>
          <w:between w:val="nil"/>
          <w:bar w:val="nil"/>
        </w:pBdr>
        <w:spacing w:after="100" w:afterAutospacing="1"/>
        <w:rPr>
          <w:noProof/>
          <w:szCs w:val="24"/>
        </w:rPr>
      </w:pPr>
      <w:r>
        <w:rPr>
          <w:iCs/>
          <w:noProof/>
          <w:shd w:val="clear" w:color="auto" w:fill="FFFFFF"/>
        </w:rPr>
        <w:t>Sutarties dėl Europos Sąjungos veikimo (SESV) 218 straipsnio 9 dalyje numatyti sprendimai</w:t>
      </w:r>
      <w:r>
        <w:rPr>
          <w:noProof/>
        </w:rPr>
        <w:t>, kuriais „nustatomos pozicijos, kurios Sąjungos vardu priimamos susitarimu įsteigtame organe, kai tam organui reikia priimti teisinę galią turinčius aktus, išskyrus aktus, papildančius arba pakeičiančius susitarimo institucinę struktūrą“.</w:t>
      </w:r>
    </w:p>
    <w:p>
      <w:pPr>
        <w:pBdr>
          <w:top w:val="nil"/>
          <w:left w:val="nil"/>
          <w:bottom w:val="nil"/>
          <w:right w:val="nil"/>
          <w:between w:val="nil"/>
          <w:bar w:val="nil"/>
        </w:pBdr>
        <w:spacing w:after="100" w:afterAutospacing="1"/>
        <w:rPr>
          <w:i/>
          <w:iCs/>
          <w:noProof/>
          <w:color w:val="000000"/>
          <w:szCs w:val="24"/>
          <w:shd w:val="clear" w:color="auto" w:fill="FFFFFF"/>
        </w:rPr>
      </w:pPr>
      <w:r>
        <w:rPr>
          <w:iCs/>
          <w:noProof/>
          <w:shd w:val="clear" w:color="auto" w:fill="FFFFFF"/>
        </w:rPr>
        <w:t>Sąvoka</w:t>
      </w:r>
      <w:r>
        <w:rPr>
          <w:noProof/>
        </w:rPr>
        <w:t xml:space="preserve"> „teisinę galią turintys aktai“ apima aktus, turinčius teisinę galią pagal tarptautinės teisės normas, kuriomis reglamentuojama atitinkamo organo veikla. Ji taip pat apima priemones, kurios nėra privalomos pagal tarptautinę teisę, tačiau „gali stipriai paveikti Sąjungos teisės akto leidėjo priimamų teisės aktų turinį“</w:t>
      </w:r>
      <w:r>
        <w:rPr>
          <w:rStyle w:val="FootnoteReference"/>
          <w:noProof/>
        </w:rPr>
        <w:footnoteReference w:id="3"/>
      </w:r>
      <w:r>
        <w:rPr>
          <w:noProof/>
        </w:rPr>
        <w:t>.</w:t>
      </w:r>
    </w:p>
    <w:p>
      <w:pPr>
        <w:keepNext/>
        <w:outlineLvl w:val="2"/>
        <w:rPr>
          <w:i/>
          <w:noProof/>
          <w:szCs w:val="24"/>
        </w:rPr>
      </w:pPr>
      <w:r>
        <w:rPr>
          <w:i/>
          <w:noProof/>
        </w:rPr>
        <w:t>4.1.2.</w:t>
      </w:r>
      <w:r>
        <w:rPr>
          <w:i/>
          <w:noProof/>
        </w:rPr>
        <w:tab/>
        <w:t>Taikymas nagrinėjamu atveju</w:t>
      </w:r>
    </w:p>
    <w:p>
      <w:pPr>
        <w:rPr>
          <w:noProof/>
        </w:rPr>
      </w:pPr>
      <w:r>
        <w:rPr>
          <w:noProof/>
        </w:rPr>
        <w:t>EPS komitetas yra susitarimu, t. y. Dramblio Kaulo Kranto Respublikos ir Europos bendrijos bei jos valstybių narių tarpiniu ekonominės partnerystės susitarimu, įsteigtas organas.</w:t>
      </w:r>
    </w:p>
    <w:p>
      <w:pPr>
        <w:rPr>
          <w:noProof/>
        </w:rPr>
      </w:pPr>
      <w:r>
        <w:rPr>
          <w:noProof/>
        </w:rPr>
        <w:t>Aktas, kurį EPS komitetas raginamas priimti, yra teisinę galią turintis aktas. Vadovaujantis Susitarimo 64 straipsniu, numatomas aktas bus privalomas pagal tarptautinę teisę.</w:t>
      </w:r>
    </w:p>
    <w:p>
      <w:pPr>
        <w:rPr>
          <w:noProof/>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keepNext/>
        <w:outlineLvl w:val="2"/>
        <w:rPr>
          <w:i/>
          <w:noProof/>
          <w:szCs w:val="24"/>
        </w:rPr>
      </w:pPr>
      <w:r>
        <w:rPr>
          <w:i/>
          <w:noProof/>
        </w:rPr>
        <w:t>4.2.1.</w:t>
      </w:r>
      <w:r>
        <w:rPr>
          <w:i/>
          <w:noProof/>
        </w:rPr>
        <w:tab/>
        <w:t>Principai</w:t>
      </w:r>
    </w:p>
    <w:p>
      <w:pPr>
        <w:rPr>
          <w:noProof/>
          <w:szCs w:val="24"/>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keepNext/>
        <w:outlineLvl w:val="2"/>
        <w:rPr>
          <w:i/>
          <w:noProof/>
          <w:szCs w:val="24"/>
        </w:rPr>
      </w:pPr>
      <w:r>
        <w:rPr>
          <w:i/>
          <w:noProof/>
        </w:rPr>
        <w:t>4.2.2.</w:t>
      </w:r>
      <w:r>
        <w:rPr>
          <w:i/>
          <w:noProof/>
        </w:rPr>
        <w:tab/>
        <w:t>Taikymas nagrinėjamu atveju</w:t>
      </w:r>
    </w:p>
    <w:p>
      <w:pPr>
        <w:rPr>
          <w:noProof/>
          <w:szCs w:val="24"/>
        </w:rPr>
      </w:pPr>
      <w:r>
        <w:rPr>
          <w:noProof/>
        </w:rPr>
        <w:t>Kadangi arbitražo procedūra yra prekybos sektoriui taikytina procedūra, numatomo akto tikslas ir turinys visų pirma yra susiję su bendra prekybos politika. Todėl siūlomo sprendimo materialinis teisinis pagrindas yra SESV 207 straipsnis.</w:t>
      </w:r>
    </w:p>
    <w:p>
      <w:pPr>
        <w:pStyle w:val="ManualHeading2"/>
        <w:rPr>
          <w:noProof/>
          <w:szCs w:val="24"/>
        </w:rPr>
      </w:pPr>
      <w:r>
        <w:t>4.3.</w:t>
      </w:r>
      <w:r>
        <w:tab/>
      </w:r>
      <w:r>
        <w:rPr>
          <w:noProof/>
        </w:rPr>
        <w:t>Išvada</w:t>
      </w:r>
    </w:p>
    <w:p>
      <w:pPr>
        <w:rPr>
          <w:noProof/>
          <w:szCs w:val="24"/>
        </w:rPr>
      </w:pPr>
      <w:r>
        <w:rPr>
          <w:noProof/>
        </w:rPr>
        <w:t>Siūlomo sprendimo teisinis pagrindas turėtų būti SESV 207 straipsnio 4 dalies pirma pastraipa kartu su SESV 218 straipsnio 9 dalimi.</w:t>
      </w:r>
    </w:p>
    <w:p>
      <w:pPr>
        <w:pStyle w:val="ManualHeading1"/>
        <w:rPr>
          <w:noProof/>
        </w:rPr>
      </w:pPr>
      <w:r>
        <w:lastRenderedPageBreak/>
        <w:t>5.</w:t>
      </w:r>
      <w:r>
        <w:tab/>
      </w:r>
      <w:r>
        <w:rPr>
          <w:noProof/>
        </w:rPr>
        <w:t>NUMATOMO AKTO SKELBIMAS</w:t>
      </w:r>
    </w:p>
    <w:p>
      <w:pPr>
        <w:rPr>
          <w:noProof/>
        </w:rPr>
      </w:pPr>
      <w:r>
        <w:rPr>
          <w:noProof/>
        </w:rPr>
        <w:t xml:space="preserve">EPS komiteto sprendimu iš dalies keičiamas Susitarimas, todėl po priėmimo jį būtina paskelbti </w:t>
      </w:r>
      <w:r>
        <w:rPr>
          <w:i/>
          <w:noProof/>
        </w:rPr>
        <w:t>Europos Sąjungos oficialiajame leidinyje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2020/0077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pagal Dramblio Kaulo Kranto Respublikos ir Europos bendrijos bei jos valstybių narių tarpinį ekonominės partnerystės susitarimą įsteigtame EPS komitete, dėl arbitrų sąrašo patvirtinimo</w:t>
      </w:r>
    </w:p>
    <w:p>
      <w:pPr>
        <w:pStyle w:val="Institutionquiagit"/>
        <w:rPr>
          <w:noProof/>
        </w:rPr>
      </w:pPr>
      <w:r>
        <w:rPr>
          <w:noProof/>
        </w:rPr>
        <w:t>EUROPOS SĄJUNGOS TARYBA,</w:t>
      </w:r>
    </w:p>
    <w:p>
      <w:pPr>
        <w:rPr>
          <w:noProof/>
        </w:rPr>
      </w:pPr>
      <w:r>
        <w:rPr>
          <w:noProof/>
        </w:rPr>
        <w:t xml:space="preserve">atsižvelgdama į Sutartį dėl Europos Sąjungos veikimo (toliau – SESV), ypač į jos 207 straipsnio 4 dalies pirmą pastraipą kartu su 218 straipsnio 9 dalimi, </w:t>
      </w:r>
    </w:p>
    <w:p>
      <w:pPr>
        <w:rPr>
          <w:noProof/>
        </w:rPr>
      </w:pPr>
      <w:r>
        <w:rPr>
          <w:noProof/>
        </w:rPr>
        <w:t>atsižvelgdama į Dramblio Kaulo Kranto Respublikos ir Europos bendrijos bei jos valstybių narių tarpinį ekonominės partnerystės susitarimą (toliau – Susitarimas)</w:t>
      </w:r>
      <w:r>
        <w:rPr>
          <w:rStyle w:val="FootnoteReference"/>
          <w:noProof/>
        </w:rPr>
        <w:footnoteReference w:id="4"/>
      </w:r>
      <w:r>
        <w:rPr>
          <w:noProof/>
        </w:rPr>
        <w:t>,</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Susitarimas Europos Sąjungos (toliau – Sąjunga) vardu sudarytas Sprendimu 2009/156/EB</w:t>
      </w:r>
      <w:r>
        <w:rPr>
          <w:rStyle w:val="FootnoteReference"/>
          <w:noProof/>
        </w:rPr>
        <w:footnoteReference w:id="5"/>
      </w:r>
      <w:r>
        <w:rPr>
          <w:noProof/>
        </w:rPr>
        <w:t xml:space="preserve"> ir laikinai taikomas nuo 2016 m. rugsėjo 3 d.;</w:t>
      </w:r>
    </w:p>
    <w:p>
      <w:pPr>
        <w:pStyle w:val="ManualConsidrant"/>
        <w:rPr>
          <w:noProof/>
        </w:rPr>
      </w:pPr>
      <w:r>
        <w:t>(2)</w:t>
      </w:r>
      <w:r>
        <w:tab/>
      </w:r>
      <w:r>
        <w:rPr>
          <w:noProof/>
        </w:rPr>
        <w:t>vadovaudamasis Susitarimo 64 straipsnio 1 dalimi, EPS komitetas sudaro asmenų, pageidaujančių ir galinčių būti arbitrais, sąrašą;</w:t>
      </w:r>
    </w:p>
    <w:p>
      <w:pPr>
        <w:pStyle w:val="ManualConsidrant"/>
        <w:rPr>
          <w:noProof/>
        </w:rPr>
      </w:pPr>
      <w:r>
        <w:t>(3)</w:t>
      </w:r>
      <w:r>
        <w:tab/>
      </w:r>
      <w:r>
        <w:rPr>
          <w:noProof/>
        </w:rPr>
        <w:t>[data] metiniame posėdyje EPS komiteto prašoma priimti sprendimą, kuriuo sudaromas asmenų, pageidaujančių ir galinčių būti arbitrais pagal Susitarimo 64 straipsnio 1 dalį, sąrašas;</w:t>
      </w:r>
    </w:p>
    <w:p>
      <w:pPr>
        <w:pStyle w:val="ManualConsidrant"/>
        <w:rPr>
          <w:noProof/>
        </w:rPr>
      </w:pPr>
      <w:r>
        <w:t>(4)</w:t>
      </w:r>
      <w:r>
        <w:tab/>
      </w:r>
      <w:r>
        <w:rPr>
          <w:noProof/>
        </w:rPr>
        <w:t>tikslinga nustatyti poziciją, kurios Sąjungos vardu turi būti laikomasi EPS komitete, nes numatomas sprendimas bus privalomas Sąjungai,</w:t>
      </w:r>
    </w:p>
    <w:p>
      <w:pPr>
        <w:pStyle w:val="Formuledadoption"/>
        <w:rPr>
          <w:noProof/>
        </w:rPr>
      </w:pPr>
      <w:r>
        <w:rPr>
          <w:noProof/>
        </w:rPr>
        <w:t>PRIĖMĖ ŠĮ SPRENDIMĄ:</w:t>
      </w:r>
    </w:p>
    <w:p>
      <w:pPr>
        <w:pStyle w:val="Titrearticle"/>
        <w:rPr>
          <w:noProof/>
        </w:rPr>
      </w:pPr>
      <w:r>
        <w:rPr>
          <w:noProof/>
        </w:rPr>
        <w:t>1 straipsnis</w:t>
      </w:r>
    </w:p>
    <w:p>
      <w:pPr>
        <w:rPr>
          <w:noProof/>
        </w:rPr>
      </w:pPr>
      <w:r>
        <w:rPr>
          <w:noProof/>
        </w:rPr>
        <w:t>Pozicija, kurios Sąjungos vardu turi būti laikomasi EPS komitete, grindžiama prie šio sprendimo pridedamu EPS komiteto sprendimo dėl asmenų, pageidaujančių ir galinčių būti arbitrais, sąrašo projektu.</w:t>
      </w:r>
    </w:p>
    <w:p>
      <w:pPr>
        <w:pStyle w:val="Titrearticle"/>
        <w:rPr>
          <w:i w:val="0"/>
          <w:noProof/>
          <w:szCs w:val="24"/>
        </w:rPr>
      </w:pPr>
      <w:r>
        <w:rPr>
          <w:noProof/>
        </w:rPr>
        <w:lastRenderedPageBreak/>
        <w:t>2 straipsnis</w:t>
      </w:r>
    </w:p>
    <w:p>
      <w:pPr>
        <w:keepNext/>
        <w:keepLines/>
        <w:rPr>
          <w:noProof/>
          <w:szCs w:val="24"/>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59, 2009 3 3, p. 2.</w:t>
      </w:r>
    </w:p>
  </w:footnote>
  <w:footnote w:id="2">
    <w:p>
      <w:pPr>
        <w:pStyle w:val="FootnoteText"/>
      </w:pPr>
      <w:r>
        <w:rPr>
          <w:rStyle w:val="FootnoteReference"/>
        </w:rPr>
        <w:footnoteRef/>
      </w:r>
      <w:r>
        <w:tab/>
        <w:t>OL L 194, 2018 7 31, p. 158.</w:t>
      </w:r>
    </w:p>
  </w:footnote>
  <w:footnote w:id="3">
    <w:p>
      <w:pPr>
        <w:pStyle w:val="FootnoteText"/>
      </w:pPr>
      <w:r>
        <w:rPr>
          <w:rStyle w:val="FootnoteReference"/>
        </w:rPr>
        <w:footnoteRef/>
      </w:r>
      <w:r>
        <w:tab/>
        <w:t xml:space="preserve">2014 m. spalio 7 d. Teisingumo Teismo sprendimas Vokietija prieš Tarybą, C-399/12, ECLI:EU:C:2014:2258, 61–64 punktai. </w:t>
      </w:r>
    </w:p>
  </w:footnote>
  <w:footnote w:id="4">
    <w:p>
      <w:pPr>
        <w:pStyle w:val="FootnoteText"/>
      </w:pPr>
      <w:r>
        <w:rPr>
          <w:rStyle w:val="FootnoteReference"/>
        </w:rPr>
        <w:footnoteRef/>
      </w:r>
      <w:r>
        <w:tab/>
        <w:t>OL L 59, 2009 3 3, p. 3.</w:t>
      </w:r>
    </w:p>
  </w:footnote>
  <w:footnote w:id="5">
    <w:p>
      <w:pPr>
        <w:pStyle w:val="FootnoteText"/>
      </w:pPr>
      <w:r>
        <w:rPr>
          <w:rStyle w:val="FootnoteReference"/>
        </w:rPr>
        <w:footnoteRef/>
      </w:r>
      <w:r>
        <w:tab/>
        <w:t>OL L 59, 2009 3 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3E9C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00645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26D3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5940C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7B0CA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1203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35C5330"/>
    <w:lvl w:ilvl="0">
      <w:start w:val="1"/>
      <w:numFmt w:val="decimal"/>
      <w:pStyle w:val="ListNumber"/>
      <w:lvlText w:val="%1."/>
      <w:lvlJc w:val="left"/>
      <w:pPr>
        <w:tabs>
          <w:tab w:val="num" w:pos="360"/>
        </w:tabs>
        <w:ind w:left="360" w:hanging="360"/>
      </w:pPr>
    </w:lvl>
  </w:abstractNum>
  <w:abstractNum w:abstractNumId="7">
    <w:nsid w:val="FFFFFF89"/>
    <w:multiLevelType w:val="singleLevel"/>
    <w:tmpl w:val="15A490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4: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8E9CDB-E66F-446A-99F5-64E6694406BD"/>
    <w:docVar w:name="LW_COVERPAGE_TYPE" w:val="1"/>
    <w:docVar w:name="LW_CROSSREFERENCE" w:val="&lt;UNUSED&gt;"/>
    <w:docVar w:name="LW_DocType" w:val="COM"/>
    <w:docVar w:name="LW_EMISSION" w:val="2020 05 12"/>
    <w:docVar w:name="LW_EMISSION_ISODATE" w:val="2020-05-12"/>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77"/>
    <w:docVar w:name="LW_REF.II.NEW.CP_YEAR" w:val="2020"/>
    <w:docVar w:name="LW_REF.INST.NEW" w:val="COM"/>
    <w:docVar w:name="LW_REF.INST.NEW_ADOPTED" w:val="final"/>
    <w:docVar w:name="LW_REF.INST.NEW_TEXT" w:val="(2020) 1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pagal Dramblio Kaulo Kranto Respublikos ir Europos bendrijos bei jos valstybi\u371? nari\u371? tarpin\u303? ekonomin\u279?s partneryst\u279?s susitarim\u261? \u303?steigtame EPS komitete, d\u279?l arbitr\u371? s\u261?ra\u353?o patvirtin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25AAD9-CB07-49A0-A4B9-A751A11F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869</Words>
  <Characters>5827</Characters>
  <Application>Microsoft Office Word</Application>
  <DocSecurity>0</DocSecurity>
  <Lines>109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2020-03-13T06:50:00Z</dcterms:created>
  <dcterms:modified xsi:type="dcterms:W3CDTF">2020-05-05T16:24:00Z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