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861202E2-DD7D-4317-AC3D-DFDDDA50F4D1" style="width:450.35pt;height:410.9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ONTWERP</w:t>
      </w:r>
    </w:p>
    <w:p>
      <w:pPr>
        <w:spacing w:before="360" w:after="0"/>
        <w:jc w:val="center"/>
        <w:rPr>
          <w:b/>
          <w:noProof/>
        </w:rPr>
      </w:pPr>
      <w:r>
        <w:rPr>
          <w:b/>
          <w:noProof/>
        </w:rPr>
        <w:t>BESLUIT Nr. …/2020 VAN HET EPO-COMITÉ</w:t>
      </w:r>
      <w:r>
        <w:rPr>
          <w:b/>
          <w:noProof/>
        </w:rPr>
        <w:br/>
        <w:t xml:space="preserve">dat is opgericht bij de tijdelijke economische partnerschapsovereenkomst </w:t>
      </w:r>
      <w:r>
        <w:rPr>
          <w:b/>
          <w:noProof/>
        </w:rPr>
        <w:br/>
        <w:t xml:space="preserve">tussen Ivoorkust, enerzijds, </w:t>
      </w:r>
      <w:r>
        <w:rPr>
          <w:b/>
          <w:noProof/>
        </w:rPr>
        <w:br/>
        <w:t>en de Europese Gemeenschap en haar lidstaten, anderzijds</w:t>
      </w:r>
    </w:p>
    <w:p>
      <w:pPr>
        <w:spacing w:before="360" w:after="0"/>
        <w:jc w:val="center"/>
        <w:rPr>
          <w:b/>
          <w:noProof/>
        </w:rPr>
      </w:pPr>
      <w:r>
        <w:rPr>
          <w:b/>
          <w:noProof/>
        </w:rPr>
        <w:t xml:space="preserve">van … </w:t>
      </w:r>
    </w:p>
    <w:p>
      <w:pPr>
        <w:spacing w:before="360" w:after="360"/>
        <w:jc w:val="center"/>
        <w:rPr>
          <w:b/>
          <w:noProof/>
        </w:rPr>
      </w:pPr>
      <w:r>
        <w:rPr>
          <w:b/>
          <w:noProof/>
        </w:rPr>
        <w:t>betreffende de vaststelling van de lijst van scheidsrechters</w:t>
      </w:r>
    </w:p>
    <w:p>
      <w:pPr>
        <w:keepNext/>
        <w:spacing w:before="600"/>
        <w:rPr>
          <w:noProof/>
        </w:rPr>
      </w:pPr>
      <w:r>
        <w:rPr>
          <w:noProof/>
        </w:rPr>
        <w:t>HET EPO-COMITÉ,</w:t>
      </w:r>
    </w:p>
    <w:p>
      <w:pPr>
        <w:rPr>
          <w:noProof/>
        </w:rPr>
      </w:pPr>
      <w:r>
        <w:rPr>
          <w:noProof/>
        </w:rPr>
        <w:t>Gezien de tijdelijke economische partnerschapsovereenkomst tussen Ivoorkust, enerzijds, en de Europese Gemeenschap en haar lidstaten, anderzijds (“de overeenkomst”), die op 3 maart 2009 te Brussel is ondertekend en die op 3 september 2016 voorlopig in werking is getreden, en met name artikel 64, lid 1,</w:t>
      </w:r>
    </w:p>
    <w:p>
      <w:pPr>
        <w:rPr>
          <w:rFonts w:eastAsia="Times New Roman"/>
          <w:noProof/>
          <w:szCs w:val="24"/>
        </w:rPr>
      </w:pPr>
      <w:r>
        <w:rPr>
          <w:noProof/>
        </w:rPr>
        <w:t>Overwegende hetgeen volgt:</w:t>
      </w:r>
    </w:p>
    <w:p>
      <w:pPr>
        <w:rPr>
          <w:noProof/>
        </w:rPr>
      </w:pPr>
      <w:r>
        <w:rPr>
          <w:noProof/>
        </w:rPr>
        <w:t>In de overeenkomst is bepaald dat het EPO-comité een lijst opstelt van 15 personen die bereid en geschikt zijn om als scheidsrechter te fungeren voor de beslechting van geschillen tussen de partijen,</w:t>
      </w:r>
    </w:p>
    <w:p>
      <w:pPr>
        <w:keepNext/>
        <w:rPr>
          <w:noProof/>
        </w:rPr>
      </w:pPr>
      <w:r>
        <w:rPr>
          <w:noProof/>
        </w:rPr>
        <w:t>HEEFT HET VOLGENDE BESLUIT VASTGESTELD:</w:t>
      </w:r>
    </w:p>
    <w:p>
      <w:pPr>
        <w:keepNext/>
        <w:spacing w:before="360"/>
        <w:jc w:val="center"/>
        <w:rPr>
          <w:i/>
          <w:noProof/>
        </w:rPr>
      </w:pPr>
      <w:r>
        <w:rPr>
          <w:i/>
          <w:noProof/>
        </w:rPr>
        <w:t>Artikel 1</w:t>
      </w:r>
    </w:p>
    <w:p>
      <w:pPr>
        <w:pStyle w:val="ManualNumPar1"/>
        <w:rPr>
          <w:noProof/>
        </w:rPr>
      </w:pPr>
      <w:r>
        <w:rPr>
          <w:noProof/>
        </w:rPr>
        <w:t>1.</w:t>
      </w:r>
      <w:r>
        <w:rPr>
          <w:noProof/>
        </w:rPr>
        <w:tab/>
        <w:t>De lijst van 15 personen die bereid en geschikt zijn om als scheidsrechter te fungeren, is opgesteld overeenkomstig artikel 64, lid 1, van de overeenkomst en is opgenomen in de bijlage bij dit besluit.</w:t>
      </w:r>
    </w:p>
    <w:p>
      <w:pPr>
        <w:pStyle w:val="ManualNumPar1"/>
        <w:rPr>
          <w:rFonts w:eastAsia="Times New Roman"/>
          <w:noProof/>
          <w:szCs w:val="24"/>
        </w:rPr>
      </w:pPr>
      <w:r>
        <w:rPr>
          <w:noProof/>
        </w:rPr>
        <w:t>2.</w:t>
      </w:r>
      <w:r>
        <w:rPr>
          <w:noProof/>
        </w:rPr>
        <w:tab/>
        <w:t>De in lid 1 bedoelde lijst van scheidsrechters laat de specifieke voorschriften waarin de overeenkomst voorziet of die door het EPO-comité kunnen worden vastgesteld, onverlet.</w:t>
      </w:r>
    </w:p>
    <w:p>
      <w:pPr>
        <w:keepNext/>
        <w:spacing w:before="360"/>
        <w:jc w:val="center"/>
        <w:rPr>
          <w:rFonts w:eastAsia="Times New Roman"/>
          <w:iCs/>
          <w:noProof/>
          <w:szCs w:val="24"/>
        </w:rPr>
      </w:pPr>
      <w:r>
        <w:rPr>
          <w:i/>
          <w:noProof/>
        </w:rPr>
        <w:t>Artikel 2</w:t>
      </w:r>
    </w:p>
    <w:p>
      <w:pPr>
        <w:rPr>
          <w:noProof/>
        </w:rPr>
      </w:pPr>
      <w:r>
        <w:rPr>
          <w:noProof/>
        </w:rPr>
        <w:t>De in artikel 1 bedoelde lijst van scheidsrechters kan worden gewijzigd bij besluit van het EPO-comité overeenkomstig artikel 67 van de overeenkomst.</w:t>
      </w:r>
    </w:p>
    <w:p>
      <w:pPr>
        <w:keepNext/>
        <w:spacing w:before="360"/>
        <w:jc w:val="center"/>
        <w:rPr>
          <w:rFonts w:eastAsia="Times New Roman"/>
          <w:noProof/>
          <w:szCs w:val="24"/>
        </w:rPr>
      </w:pPr>
      <w:r>
        <w:rPr>
          <w:i/>
          <w:noProof/>
        </w:rPr>
        <w:t>Artikel 3</w:t>
      </w:r>
    </w:p>
    <w:p>
      <w:pPr>
        <w:rPr>
          <w:rFonts w:eastAsia="Times New Roman"/>
          <w:noProof/>
          <w:szCs w:val="24"/>
        </w:rPr>
      </w:pPr>
      <w:r>
        <w:rPr>
          <w:noProof/>
        </w:rPr>
        <w:t>Dit besluit treedt in werking op de datum waarop het wordt ondertekend.</w:t>
      </w:r>
    </w:p>
    <w:p>
      <w:pPr>
        <w:keepNext/>
        <w:spacing w:after="0"/>
        <w:rPr>
          <w:noProof/>
        </w:rPr>
      </w:pPr>
      <w:r>
        <w:rPr>
          <w:noProof/>
        </w:rPr>
        <w:t>Gedaan te …, op …</w:t>
      </w:r>
    </w:p>
    <w:p>
      <w:pPr>
        <w:keepNext/>
        <w:tabs>
          <w:tab w:val="left" w:pos="5669"/>
        </w:tabs>
        <w:spacing w:before="720" w:after="0"/>
        <w:rPr>
          <w:i/>
          <w:noProof/>
        </w:rPr>
      </w:pPr>
      <w:r>
        <w:rPr>
          <w:i/>
          <w:noProof/>
        </w:rPr>
        <w:t>Voor de Republiek Ivoorkust</w:t>
      </w:r>
      <w:r>
        <w:rPr>
          <w:i/>
          <w:noProof/>
        </w:rPr>
        <w:tab/>
        <w:t>Voor de Europese Unie</w:t>
      </w:r>
    </w:p>
    <w:p>
      <w:pPr>
        <w:tabs>
          <w:tab w:val="left" w:pos="5669"/>
        </w:tabs>
        <w:spacing w:before="0" w:after="0"/>
        <w:rPr>
          <w:i/>
          <w:noProof/>
        </w:rPr>
      </w:pPr>
      <w:r>
        <w:rPr>
          <w:i/>
          <w:noProof/>
        </w:rPr>
        <w:t>...</w:t>
      </w:r>
      <w:r>
        <w:rPr>
          <w:i/>
          <w:noProof/>
        </w:rPr>
        <w:tab/>
        <w:t>…</w:t>
      </w:r>
    </w:p>
    <w:p>
      <w:pPr>
        <w:jc w:val="center"/>
        <w:rPr>
          <w:b/>
          <w:noProof/>
          <w:u w:val="single"/>
        </w:rPr>
      </w:pPr>
      <w:r>
        <w:rPr>
          <w:noProof/>
        </w:rPr>
        <w:br w:type="page"/>
      </w:r>
      <w:r>
        <w:rPr>
          <w:b/>
          <w:noProof/>
          <w:u w:val="single"/>
        </w:rPr>
        <w:t>BIJLAGE</w:t>
      </w:r>
    </w:p>
    <w:p>
      <w:pPr>
        <w:spacing w:after="360"/>
        <w:jc w:val="center"/>
        <w:rPr>
          <w:noProof/>
        </w:rPr>
      </w:pPr>
      <w:r>
        <w:rPr>
          <w:noProof/>
        </w:rPr>
        <w:t>Lijst van scheidsrechters (artikel 64, lid 1, van de overeenkomst)</w:t>
      </w:r>
    </w:p>
    <w:p>
      <w:pPr>
        <w:spacing w:after="360"/>
        <w:jc w:val="center"/>
        <w:rPr>
          <w:noProof/>
        </w:rPr>
      </w:pPr>
      <w:r>
        <w:rPr>
          <w:noProof/>
        </w:rPr>
        <w:t>Door Ivoorkust voorgedragen scheidsrechters:</w:t>
      </w:r>
    </w:p>
    <w:p>
      <w:pPr>
        <w:rPr>
          <w:noProof/>
        </w:rPr>
      </w:pPr>
      <w:r>
        <w:rPr>
          <w:noProof/>
        </w:rPr>
        <w:t>Dhr. Abbe YAO – Ivoorkust</w:t>
      </w:r>
    </w:p>
    <w:p>
      <w:pPr>
        <w:rPr>
          <w:noProof/>
        </w:rPr>
      </w:pPr>
      <w:r>
        <w:rPr>
          <w:noProof/>
        </w:rPr>
        <w:t>Dhr. Abdouramane OUATTARA – Ivoorkust</w:t>
      </w:r>
    </w:p>
    <w:p>
      <w:pPr>
        <w:rPr>
          <w:noProof/>
        </w:rPr>
      </w:pPr>
      <w:r>
        <w:rPr>
          <w:noProof/>
        </w:rPr>
        <w:t>Dhr. Joachim BILA AKA – Ivoorkust</w:t>
      </w:r>
    </w:p>
    <w:p>
      <w:pPr>
        <w:rPr>
          <w:noProof/>
        </w:rPr>
      </w:pPr>
      <w:r>
        <w:rPr>
          <w:noProof/>
        </w:rPr>
        <w:t>Dhr. Narcisse AKA – Ivoorkust</w:t>
      </w:r>
    </w:p>
    <w:p>
      <w:pPr>
        <w:spacing w:after="360"/>
        <w:rPr>
          <w:noProof/>
        </w:rPr>
      </w:pPr>
      <w:r>
        <w:rPr>
          <w:noProof/>
        </w:rPr>
        <w:t>Dhr. Karim FADIKA – Ivoorkust</w:t>
      </w:r>
    </w:p>
    <w:p>
      <w:pPr>
        <w:spacing w:after="240"/>
        <w:jc w:val="center"/>
        <w:rPr>
          <w:noProof/>
        </w:rPr>
      </w:pPr>
      <w:r>
        <w:rPr>
          <w:noProof/>
        </w:rPr>
        <w:t>Door de EU voorgedragen scheidsrechters:</w:t>
      </w:r>
    </w:p>
    <w:p>
      <w:pPr>
        <w:rPr>
          <w:noProof/>
        </w:rPr>
      </w:pPr>
      <w:r>
        <w:rPr>
          <w:noProof/>
        </w:rPr>
        <w:t>Dhr. Claus-Dieter EHLERMANN – Duitsland</w:t>
      </w:r>
    </w:p>
    <w:p>
      <w:pPr>
        <w:rPr>
          <w:noProof/>
        </w:rPr>
      </w:pPr>
      <w:r>
        <w:rPr>
          <w:noProof/>
        </w:rPr>
        <w:t>Dhr. Giorgio SACERDOTI – Italië</w:t>
      </w:r>
    </w:p>
    <w:p>
      <w:pPr>
        <w:rPr>
          <w:noProof/>
        </w:rPr>
      </w:pPr>
      <w:r>
        <w:rPr>
          <w:noProof/>
        </w:rPr>
        <w:t>Dhr. Jacques BOURGEOIS – België</w:t>
      </w:r>
    </w:p>
    <w:p>
      <w:pPr>
        <w:rPr>
          <w:noProof/>
        </w:rPr>
      </w:pPr>
      <w:r>
        <w:rPr>
          <w:noProof/>
        </w:rPr>
        <w:t>Dhr. Pieter Jan KUIJPER – Nederland</w:t>
      </w:r>
    </w:p>
    <w:p>
      <w:pPr>
        <w:spacing w:after="240"/>
        <w:rPr>
          <w:noProof/>
        </w:rPr>
      </w:pPr>
      <w:r>
        <w:rPr>
          <w:noProof/>
        </w:rPr>
        <w:t>Mevr. Hélène RUIZ FABRI – Frankrijk</w:t>
      </w:r>
    </w:p>
    <w:p>
      <w:pPr>
        <w:spacing w:after="240"/>
        <w:jc w:val="center"/>
        <w:rPr>
          <w:noProof/>
        </w:rPr>
      </w:pPr>
      <w:r>
        <w:rPr>
          <w:noProof/>
        </w:rPr>
        <w:t>Gezamenlijk door de beide partijen voorgedragen scheidsrechters:</w:t>
      </w:r>
    </w:p>
    <w:p>
      <w:pPr>
        <w:rPr>
          <w:noProof/>
          <w:lang w:val="en-US"/>
        </w:rPr>
      </w:pPr>
      <w:r>
        <w:rPr>
          <w:noProof/>
          <w:lang w:val="en-US"/>
        </w:rPr>
        <w:t>Dhr. Martial AKAKPO – Togo</w:t>
      </w:r>
    </w:p>
    <w:p>
      <w:pPr>
        <w:rPr>
          <w:noProof/>
          <w:lang w:val="en-US"/>
        </w:rPr>
      </w:pPr>
      <w:r>
        <w:rPr>
          <w:noProof/>
          <w:lang w:val="en-US"/>
        </w:rPr>
        <w:t>Mevr. Anna KOUYATE – Mali</w:t>
      </w:r>
    </w:p>
    <w:p>
      <w:pPr>
        <w:rPr>
          <w:noProof/>
        </w:rPr>
      </w:pPr>
      <w:r>
        <w:rPr>
          <w:noProof/>
        </w:rPr>
        <w:t>Dhr. Thomas COTTIER – Zwitserland</w:t>
      </w:r>
    </w:p>
    <w:p>
      <w:pPr>
        <w:rPr>
          <w:noProof/>
        </w:rPr>
      </w:pPr>
      <w:r>
        <w:rPr>
          <w:noProof/>
        </w:rPr>
        <w:t>Mevr. Merit E. JANOW – Verenigde Staten</w:t>
      </w:r>
    </w:p>
    <w:p>
      <w:pPr>
        <w:rPr>
          <w:noProof/>
        </w:rPr>
      </w:pPr>
      <w:r>
        <w:rPr>
          <w:noProof/>
        </w:rPr>
        <w:t>Dhr. Helge SELAND – Noorwegen</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E1A8B1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5127666"/>
    <w:lvl w:ilvl="0">
      <w:start w:val="1"/>
      <w:numFmt w:val="decimal"/>
      <w:pStyle w:val="ListNumber3"/>
      <w:lvlText w:val="%1."/>
      <w:lvlJc w:val="left"/>
      <w:pPr>
        <w:tabs>
          <w:tab w:val="num" w:pos="926"/>
        </w:tabs>
        <w:ind w:left="926" w:hanging="360"/>
      </w:pPr>
    </w:lvl>
  </w:abstractNum>
  <w:abstractNum w:abstractNumId="2">
    <w:nsid w:val="FFFFFF7F"/>
    <w:multiLevelType w:val="singleLevel"/>
    <w:tmpl w:val="1ACECAEC"/>
    <w:lvl w:ilvl="0">
      <w:start w:val="1"/>
      <w:numFmt w:val="decimal"/>
      <w:pStyle w:val="ListNumber2"/>
      <w:lvlText w:val="%1."/>
      <w:lvlJc w:val="left"/>
      <w:pPr>
        <w:tabs>
          <w:tab w:val="num" w:pos="643"/>
        </w:tabs>
        <w:ind w:left="643" w:hanging="360"/>
      </w:pPr>
    </w:lvl>
  </w:abstractNum>
  <w:abstractNum w:abstractNumId="3">
    <w:nsid w:val="FFFFFF81"/>
    <w:multiLevelType w:val="singleLevel"/>
    <w:tmpl w:val="1184592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C40614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0D43C1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4C4F34E"/>
    <w:lvl w:ilvl="0">
      <w:start w:val="1"/>
      <w:numFmt w:val="decimal"/>
      <w:pStyle w:val="ListNumber"/>
      <w:lvlText w:val="%1."/>
      <w:lvlJc w:val="left"/>
      <w:pPr>
        <w:tabs>
          <w:tab w:val="num" w:pos="360"/>
        </w:tabs>
        <w:ind w:left="360" w:hanging="360"/>
      </w:pPr>
    </w:lvl>
  </w:abstractNum>
  <w:abstractNum w:abstractNumId="7">
    <w:nsid w:val="FFFFFF89"/>
    <w:multiLevelType w:val="singleLevel"/>
    <w:tmpl w:val="A898621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05 18:22:5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bij"/>
    <w:docVar w:name="LW_ACCOMPAGNANT.CP" w:val="bij"/>
    <w:docVar w:name="LW_ANNEX_NBR_FIRST" w:val="1"/>
    <w:docVar w:name="LW_ANNEX_NBR_LAST" w:val="1"/>
    <w:docVar w:name="LW_ANNEX_UNIQUE" w:val="1"/>
    <w:docVar w:name="LW_CORRIGENDUM" w:val="&lt;UNUSED&gt;"/>
    <w:docVar w:name="LW_COVERPAGE_EXISTS" w:val="True"/>
    <w:docVar w:name="LW_COVERPAGE_GUID" w:val="861202E2-DD7D-4317-AC3D-DFDDDA50F4D1"/>
    <w:docVar w:name="LW_COVERPAGE_TYPE" w:val="1"/>
    <w:docVar w:name="LW_CROSSREFERENCE" w:val="&lt;UNUSED&gt;"/>
    <w:docVar w:name="LW_DocType" w:val="ANNEX"/>
    <w:docVar w:name="LW_EMISSION" w:val="12.5.2020"/>
    <w:docVar w:name="LW_EMISSION_ISODATE" w:val="2020-05-12"/>
    <w:docVar w:name="LW_EMISSION_LOCATION" w:val="BRX"/>
    <w:docVar w:name="LW_EMISSION_PREFIX" w:val="Brussel, "/>
    <w:docVar w:name="LW_EMISSION_SUFFIX" w:val=" "/>
    <w:docVar w:name="LW_ID_DOCSTRUCTURE" w:val="COM/ANNEX"/>
    <w:docVar w:name="LW_ID_DOCTYPE" w:val="SG-017"/>
    <w:docVar w:name="LW_LANGUE" w:val="NL"/>
    <w:docVar w:name="LW_LEVEL_OF_SENSITIVITY" w:val="Standard treatment"/>
    <w:docVar w:name="LW_NOM.INST" w:val="EUROPESE COMMISSIE"/>
    <w:docVar w:name="LW_NOM.INST_JOINTDOC" w:val="&lt;EMPTY&gt;"/>
    <w:docVar w:name="LW_OBJETACTEPRINCIPAL" w:val="&lt;FMT:Bold&gt;betreffende het namens de Europese Unie in het EPO-comité dat is opgericht bij de tijdelijke economische partnerschapsovereenkomst tussen Ivoorkust, enerzijds, en de Europese Gemeenschap en haar lidstaten, anderzijds, in te nemen standpunt in verband met de vaststelling van de lijst van scheidsrechters&lt;/FMT&gt;"/>
    <w:docVar w:name="LW_OBJETACTEPRINCIPAL.CP" w:val="&lt;FMT:Bold&gt;betreffende het namens de Europese Unie in het EPO-comité dat is opgericht bij de tijdelijke economische partnerschapsovereenkomst tussen Ivoorkust, enerzijds, en de Europese Gemeenschap en haar lidstaten, anderzijds, in te nemen standpunt in verband met de vaststelling van de lijst van scheidsrechters&lt;/FMT&gt;"/>
    <w:docVar w:name="LW_PART_NBR" w:val="1"/>
    <w:docVar w:name="LW_PART_NBR_TOTAL" w:val="1"/>
    <w:docVar w:name="LW_REF.INST.NEW" w:val="COM"/>
    <w:docVar w:name="LW_REF.INST.NEW_ADOPTED" w:val="final"/>
    <w:docVar w:name="LW_REF.INST.NEW_TEXT" w:val="(2020) 1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BIJLAGE"/>
    <w:docVar w:name="LW_TYPE.DOC.CP" w:val="BIJLAGE"/>
    <w:docVar w:name="LW_TYPEACTEPRINCIPAL" w:val="Voorstel voor een besluit van de Raad"/>
    <w:docVar w:name="LW_TYPEACTEPRINCIPAL.CP" w:val="Voorstel voor een besluit van de Raad"/>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3</Pages>
  <Words>334</Words>
  <Characters>1959</Characters>
  <Application>Microsoft Office Word</Application>
  <DocSecurity>0</DocSecurity>
  <Lines>55</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MOLLER Birgit (TRADE)</dc:creator>
  <cp:keywords/>
  <dc:description/>
  <cp:lastModifiedBy>WES PDFC Administrator</cp:lastModifiedBy>
  <cp:revision>9</cp:revision>
  <dcterms:created xsi:type="dcterms:W3CDTF">2020-03-13T08:16:00Z</dcterms:created>
  <dcterms:modified xsi:type="dcterms:W3CDTF">2020-05-05T16:22:00Z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