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CE43457-CB9E-4600-9CD9-88A4ABD6EAE1" style="width:450.75pt;height:393pt">
            <v:imagedata r:id="rId9" o:title=""/>
          </v:shape>
        </w:pict>
      </w:r>
    </w:p>
    <w:p>
      <w:pPr>
        <w:rPr>
          <w:noProof/>
          <w:szCs w:val="24"/>
        </w:rPr>
        <w:sectPr>
          <w:footerReference w:type="default" r:id="rId10"/>
          <w:footnotePr>
            <w:numRestart w:val="eachPage"/>
          </w:footnotePr>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MEABHRÁN MÍNIÚCHÁIN</w:t>
      </w:r>
    </w:p>
    <w:p>
      <w:pPr>
        <w:pStyle w:val="ManualHeading1"/>
        <w:rPr>
          <w:noProof/>
        </w:rPr>
      </w:pPr>
      <w:r>
        <w:rPr>
          <w:noProof/>
        </w:rPr>
        <w:t>1.</w:t>
      </w:r>
      <w:r>
        <w:rPr>
          <w:noProof/>
        </w:rPr>
        <w:tab/>
        <w:t>Ábhar an togra</w:t>
      </w:r>
    </w:p>
    <w:p>
      <w:pPr>
        <w:rPr>
          <w:rFonts w:eastAsia="Times New Roman"/>
          <w:noProof/>
          <w:szCs w:val="24"/>
        </w:rPr>
      </w:pPr>
      <w:r>
        <w:rPr>
          <w:noProof/>
        </w:rPr>
        <w:t xml:space="preserve">Baineann an togra seo le cinneadh réime lena mbunaítear an seasamh a ghlacfar thar ceann an Aontais ag cruinnithe den Eagraíocht Dhomhanda Chustaim (EDC) a bhaineann le hullmhú agus glacadh Nótaí Míniúcháin, Tuairimí maidir le hAicmiú, comhairle eile faoi léirmhíniú an Chórais Chomhchuibhithe agus moltaí chun aonfhoirmeacht a chinntiú maidir le léirmhíniú agus cur i bhfeidhm an Chórais Chomhchuibhithe faoin gCoinbhinsiún ar an gCóras Comhchuibhithe (Coinbhinsiún CC). </w:t>
      </w:r>
    </w:p>
    <w:p>
      <w:pPr>
        <w:pStyle w:val="ManualHeading1"/>
        <w:rPr>
          <w:b w:val="0"/>
          <w:smallCaps w:val="0"/>
          <w:noProof/>
          <w:szCs w:val="24"/>
        </w:rPr>
      </w:pPr>
      <w:r>
        <w:rPr>
          <w:noProof/>
        </w:rPr>
        <w:t>2.</w:t>
      </w:r>
      <w:r>
        <w:rPr>
          <w:noProof/>
        </w:rPr>
        <w:tab/>
        <w:t>Comhthéacs an Togra</w:t>
      </w:r>
    </w:p>
    <w:p>
      <w:pPr>
        <w:pStyle w:val="ManualHeading2"/>
        <w:rPr>
          <w:noProof/>
        </w:rPr>
      </w:pPr>
      <w:r>
        <w:rPr>
          <w:noProof/>
        </w:rPr>
        <w:t>2.1.</w:t>
      </w:r>
      <w:r>
        <w:rPr>
          <w:noProof/>
        </w:rPr>
        <w:tab/>
        <w:t>An Coinbhinsiún Idirnáisiúnta ar an gCóras Comhchuibhithe um Thuairisciú agus um Chódú Tráchtearraí</w:t>
      </w:r>
    </w:p>
    <w:p>
      <w:pPr>
        <w:rPr>
          <w:rFonts w:eastAsia="Arial Unicode MS"/>
          <w:noProof/>
          <w:szCs w:val="24"/>
        </w:rPr>
      </w:pPr>
      <w:r>
        <w:rPr>
          <w:noProof/>
        </w:rPr>
        <w:t>Is é is aidhm don Coinbhinsiún Idirnáisiúnta ar an gCóras Comhchuibhithe um Thuairisciú agus um Chódú Tráchtearraí (‘Coinbhinsiún CC’) trádáil idirnáisiúnta, bailiú staidrimh agus déanamh comparáide agus anailíse ar staidreamh a éascú, go háirithe staidreamh a bhaineann le trádáil idirnáisiúnta. Áirítear leis mar Iarscríbhinn Ainmníocht an Chórais Chomhchuibhithe (‘Ainmníocht CC’), córas idirnáisiúnta comhchuibhithe lena bhféadfaidh tíortha atá rannpháirteach earraí trádáilte a aicmiú ar bhonn coiteann chun críoch custaim. Go háirithe, áirítear le hAinmníocht an Chórais Chomhchuibhithe tuairisc ar na hearraí, atá leagtha síos mar cheannteidil agus fo-cheannteidil, agus na cóid uimhriúla lena mbaineann, bunaithe ar chóras cóid 6-digit. Déantar athbhreithniú ar Ainmníocht CC gach cúig bliana</w:t>
      </w:r>
      <w:r>
        <w:rPr>
          <w:rStyle w:val="FootnoteReference"/>
          <w:noProof/>
          <w:szCs w:val="24"/>
        </w:rPr>
        <w:footnoteReference w:id="1"/>
      </w:r>
      <w:r>
        <w:rPr>
          <w:noProof/>
        </w:rPr>
        <w:t xml:space="preserve">. Cuireann níos mó ná 190 lucht riaracháin an Ainmníocht sin i bhfeidhm; dá bharr sin, aicmítear níos mó ná 98% d'earraí trádáilte ar domhain dá réir. </w:t>
      </w:r>
    </w:p>
    <w:p>
      <w:pPr>
        <w:rPr>
          <w:rFonts w:eastAsia="Arial Unicode MS"/>
          <w:noProof/>
          <w:szCs w:val="24"/>
        </w:rPr>
      </w:pPr>
      <w:r>
        <w:rPr>
          <w:noProof/>
        </w:rPr>
        <w:t>Tháinig Coinbhinsiún CC i bhfeidhm an 1 Eanáir 1988.</w:t>
      </w:r>
    </w:p>
    <w:p>
      <w:pPr>
        <w:rPr>
          <w:rFonts w:eastAsia="Arial Unicode MS"/>
          <w:noProof/>
          <w:szCs w:val="24"/>
        </w:rPr>
      </w:pPr>
      <w:r>
        <w:rPr>
          <w:noProof/>
        </w:rPr>
        <w:t>Tá an tAontas Eorpach agus gach Ballstát de ina bpáirtithe sa Chomhaontú</w:t>
      </w:r>
      <w:r>
        <w:rPr>
          <w:rStyle w:val="FootnoteReference"/>
          <w:noProof/>
          <w:szCs w:val="24"/>
        </w:rPr>
        <w:footnoteReference w:id="2"/>
      </w:r>
      <w:r>
        <w:rPr>
          <w:noProof/>
        </w:rPr>
        <w:t>.</w:t>
      </w:r>
    </w:p>
    <w:p>
      <w:pPr>
        <w:pStyle w:val="ManualHeading2"/>
        <w:rPr>
          <w:b w:val="0"/>
          <w:noProof/>
          <w:szCs w:val="24"/>
        </w:rPr>
      </w:pPr>
      <w:r>
        <w:rPr>
          <w:noProof/>
        </w:rPr>
        <w:t>2.2.</w:t>
      </w:r>
      <w:r>
        <w:rPr>
          <w:noProof/>
        </w:rPr>
        <w:tab/>
        <w:t>An Eagraíocht Dhomhanda Chustaim (EDC)</w:t>
      </w:r>
    </w:p>
    <w:p>
      <w:pPr>
        <w:rPr>
          <w:rFonts w:eastAsia="Arial Unicode MS"/>
          <w:noProof/>
          <w:szCs w:val="24"/>
        </w:rPr>
      </w:pPr>
      <w:r>
        <w:rPr>
          <w:noProof/>
        </w:rPr>
        <w:t xml:space="preserve">An Eagraíocht Dhomhanda Chustaim (EDC), a bunaíodh in 1952 mar an Chomhairle um Chomhar Custaim, is comhlacht idir-rialtasach neamhspleách í arb é is cuspóir léi éifeachtacht agus éifeachtúlacht a fheabhsú d'údaráis Chustaim. Tá 183 údarás custaim ina mball di ar fud an domhain. Is í an Chomhairle í bord rialaithe EDC. Tá vóta amháin ag gach Ball den Chomhairle. Déantar cinntí na Comhairle de réir tromlach dhá thrian de na Baill atá i láthair agus a bhfuil ceart vótála acu. Feidhmíonn an tAontas cearta agus oibleagáidí ar nós ballraíocht </w:t>
      </w:r>
      <w:r>
        <w:rPr>
          <w:i/>
          <w:noProof/>
        </w:rPr>
        <w:t>ad interim</w:t>
      </w:r>
      <w:r>
        <w:rPr>
          <w:noProof/>
        </w:rPr>
        <w:t xml:space="preserve"> san Eagraíocht Dhomhanda Chustaim, go dtí go dtiocfaidh an leasú ar an gCoinbhinsiún lena mbunaítear Comhairle um Chomhar Custaim i bhfeidhm.</w:t>
      </w:r>
    </w:p>
    <w:p>
      <w:pPr>
        <w:rPr>
          <w:rFonts w:eastAsiaTheme="majorEastAsia"/>
          <w:bCs/>
          <w:noProof/>
          <w:szCs w:val="24"/>
        </w:rPr>
      </w:pPr>
      <w:r>
        <w:rPr>
          <w:noProof/>
        </w:rPr>
        <w:t>Is coiste teicniúil í an Coiste um an gCóras Comhchuibhithe (CCC) atá i gceannas ar obair ullmhúcháin a bhaineann le Coinbhinsiún CC. Seo iad príomhchúraimí an Choiste um an gCóras Comhchuibhithe:</w:t>
      </w:r>
    </w:p>
    <w:p>
      <w:pPr>
        <w:pStyle w:val="Bullet0"/>
        <w:numPr>
          <w:ilvl w:val="0"/>
          <w:numId w:val="9"/>
        </w:numPr>
        <w:rPr>
          <w:noProof/>
          <w:szCs w:val="24"/>
        </w:rPr>
      </w:pPr>
      <w:r>
        <w:rPr>
          <w:noProof/>
        </w:rPr>
        <w:t xml:space="preserve">Nótaí Míniúcháin, Tuairimí maidir le hAicmiú nó comhairle eile a ullmhú mar threoraíocht faoi léirmhíniú an Chórais Chomhchuibhithe, agus cumhachtaí agus </w:t>
      </w:r>
      <w:r>
        <w:rPr>
          <w:noProof/>
        </w:rPr>
        <w:lastRenderedPageBreak/>
        <w:t>feidhmeanna eile den chineál sin a fheidhmiú i ndáil leis an gCóras Comhchuibhithe mar a mheasann Comhairle EDC nó na Páirtithe Conarthacha a bheith riachtanach. Féadfaidh sé comhlachtaí ullmhúcháin a bhunú, ar nós Fochoistí agus Meithleacha.</w:t>
      </w:r>
    </w:p>
    <w:p>
      <w:pPr>
        <w:pStyle w:val="Bullet0"/>
        <w:numPr>
          <w:ilvl w:val="0"/>
          <w:numId w:val="9"/>
        </w:numPr>
        <w:rPr>
          <w:noProof/>
          <w:szCs w:val="24"/>
        </w:rPr>
      </w:pPr>
      <w:r>
        <w:rPr>
          <w:noProof/>
        </w:rPr>
        <w:t>Moltaí a ullmhú chun aonfhoirmeacht a chinntiú maidir le léirmhíniú agus cur i bhfeidhm théacsanna dlíthiúla an Chórais Chomhchuibhithe, lena n</w:t>
      </w:r>
      <w:r>
        <w:rPr>
          <w:noProof/>
        </w:rPr>
        <w:noBreakHyphen/>
        <w:t xml:space="preserve">áirítear díospóidí faoi aicmiú a réiteach idir Páirtithe Conarthacha, agus dá bhrí sin, trádáil a éascú; </w:t>
      </w:r>
    </w:p>
    <w:p>
      <w:pPr>
        <w:pStyle w:val="Bullet0"/>
        <w:rPr>
          <w:noProof/>
          <w:szCs w:val="24"/>
        </w:rPr>
      </w:pPr>
      <w:r>
        <w:rPr>
          <w:noProof/>
        </w:rPr>
        <w:t xml:space="preserve">Leasuithe ar an gCóras Comhchuibhithe a mholadh chun forbairtí sa teicneolaíocht agus athruithe i ngréasáin trádála a léiriú, chomh maith le riachtanais eile de chuid úsáideoirí an Chórais Chomhchuibhithe; </w:t>
      </w:r>
    </w:p>
    <w:p>
      <w:pPr>
        <w:pStyle w:val="Bullet0"/>
        <w:rPr>
          <w:noProof/>
          <w:szCs w:val="24"/>
        </w:rPr>
      </w:pPr>
      <w:r>
        <w:rPr>
          <w:noProof/>
        </w:rPr>
        <w:t>Cur i bhfeidhm forleathan an Chórais Chomhchuibhithe a chur chun cinn, agus scrúdú a dhéanamh ar cheisteanna ginearálta agus cúrsaí beartais a bhaineann leis.</w:t>
      </w:r>
    </w:p>
    <w:p>
      <w:pPr>
        <w:rPr>
          <w:noProof/>
        </w:rPr>
      </w:pPr>
      <w:r>
        <w:rPr>
          <w:noProof/>
        </w:rPr>
        <w:t>Níl ach aon vóta amháin idir an tAontas agus na Ballstáit le chéile sa Choiste um an gCóras Comhchuibhithe. Déantar cinntí sa Choiste CC, a bhaineann le cúrsaí a chumhdaítear leis an gcinneadh réime seo, de réir tromlach simplí.</w:t>
      </w:r>
    </w:p>
    <w:p>
      <w:pPr>
        <w:rPr>
          <w:noProof/>
        </w:rPr>
      </w:pPr>
      <w:r>
        <w:rPr>
          <w:noProof/>
        </w:rPr>
        <w:t>De bhun Airteagal 8(2) de Choinbhinsiún CC, Nótaí Míniúcháin, Tuairimí maidir le hAicmiú, comhairle eile faoi léirmhíniú an Chórais Chomhchuibhithe agus moltaí chun aonfhoirmeacht a chinntiú maidir le léirmhíniú agus cur i bhfeidhm an Chórais Chomhchuibhithe a ullmhaítear le linn seisiún de Choiste CC, meastar iad go léir a bheith faofa ag Comhairle EDC i gcás, nach déanaí ná deireadh an dara mí tar éis na míosa ar dúnadh an seisiún inar glacadh iad lena linn, i gcás nach bhfuil fógra ó aon Pháirtí Conarthach i gCoinbhinsiún CC tugtha d'Ard</w:t>
      </w:r>
      <w:r>
        <w:rPr>
          <w:noProof/>
        </w:rPr>
        <w:noBreakHyphen/>
        <w:t>Rúnaí na hEagraíochta Domhanda Custaim go n</w:t>
      </w:r>
      <w:r>
        <w:rPr>
          <w:noProof/>
        </w:rPr>
        <w:noBreakHyphen/>
        <w:t xml:space="preserve">iarann sé cúrsaí den chineál sin a thabhairt faoi bhráid Chomhairle EDC. </w:t>
      </w:r>
    </w:p>
    <w:p>
      <w:pPr>
        <w:rPr>
          <w:noProof/>
        </w:rPr>
      </w:pPr>
      <w:r>
        <w:rPr>
          <w:noProof/>
        </w:rPr>
        <w:t>De bhun Airteagal 8(3) de Choinbhinsiún CC, i gcás ina dtugtar ábhar faoi bhráid na Comhairle faoi fhorálacha mhír 2 den Airteagal seo, formheasfaidh an Chomhairle Nótaí Míniúcháin, Tuairimí maidir le hAicmiú agus comhairle nó moltaí eile den chineál sin, ach amháin má iarrann aon Bhall den Chomhairle is Páirtí Conarthach sa Choinbhinsiún é go dtabharfar faoi bhráid an Choiste iad, ina n</w:t>
      </w:r>
      <w:r>
        <w:rPr>
          <w:noProof/>
        </w:rPr>
        <w:noBreakHyphen/>
        <w:t xml:space="preserve">iomláine nó i bpáirt le haghaidh athscrúdú. </w:t>
      </w:r>
    </w:p>
    <w:p>
      <w:pPr>
        <w:rPr>
          <w:noProof/>
          <w:szCs w:val="24"/>
        </w:rPr>
      </w:pPr>
    </w:p>
    <w:p>
      <w:pPr>
        <w:pStyle w:val="ManualHeading2"/>
        <w:rPr>
          <w:b w:val="0"/>
          <w:noProof/>
          <w:szCs w:val="24"/>
        </w:rPr>
      </w:pPr>
      <w:r>
        <w:rPr>
          <w:noProof/>
        </w:rPr>
        <w:t>2.3.</w:t>
      </w:r>
      <w:r>
        <w:rPr>
          <w:noProof/>
        </w:rPr>
        <w:tab/>
        <w:t xml:space="preserve">Na gníomhartha atá beartaithe </w:t>
      </w:r>
    </w:p>
    <w:p>
      <w:pPr>
        <w:rPr>
          <w:noProof/>
          <w:szCs w:val="24"/>
        </w:rPr>
      </w:pPr>
      <w:r>
        <w:rPr>
          <w:noProof/>
        </w:rPr>
        <w:t xml:space="preserve">I gcomhréir le hAirteagal 6(2) de Choinbhinsiún CC, tagann an Coiste um an gCóras Comhchuibhithe le chéile dhá uair sa bhliain de ghnáth. Go hiarbhír, bíonn cruinnithe de Choiste CC ar siúl i mí an Mhárta agus mí Mheán Fómhair. </w:t>
      </w:r>
    </w:p>
    <w:p>
      <w:pPr>
        <w:rPr>
          <w:noProof/>
          <w:szCs w:val="24"/>
        </w:rPr>
      </w:pPr>
      <w:r>
        <w:rPr>
          <w:noProof/>
        </w:rPr>
        <w:t>An cinneadh réime atá molta, baineann sé leis na gníomhartha seo a leanas, a ndearna an Coiste iad a mheas agus a ghlacadh go sealadach, faoi réir formheas ón Eagraíocht Dhomhanda Custaim trí “nós imeachta an tosta”:</w:t>
      </w:r>
    </w:p>
    <w:p>
      <w:pPr>
        <w:pStyle w:val="Point0"/>
        <w:rPr>
          <w:noProof/>
        </w:rPr>
      </w:pPr>
      <w:r>
        <w:t>(a)</w:t>
      </w:r>
      <w:r>
        <w:tab/>
      </w:r>
      <w:r>
        <w:rPr>
          <w:noProof/>
        </w:rPr>
        <w:t>Nótaí Míniúcháin lena soiléirítear léirmhíniú na nótaí, na gceannteideal agus na bhfo-cheannteideal in Ainmníocht an Chórais Chomhchuibhithe,</w:t>
      </w:r>
    </w:p>
    <w:p>
      <w:pPr>
        <w:pStyle w:val="Point0"/>
        <w:rPr>
          <w:noProof/>
        </w:rPr>
      </w:pPr>
      <w:r>
        <w:t>(b)</w:t>
      </w:r>
      <w:r>
        <w:tab/>
      </w:r>
      <w:r>
        <w:rPr>
          <w:noProof/>
        </w:rPr>
        <w:t>Tuairimí maidir le hAicmiú, lena léirítear na cinntí a dhéanann an Coiste um an gCóras Comhchuibhithe a mhéid a bhaineann le táirgí sonracha a aicmiú,</w:t>
      </w:r>
    </w:p>
    <w:p>
      <w:pPr>
        <w:pStyle w:val="Point0"/>
        <w:rPr>
          <w:noProof/>
        </w:rPr>
      </w:pPr>
      <w:r>
        <w:t>(c)</w:t>
      </w:r>
      <w:r>
        <w:tab/>
      </w:r>
      <w:r>
        <w:rPr>
          <w:noProof/>
        </w:rPr>
        <w:t>Comhairle agus moltaí eile a bhaineann le hearraí a aicmiú in Ainmníocht an Chórais Chomhchuibhithe, ar nós cinntí maidir le haicmiú agus treoraíocht eile atá glactha ag an gCoiste um an gCóras Comhchuibhithe.</w:t>
      </w:r>
    </w:p>
    <w:p>
      <w:pPr>
        <w:rPr>
          <w:noProof/>
          <w:szCs w:val="24"/>
        </w:rPr>
      </w:pPr>
      <w:r>
        <w:rPr>
          <w:noProof/>
        </w:rPr>
        <w:t xml:space="preserve">I gcomhréir le hAirteagal 34(a)(iii) de Rialachán (AE) Uimh. 952/2013 ó Pharlaimint na hEorpa agus ón gComhairle an 9 Deireadh Fómhair 2013 lena leagtar síos Cód Custaim an </w:t>
      </w:r>
      <w:r>
        <w:rPr>
          <w:noProof/>
        </w:rPr>
        <w:lastRenderedPageBreak/>
        <w:t>Aontais</w:t>
      </w:r>
      <w:r>
        <w:rPr>
          <w:rStyle w:val="FootnoteReference"/>
          <w:noProof/>
          <w:szCs w:val="24"/>
        </w:rPr>
        <w:footnoteReference w:id="3"/>
      </w:r>
      <w:r>
        <w:rPr>
          <w:noProof/>
        </w:rPr>
        <w:t xml:space="preserve">, déanfaidh údaráis chustaim na mBallstát a gcinntí maidir le Faisnéis Taraife Cheangailteach a chúlghairm i gcás nach bhfuil siad ag luí a thuilleadh leis an léirmhíniú ar Ainmníocht CC de thoradh cinntí maidir le haicmiú, tuairimí maidir le haicmiú nó </w:t>
      </w:r>
      <w:r>
        <w:rPr>
          <w:noProof/>
          <w:color w:val="000000"/>
          <w:szCs w:val="24"/>
        </w:rPr>
        <w:t>leasuithe ar na nóta míniúcháin a ghabhann le hAinmníocht CC, le héifeacht ón dháta foilsithe na Teachtaireachta ón gCoimisiún i sraith ‘C’ d’</w:t>
      </w:r>
      <w:r>
        <w:rPr>
          <w:rStyle w:val="italic"/>
          <w:noProof/>
          <w:color w:val="000000"/>
          <w:szCs w:val="24"/>
        </w:rPr>
        <w:t>Iris Oifigiúil an Aontais Eorpaigh</w:t>
      </w:r>
      <w:r>
        <w:rPr>
          <w:noProof/>
        </w:rPr>
        <w:t>.</w:t>
      </w:r>
    </w:p>
    <w:p>
      <w:pPr>
        <w:pStyle w:val="ManualHeading1"/>
        <w:rPr>
          <w:b w:val="0"/>
          <w:smallCaps w:val="0"/>
          <w:noProof/>
          <w:szCs w:val="24"/>
        </w:rPr>
      </w:pPr>
      <w:r>
        <w:rPr>
          <w:noProof/>
        </w:rPr>
        <w:t>3.</w:t>
      </w:r>
      <w:r>
        <w:rPr>
          <w:noProof/>
        </w:rPr>
        <w:tab/>
        <w:t xml:space="preserve">An seasamh a ghlacfar thar ceann an Aontais </w:t>
      </w:r>
    </w:p>
    <w:p>
      <w:pPr>
        <w:pStyle w:val="ManualHeading2"/>
        <w:rPr>
          <w:b w:val="0"/>
          <w:noProof/>
          <w:szCs w:val="24"/>
        </w:rPr>
      </w:pPr>
      <w:r>
        <w:rPr>
          <w:noProof/>
        </w:rPr>
        <w:t xml:space="preserve">3.1. </w:t>
      </w:r>
      <w:r>
        <w:rPr>
          <w:noProof/>
        </w:rPr>
        <w:tab/>
        <w:t xml:space="preserve">Srianta praiticiúla maidir le hullmhú agus glacadh na seasamh ón Aontas a chur le chéile </w:t>
      </w:r>
    </w:p>
    <w:p>
      <w:pPr>
        <w:rPr>
          <w:noProof/>
          <w:szCs w:val="24"/>
        </w:rPr>
      </w:pPr>
      <w:r>
        <w:rPr>
          <w:noProof/>
        </w:rPr>
        <w:t>Le linn gach ceann dá dhá chruinniú bhliantúla, pléann an Coiste um an gCóras Comhchuibhithe líon mór saincheisteanna an</w:t>
      </w:r>
      <w:r>
        <w:rPr>
          <w:noProof/>
        </w:rPr>
        <w:noBreakHyphen/>
        <w:t>teicniúil. Léirítear i dTábla 1 an líon cinntí a ghlac an Coiste le trí bliana anuas, de réir chineál an chinnidh.</w:t>
      </w:r>
    </w:p>
    <w:p>
      <w:pPr>
        <w:spacing w:before="0" w:after="200" w:line="276" w:lineRule="auto"/>
        <w:jc w:val="center"/>
        <w:rPr>
          <w:b/>
          <w:noProof/>
          <w:szCs w:val="24"/>
        </w:rPr>
      </w:pPr>
      <w:r>
        <w:rPr>
          <w:b/>
          <w:noProof/>
          <w:szCs w:val="24"/>
        </w:rPr>
        <w:t xml:space="preserve">Tábla 1 Coiste CC Cinntí de réir cineáil </w:t>
      </w:r>
    </w:p>
    <w:tbl>
      <w:tblPr>
        <w:tblStyle w:val="TableGrid2"/>
        <w:tblW w:w="9325" w:type="dxa"/>
        <w:jc w:val="center"/>
        <w:tblLook w:val="04A0" w:firstRow="1" w:lastRow="0" w:firstColumn="1" w:lastColumn="0" w:noHBand="0" w:noVBand="1"/>
      </w:tblPr>
      <w:tblGrid>
        <w:gridCol w:w="2018"/>
        <w:gridCol w:w="1222"/>
        <w:gridCol w:w="1265"/>
        <w:gridCol w:w="1205"/>
        <w:gridCol w:w="1205"/>
        <w:gridCol w:w="1205"/>
        <w:gridCol w:w="1205"/>
      </w:tblGrid>
      <w:tr>
        <w:trPr>
          <w:jc w:val="center"/>
        </w:trPr>
        <w:tc>
          <w:tcPr>
            <w:tcW w:w="1488" w:type="dxa"/>
          </w:tcPr>
          <w:p>
            <w:pPr>
              <w:spacing w:before="0" w:after="0"/>
              <w:jc w:val="center"/>
              <w:rPr>
                <w:b/>
                <w:noProof/>
                <w:szCs w:val="24"/>
              </w:rPr>
            </w:pPr>
          </w:p>
          <w:p>
            <w:pPr>
              <w:spacing w:before="0" w:after="0"/>
              <w:jc w:val="center"/>
              <w:rPr>
                <w:b/>
                <w:noProof/>
                <w:szCs w:val="24"/>
              </w:rPr>
            </w:pPr>
            <w:r>
              <w:rPr>
                <w:b/>
                <w:noProof/>
                <w:szCs w:val="24"/>
              </w:rPr>
              <w:t>Cruinniú</w:t>
            </w:r>
          </w:p>
          <w:p>
            <w:pPr>
              <w:spacing w:before="0" w:after="0"/>
              <w:jc w:val="center"/>
              <w:rPr>
                <w:b/>
                <w:noProof/>
                <w:szCs w:val="24"/>
              </w:rPr>
            </w:pPr>
          </w:p>
        </w:tc>
        <w:tc>
          <w:tcPr>
            <w:tcW w:w="1322" w:type="dxa"/>
          </w:tcPr>
          <w:p>
            <w:pPr>
              <w:spacing w:before="0" w:after="0"/>
              <w:jc w:val="center"/>
              <w:rPr>
                <w:b/>
                <w:noProof/>
                <w:szCs w:val="24"/>
              </w:rPr>
            </w:pPr>
          </w:p>
          <w:p>
            <w:pPr>
              <w:spacing w:before="0" w:after="0"/>
              <w:jc w:val="center"/>
              <w:rPr>
                <w:b/>
                <w:noProof/>
                <w:szCs w:val="24"/>
              </w:rPr>
            </w:pPr>
            <w:r>
              <w:rPr>
                <w:b/>
                <w:noProof/>
                <w:szCs w:val="24"/>
              </w:rPr>
              <w:t>CCC/59</w:t>
            </w:r>
          </w:p>
        </w:tc>
        <w:tc>
          <w:tcPr>
            <w:tcW w:w="1503" w:type="dxa"/>
          </w:tcPr>
          <w:p>
            <w:pPr>
              <w:spacing w:before="0" w:after="0"/>
              <w:jc w:val="center"/>
              <w:rPr>
                <w:b/>
                <w:noProof/>
                <w:szCs w:val="24"/>
              </w:rPr>
            </w:pPr>
          </w:p>
          <w:p>
            <w:pPr>
              <w:spacing w:before="0" w:after="0"/>
              <w:jc w:val="center"/>
              <w:rPr>
                <w:b/>
                <w:noProof/>
                <w:szCs w:val="24"/>
              </w:rPr>
            </w:pPr>
            <w:r>
              <w:rPr>
                <w:b/>
                <w:noProof/>
                <w:szCs w:val="24"/>
              </w:rPr>
              <w:t>CCC/60</w:t>
            </w:r>
          </w:p>
        </w:tc>
        <w:tc>
          <w:tcPr>
            <w:tcW w:w="1253" w:type="dxa"/>
          </w:tcPr>
          <w:p>
            <w:pPr>
              <w:spacing w:before="0" w:after="0"/>
              <w:jc w:val="center"/>
              <w:rPr>
                <w:b/>
                <w:noProof/>
                <w:szCs w:val="24"/>
              </w:rPr>
            </w:pPr>
          </w:p>
          <w:p>
            <w:pPr>
              <w:spacing w:before="0" w:after="0"/>
              <w:jc w:val="center"/>
              <w:rPr>
                <w:b/>
                <w:noProof/>
                <w:szCs w:val="24"/>
              </w:rPr>
            </w:pPr>
            <w:r>
              <w:rPr>
                <w:b/>
                <w:noProof/>
                <w:szCs w:val="24"/>
              </w:rPr>
              <w:t>CCC/61</w:t>
            </w:r>
          </w:p>
        </w:tc>
        <w:tc>
          <w:tcPr>
            <w:tcW w:w="1253" w:type="dxa"/>
          </w:tcPr>
          <w:p>
            <w:pPr>
              <w:spacing w:before="0" w:after="0"/>
              <w:jc w:val="center"/>
              <w:rPr>
                <w:b/>
                <w:noProof/>
                <w:szCs w:val="24"/>
              </w:rPr>
            </w:pPr>
          </w:p>
          <w:p>
            <w:pPr>
              <w:spacing w:before="0" w:after="0"/>
              <w:jc w:val="center"/>
              <w:rPr>
                <w:b/>
                <w:noProof/>
                <w:szCs w:val="24"/>
              </w:rPr>
            </w:pPr>
            <w:r>
              <w:rPr>
                <w:b/>
                <w:noProof/>
                <w:szCs w:val="24"/>
              </w:rPr>
              <w:t>CCC/62</w:t>
            </w:r>
          </w:p>
        </w:tc>
        <w:tc>
          <w:tcPr>
            <w:tcW w:w="1253" w:type="dxa"/>
          </w:tcPr>
          <w:p>
            <w:pPr>
              <w:spacing w:before="0" w:after="0"/>
              <w:jc w:val="center"/>
              <w:rPr>
                <w:b/>
                <w:noProof/>
                <w:szCs w:val="24"/>
              </w:rPr>
            </w:pPr>
          </w:p>
          <w:p>
            <w:pPr>
              <w:spacing w:before="0" w:after="0"/>
              <w:jc w:val="center"/>
              <w:rPr>
                <w:b/>
                <w:noProof/>
                <w:szCs w:val="24"/>
              </w:rPr>
            </w:pPr>
            <w:r>
              <w:rPr>
                <w:b/>
                <w:noProof/>
                <w:szCs w:val="24"/>
              </w:rPr>
              <w:t>CCC/63</w:t>
            </w:r>
            <w:r>
              <w:rPr>
                <w:rStyle w:val="FootnoteReference"/>
                <w:noProof/>
              </w:rPr>
              <w:footnoteReference w:id="4"/>
            </w:r>
          </w:p>
        </w:tc>
        <w:tc>
          <w:tcPr>
            <w:tcW w:w="1253" w:type="dxa"/>
          </w:tcPr>
          <w:p>
            <w:pPr>
              <w:spacing w:before="0" w:after="0"/>
              <w:jc w:val="center"/>
              <w:rPr>
                <w:b/>
                <w:noProof/>
                <w:szCs w:val="24"/>
              </w:rPr>
            </w:pPr>
          </w:p>
          <w:p>
            <w:pPr>
              <w:spacing w:before="0" w:after="0"/>
              <w:jc w:val="center"/>
              <w:rPr>
                <w:b/>
                <w:noProof/>
                <w:szCs w:val="24"/>
              </w:rPr>
            </w:pPr>
            <w:r>
              <w:rPr>
                <w:b/>
                <w:noProof/>
                <w:szCs w:val="24"/>
              </w:rPr>
              <w:t>CCC/64</w:t>
            </w:r>
          </w:p>
        </w:tc>
      </w:tr>
      <w:tr>
        <w:trPr>
          <w:jc w:val="center"/>
        </w:trPr>
        <w:tc>
          <w:tcPr>
            <w:tcW w:w="1488" w:type="dxa"/>
          </w:tcPr>
          <w:p>
            <w:pPr>
              <w:spacing w:before="0" w:after="0"/>
              <w:jc w:val="center"/>
              <w:rPr>
                <w:b/>
                <w:noProof/>
                <w:szCs w:val="24"/>
              </w:rPr>
            </w:pPr>
            <w:r>
              <w:rPr>
                <w:b/>
                <w:noProof/>
                <w:szCs w:val="24"/>
              </w:rPr>
              <w:t>Dáta</w:t>
            </w:r>
            <w:r>
              <w:rPr>
                <w:rStyle w:val="FootnoteReference"/>
                <w:b/>
                <w:noProof/>
                <w:szCs w:val="24"/>
              </w:rPr>
              <w:footnoteReference w:id="5"/>
            </w:r>
          </w:p>
        </w:tc>
        <w:tc>
          <w:tcPr>
            <w:tcW w:w="1322" w:type="dxa"/>
          </w:tcPr>
          <w:p>
            <w:pPr>
              <w:spacing w:before="0" w:after="0"/>
              <w:jc w:val="center"/>
              <w:rPr>
                <w:noProof/>
                <w:szCs w:val="24"/>
              </w:rPr>
            </w:pPr>
            <w:r>
              <w:rPr>
                <w:noProof/>
              </w:rPr>
              <w:t>13-24/3/2017</w:t>
            </w:r>
          </w:p>
        </w:tc>
        <w:tc>
          <w:tcPr>
            <w:tcW w:w="1503" w:type="dxa"/>
          </w:tcPr>
          <w:p>
            <w:pPr>
              <w:spacing w:before="0" w:after="0"/>
              <w:jc w:val="center"/>
              <w:rPr>
                <w:noProof/>
                <w:szCs w:val="24"/>
              </w:rPr>
            </w:pPr>
            <w:r>
              <w:rPr>
                <w:noProof/>
              </w:rPr>
              <w:t>25/9-6/10/2017</w:t>
            </w:r>
          </w:p>
        </w:tc>
        <w:tc>
          <w:tcPr>
            <w:tcW w:w="1253" w:type="dxa"/>
          </w:tcPr>
          <w:p>
            <w:pPr>
              <w:spacing w:before="0" w:after="0"/>
              <w:jc w:val="center"/>
              <w:rPr>
                <w:noProof/>
                <w:szCs w:val="24"/>
              </w:rPr>
            </w:pPr>
            <w:r>
              <w:rPr>
                <w:noProof/>
              </w:rPr>
              <w:t>1-16/3/2018</w:t>
            </w:r>
          </w:p>
        </w:tc>
        <w:tc>
          <w:tcPr>
            <w:tcW w:w="1253" w:type="dxa"/>
          </w:tcPr>
          <w:p>
            <w:pPr>
              <w:spacing w:before="0" w:after="0"/>
              <w:jc w:val="center"/>
              <w:rPr>
                <w:noProof/>
                <w:szCs w:val="24"/>
              </w:rPr>
            </w:pPr>
            <w:r>
              <w:rPr>
                <w:noProof/>
              </w:rPr>
              <w:t>13-28/9/2018</w:t>
            </w:r>
          </w:p>
        </w:tc>
        <w:tc>
          <w:tcPr>
            <w:tcW w:w="1253" w:type="dxa"/>
          </w:tcPr>
          <w:p>
            <w:pPr>
              <w:spacing w:before="0" w:after="0"/>
              <w:jc w:val="center"/>
              <w:rPr>
                <w:noProof/>
                <w:szCs w:val="24"/>
              </w:rPr>
            </w:pPr>
            <w:r>
              <w:rPr>
                <w:noProof/>
              </w:rPr>
              <w:t>14-29/3/2019</w:t>
            </w:r>
          </w:p>
        </w:tc>
        <w:tc>
          <w:tcPr>
            <w:tcW w:w="1253" w:type="dxa"/>
          </w:tcPr>
          <w:p>
            <w:pPr>
              <w:spacing w:before="0" w:after="0"/>
              <w:jc w:val="center"/>
              <w:rPr>
                <w:noProof/>
                <w:szCs w:val="24"/>
              </w:rPr>
            </w:pPr>
            <w:r>
              <w:rPr>
                <w:noProof/>
              </w:rPr>
              <w:t>16-27/9/2019</w:t>
            </w:r>
          </w:p>
        </w:tc>
      </w:tr>
      <w:tr>
        <w:trPr>
          <w:jc w:val="center"/>
        </w:trPr>
        <w:tc>
          <w:tcPr>
            <w:tcW w:w="1488" w:type="dxa"/>
          </w:tcPr>
          <w:p>
            <w:pPr>
              <w:spacing w:before="0" w:after="0"/>
              <w:jc w:val="center"/>
              <w:rPr>
                <w:b/>
                <w:noProof/>
                <w:szCs w:val="24"/>
              </w:rPr>
            </w:pPr>
            <w:r>
              <w:rPr>
                <w:b/>
                <w:noProof/>
                <w:szCs w:val="24"/>
              </w:rPr>
              <w:t>Leasuithe ar an gCóras Comhchuibhithe</w:t>
            </w:r>
            <w:r>
              <w:rPr>
                <w:rStyle w:val="FootnoteReference"/>
                <w:b/>
                <w:noProof/>
                <w:szCs w:val="24"/>
              </w:rPr>
              <w:footnoteReference w:id="6"/>
            </w:r>
          </w:p>
        </w:tc>
        <w:tc>
          <w:tcPr>
            <w:tcW w:w="1322" w:type="dxa"/>
          </w:tcPr>
          <w:p>
            <w:pPr>
              <w:spacing w:before="0" w:after="0"/>
              <w:jc w:val="center"/>
              <w:rPr>
                <w:noProof/>
                <w:szCs w:val="24"/>
              </w:rPr>
            </w:pPr>
            <w:r>
              <w:rPr>
                <w:noProof/>
              </w:rPr>
              <w:t>13</w:t>
            </w:r>
          </w:p>
        </w:tc>
        <w:tc>
          <w:tcPr>
            <w:tcW w:w="1503" w:type="dxa"/>
          </w:tcPr>
          <w:p>
            <w:pPr>
              <w:spacing w:before="0" w:after="0"/>
              <w:jc w:val="center"/>
              <w:rPr>
                <w:noProof/>
                <w:szCs w:val="24"/>
              </w:rPr>
            </w:pPr>
            <w:r>
              <w:rPr>
                <w:noProof/>
              </w:rPr>
              <w:t>9</w:t>
            </w:r>
          </w:p>
        </w:tc>
        <w:tc>
          <w:tcPr>
            <w:tcW w:w="1253" w:type="dxa"/>
          </w:tcPr>
          <w:p>
            <w:pPr>
              <w:spacing w:before="0" w:after="0"/>
              <w:jc w:val="center"/>
              <w:rPr>
                <w:noProof/>
                <w:szCs w:val="24"/>
              </w:rPr>
            </w:pPr>
            <w:r>
              <w:rPr>
                <w:noProof/>
              </w:rPr>
              <w:t>9</w:t>
            </w:r>
          </w:p>
        </w:tc>
        <w:tc>
          <w:tcPr>
            <w:tcW w:w="1253" w:type="dxa"/>
          </w:tcPr>
          <w:p>
            <w:pPr>
              <w:spacing w:before="0" w:after="0"/>
              <w:jc w:val="center"/>
              <w:rPr>
                <w:noProof/>
                <w:szCs w:val="24"/>
              </w:rPr>
            </w:pPr>
            <w:r>
              <w:rPr>
                <w:noProof/>
              </w:rPr>
              <w:t>29</w:t>
            </w:r>
          </w:p>
        </w:tc>
        <w:tc>
          <w:tcPr>
            <w:tcW w:w="1253" w:type="dxa"/>
          </w:tcPr>
          <w:p>
            <w:pPr>
              <w:spacing w:before="0" w:after="0"/>
              <w:jc w:val="center"/>
              <w:rPr>
                <w:noProof/>
                <w:szCs w:val="24"/>
              </w:rPr>
            </w:pPr>
            <w:r>
              <w:rPr>
                <w:noProof/>
              </w:rPr>
              <w:t>44</w:t>
            </w:r>
          </w:p>
        </w:tc>
        <w:tc>
          <w:tcPr>
            <w:tcW w:w="1253" w:type="dxa"/>
          </w:tcPr>
          <w:p>
            <w:pPr>
              <w:spacing w:before="0" w:after="0"/>
              <w:jc w:val="center"/>
              <w:rPr>
                <w:noProof/>
                <w:szCs w:val="24"/>
              </w:rPr>
            </w:pPr>
            <w:r>
              <w:rPr>
                <w:noProof/>
              </w:rPr>
              <w:t>2</w:t>
            </w:r>
          </w:p>
        </w:tc>
      </w:tr>
      <w:tr>
        <w:trPr>
          <w:jc w:val="center"/>
        </w:trPr>
        <w:tc>
          <w:tcPr>
            <w:tcW w:w="1488" w:type="dxa"/>
          </w:tcPr>
          <w:p>
            <w:pPr>
              <w:spacing w:before="0" w:after="0"/>
              <w:jc w:val="center"/>
              <w:rPr>
                <w:b/>
                <w:noProof/>
                <w:szCs w:val="24"/>
              </w:rPr>
            </w:pPr>
          </w:p>
        </w:tc>
        <w:tc>
          <w:tcPr>
            <w:tcW w:w="1322" w:type="dxa"/>
          </w:tcPr>
          <w:p>
            <w:pPr>
              <w:spacing w:before="0" w:after="0"/>
              <w:jc w:val="center"/>
              <w:rPr>
                <w:noProof/>
                <w:szCs w:val="24"/>
              </w:rPr>
            </w:pPr>
          </w:p>
        </w:tc>
        <w:tc>
          <w:tcPr>
            <w:tcW w:w="150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c>
          <w:tcPr>
            <w:tcW w:w="1253" w:type="dxa"/>
          </w:tcPr>
          <w:p>
            <w:pPr>
              <w:spacing w:before="0" w:after="0"/>
              <w:jc w:val="center"/>
              <w:rPr>
                <w:noProof/>
                <w:szCs w:val="24"/>
              </w:rPr>
            </w:pPr>
          </w:p>
        </w:tc>
      </w:tr>
      <w:tr>
        <w:trPr>
          <w:jc w:val="center"/>
        </w:trPr>
        <w:tc>
          <w:tcPr>
            <w:tcW w:w="1488" w:type="dxa"/>
          </w:tcPr>
          <w:p>
            <w:pPr>
              <w:spacing w:before="0" w:after="0"/>
              <w:jc w:val="center"/>
              <w:rPr>
                <w:b/>
                <w:noProof/>
                <w:szCs w:val="24"/>
              </w:rPr>
            </w:pPr>
            <w:r>
              <w:rPr>
                <w:b/>
                <w:noProof/>
                <w:szCs w:val="24"/>
              </w:rPr>
              <w:t>Nótaí Míniúcháin</w:t>
            </w:r>
          </w:p>
        </w:tc>
        <w:tc>
          <w:tcPr>
            <w:tcW w:w="1322" w:type="dxa"/>
          </w:tcPr>
          <w:p>
            <w:pPr>
              <w:spacing w:before="0" w:after="0"/>
              <w:jc w:val="center"/>
              <w:rPr>
                <w:noProof/>
                <w:szCs w:val="24"/>
              </w:rPr>
            </w:pPr>
            <w:r>
              <w:rPr>
                <w:noProof/>
              </w:rPr>
              <w:t>10</w:t>
            </w:r>
          </w:p>
        </w:tc>
        <w:tc>
          <w:tcPr>
            <w:tcW w:w="1503" w:type="dxa"/>
          </w:tcPr>
          <w:p>
            <w:pPr>
              <w:spacing w:before="0" w:after="0"/>
              <w:jc w:val="center"/>
              <w:rPr>
                <w:noProof/>
                <w:szCs w:val="24"/>
              </w:rPr>
            </w:pPr>
            <w:r>
              <w:rPr>
                <w:noProof/>
              </w:rPr>
              <w:t>21</w:t>
            </w:r>
          </w:p>
        </w:tc>
        <w:tc>
          <w:tcPr>
            <w:tcW w:w="1253" w:type="dxa"/>
          </w:tcPr>
          <w:p>
            <w:pPr>
              <w:spacing w:before="0" w:after="0"/>
              <w:jc w:val="center"/>
              <w:rPr>
                <w:noProof/>
                <w:szCs w:val="24"/>
              </w:rPr>
            </w:pPr>
            <w:r>
              <w:rPr>
                <w:noProof/>
              </w:rPr>
              <w:t>7</w:t>
            </w:r>
          </w:p>
        </w:tc>
        <w:tc>
          <w:tcPr>
            <w:tcW w:w="1253" w:type="dxa"/>
          </w:tcPr>
          <w:p>
            <w:pPr>
              <w:spacing w:before="0" w:after="0"/>
              <w:jc w:val="center"/>
              <w:rPr>
                <w:noProof/>
                <w:szCs w:val="24"/>
              </w:rPr>
            </w:pPr>
            <w:r>
              <w:rPr>
                <w:noProof/>
              </w:rPr>
              <w:t>14</w:t>
            </w:r>
          </w:p>
        </w:tc>
        <w:tc>
          <w:tcPr>
            <w:tcW w:w="1253" w:type="dxa"/>
          </w:tcPr>
          <w:p>
            <w:pPr>
              <w:spacing w:before="0" w:after="0"/>
              <w:jc w:val="center"/>
              <w:rPr>
                <w:noProof/>
                <w:szCs w:val="24"/>
              </w:rPr>
            </w:pPr>
            <w:r>
              <w:rPr>
                <w:noProof/>
              </w:rPr>
              <w:t>16</w:t>
            </w:r>
          </w:p>
        </w:tc>
        <w:tc>
          <w:tcPr>
            <w:tcW w:w="1253" w:type="dxa"/>
          </w:tcPr>
          <w:p>
            <w:pPr>
              <w:spacing w:before="0" w:after="0"/>
              <w:jc w:val="center"/>
              <w:rPr>
                <w:noProof/>
                <w:szCs w:val="24"/>
              </w:rPr>
            </w:pPr>
            <w:r>
              <w:rPr>
                <w:noProof/>
              </w:rPr>
              <w:t>8</w:t>
            </w:r>
          </w:p>
        </w:tc>
      </w:tr>
      <w:tr>
        <w:trPr>
          <w:jc w:val="center"/>
        </w:trPr>
        <w:tc>
          <w:tcPr>
            <w:tcW w:w="1488" w:type="dxa"/>
          </w:tcPr>
          <w:p>
            <w:pPr>
              <w:spacing w:before="0" w:after="0"/>
              <w:jc w:val="center"/>
              <w:rPr>
                <w:b/>
                <w:noProof/>
                <w:szCs w:val="24"/>
              </w:rPr>
            </w:pPr>
            <w:r>
              <w:rPr>
                <w:b/>
                <w:noProof/>
                <w:szCs w:val="24"/>
              </w:rPr>
              <w:t>Tuairimí maidir le hAicmiú</w:t>
            </w:r>
          </w:p>
        </w:tc>
        <w:tc>
          <w:tcPr>
            <w:tcW w:w="1322" w:type="dxa"/>
          </w:tcPr>
          <w:p>
            <w:pPr>
              <w:spacing w:before="0" w:after="0"/>
              <w:jc w:val="center"/>
              <w:rPr>
                <w:noProof/>
                <w:szCs w:val="24"/>
              </w:rPr>
            </w:pPr>
            <w:r>
              <w:rPr>
                <w:noProof/>
              </w:rPr>
              <w:t>22</w:t>
            </w:r>
          </w:p>
        </w:tc>
        <w:tc>
          <w:tcPr>
            <w:tcW w:w="1503" w:type="dxa"/>
          </w:tcPr>
          <w:p>
            <w:pPr>
              <w:spacing w:before="0" w:after="0"/>
              <w:jc w:val="center"/>
              <w:rPr>
                <w:noProof/>
                <w:szCs w:val="24"/>
              </w:rPr>
            </w:pPr>
            <w:r>
              <w:rPr>
                <w:noProof/>
              </w:rPr>
              <w:t>19</w:t>
            </w:r>
          </w:p>
        </w:tc>
        <w:tc>
          <w:tcPr>
            <w:tcW w:w="1253" w:type="dxa"/>
          </w:tcPr>
          <w:p>
            <w:pPr>
              <w:spacing w:before="0" w:after="0"/>
              <w:jc w:val="center"/>
              <w:rPr>
                <w:noProof/>
                <w:szCs w:val="24"/>
              </w:rPr>
            </w:pPr>
            <w:r>
              <w:rPr>
                <w:noProof/>
              </w:rPr>
              <w:t>26</w:t>
            </w:r>
          </w:p>
        </w:tc>
        <w:tc>
          <w:tcPr>
            <w:tcW w:w="1253" w:type="dxa"/>
          </w:tcPr>
          <w:p>
            <w:pPr>
              <w:spacing w:before="0" w:after="0"/>
              <w:jc w:val="center"/>
              <w:rPr>
                <w:noProof/>
                <w:szCs w:val="24"/>
              </w:rPr>
            </w:pPr>
            <w:r>
              <w:rPr>
                <w:noProof/>
              </w:rPr>
              <w:t>13</w:t>
            </w:r>
          </w:p>
        </w:tc>
        <w:tc>
          <w:tcPr>
            <w:tcW w:w="1253" w:type="dxa"/>
          </w:tcPr>
          <w:p>
            <w:pPr>
              <w:spacing w:before="0" w:after="0"/>
              <w:jc w:val="center"/>
              <w:rPr>
                <w:noProof/>
                <w:szCs w:val="24"/>
              </w:rPr>
            </w:pPr>
            <w:r>
              <w:rPr>
                <w:noProof/>
              </w:rPr>
              <w:t>21</w:t>
            </w:r>
          </w:p>
        </w:tc>
        <w:tc>
          <w:tcPr>
            <w:tcW w:w="1253" w:type="dxa"/>
          </w:tcPr>
          <w:p>
            <w:pPr>
              <w:spacing w:before="0" w:after="0"/>
              <w:jc w:val="center"/>
              <w:rPr>
                <w:noProof/>
                <w:szCs w:val="24"/>
              </w:rPr>
            </w:pPr>
            <w:r>
              <w:rPr>
                <w:noProof/>
              </w:rPr>
              <w:t>7</w:t>
            </w:r>
          </w:p>
        </w:tc>
      </w:tr>
      <w:tr>
        <w:trPr>
          <w:jc w:val="center"/>
        </w:trPr>
        <w:tc>
          <w:tcPr>
            <w:tcW w:w="1488" w:type="dxa"/>
          </w:tcPr>
          <w:p>
            <w:pPr>
              <w:spacing w:before="0" w:after="0"/>
              <w:jc w:val="center"/>
              <w:rPr>
                <w:b/>
                <w:noProof/>
                <w:szCs w:val="24"/>
              </w:rPr>
            </w:pPr>
            <w:r>
              <w:rPr>
                <w:b/>
                <w:noProof/>
                <w:szCs w:val="24"/>
              </w:rPr>
              <w:t>Cinntí maidir le hAicmiú</w:t>
            </w:r>
          </w:p>
        </w:tc>
        <w:tc>
          <w:tcPr>
            <w:tcW w:w="1322" w:type="dxa"/>
          </w:tcPr>
          <w:p>
            <w:pPr>
              <w:spacing w:before="0" w:after="0"/>
              <w:jc w:val="center"/>
              <w:rPr>
                <w:noProof/>
                <w:szCs w:val="24"/>
              </w:rPr>
            </w:pPr>
            <w:r>
              <w:rPr>
                <w:noProof/>
              </w:rPr>
              <w:t>48</w:t>
            </w:r>
          </w:p>
        </w:tc>
        <w:tc>
          <w:tcPr>
            <w:tcW w:w="1503" w:type="dxa"/>
          </w:tcPr>
          <w:p>
            <w:pPr>
              <w:spacing w:before="0" w:after="0"/>
              <w:jc w:val="center"/>
              <w:rPr>
                <w:noProof/>
                <w:szCs w:val="24"/>
              </w:rPr>
            </w:pPr>
            <w:r>
              <w:rPr>
                <w:noProof/>
              </w:rPr>
              <w:t>35</w:t>
            </w:r>
          </w:p>
        </w:tc>
        <w:tc>
          <w:tcPr>
            <w:tcW w:w="1253" w:type="dxa"/>
          </w:tcPr>
          <w:p>
            <w:pPr>
              <w:spacing w:before="0" w:after="0"/>
              <w:jc w:val="center"/>
              <w:rPr>
                <w:noProof/>
                <w:szCs w:val="24"/>
              </w:rPr>
            </w:pPr>
            <w:r>
              <w:rPr>
                <w:noProof/>
              </w:rPr>
              <w:t>38</w:t>
            </w:r>
          </w:p>
        </w:tc>
        <w:tc>
          <w:tcPr>
            <w:tcW w:w="1253" w:type="dxa"/>
          </w:tcPr>
          <w:p>
            <w:pPr>
              <w:spacing w:before="0" w:after="0"/>
              <w:jc w:val="center"/>
              <w:rPr>
                <w:noProof/>
                <w:szCs w:val="24"/>
              </w:rPr>
            </w:pPr>
            <w:r>
              <w:rPr>
                <w:noProof/>
              </w:rPr>
              <w:t>37</w:t>
            </w:r>
          </w:p>
        </w:tc>
        <w:tc>
          <w:tcPr>
            <w:tcW w:w="1253" w:type="dxa"/>
          </w:tcPr>
          <w:p>
            <w:pPr>
              <w:spacing w:before="0" w:after="0"/>
              <w:jc w:val="center"/>
              <w:rPr>
                <w:noProof/>
                <w:szCs w:val="24"/>
              </w:rPr>
            </w:pPr>
            <w:r>
              <w:rPr>
                <w:noProof/>
              </w:rPr>
              <w:t>29</w:t>
            </w:r>
          </w:p>
        </w:tc>
        <w:tc>
          <w:tcPr>
            <w:tcW w:w="1253" w:type="dxa"/>
          </w:tcPr>
          <w:p>
            <w:pPr>
              <w:spacing w:before="0" w:after="0"/>
              <w:jc w:val="center"/>
              <w:rPr>
                <w:noProof/>
                <w:szCs w:val="24"/>
              </w:rPr>
            </w:pPr>
            <w:r>
              <w:rPr>
                <w:noProof/>
              </w:rPr>
              <w:t>39</w:t>
            </w:r>
          </w:p>
        </w:tc>
      </w:tr>
      <w:tr>
        <w:trPr>
          <w:jc w:val="center"/>
        </w:trPr>
        <w:tc>
          <w:tcPr>
            <w:tcW w:w="1488" w:type="dxa"/>
          </w:tcPr>
          <w:p>
            <w:pPr>
              <w:spacing w:before="0" w:after="0"/>
              <w:jc w:val="center"/>
              <w:rPr>
                <w:b/>
                <w:noProof/>
                <w:szCs w:val="24"/>
              </w:rPr>
            </w:pPr>
            <w:r>
              <w:rPr>
                <w:b/>
                <w:noProof/>
                <w:szCs w:val="24"/>
              </w:rPr>
              <w:t>Fo-iomlán</w:t>
            </w:r>
          </w:p>
        </w:tc>
        <w:tc>
          <w:tcPr>
            <w:tcW w:w="1322" w:type="dxa"/>
          </w:tcPr>
          <w:p>
            <w:pPr>
              <w:spacing w:before="0" w:after="0"/>
              <w:jc w:val="center"/>
              <w:rPr>
                <w:b/>
                <w:noProof/>
                <w:szCs w:val="24"/>
              </w:rPr>
            </w:pPr>
            <w:r>
              <w:rPr>
                <w:b/>
                <w:noProof/>
                <w:szCs w:val="24"/>
              </w:rPr>
              <w:t>80</w:t>
            </w:r>
          </w:p>
        </w:tc>
        <w:tc>
          <w:tcPr>
            <w:tcW w:w="1503" w:type="dxa"/>
          </w:tcPr>
          <w:p>
            <w:pPr>
              <w:spacing w:before="0" w:after="0"/>
              <w:jc w:val="center"/>
              <w:rPr>
                <w:b/>
                <w:noProof/>
                <w:szCs w:val="24"/>
              </w:rPr>
            </w:pPr>
            <w:r>
              <w:rPr>
                <w:b/>
                <w:noProof/>
                <w:szCs w:val="24"/>
              </w:rPr>
              <w:t>75</w:t>
            </w:r>
          </w:p>
        </w:tc>
        <w:tc>
          <w:tcPr>
            <w:tcW w:w="1253" w:type="dxa"/>
          </w:tcPr>
          <w:p>
            <w:pPr>
              <w:spacing w:before="0" w:after="0"/>
              <w:jc w:val="center"/>
              <w:rPr>
                <w:b/>
                <w:noProof/>
                <w:szCs w:val="24"/>
              </w:rPr>
            </w:pPr>
            <w:r>
              <w:rPr>
                <w:b/>
                <w:noProof/>
                <w:szCs w:val="24"/>
              </w:rPr>
              <w:t>71</w:t>
            </w:r>
          </w:p>
        </w:tc>
        <w:tc>
          <w:tcPr>
            <w:tcW w:w="1253" w:type="dxa"/>
          </w:tcPr>
          <w:p>
            <w:pPr>
              <w:spacing w:before="0" w:after="0"/>
              <w:jc w:val="center"/>
              <w:rPr>
                <w:b/>
                <w:noProof/>
                <w:szCs w:val="24"/>
              </w:rPr>
            </w:pPr>
            <w:r>
              <w:rPr>
                <w:b/>
                <w:noProof/>
                <w:szCs w:val="24"/>
              </w:rPr>
              <w:t>64</w:t>
            </w:r>
          </w:p>
        </w:tc>
        <w:tc>
          <w:tcPr>
            <w:tcW w:w="1253" w:type="dxa"/>
          </w:tcPr>
          <w:p>
            <w:pPr>
              <w:spacing w:before="0" w:after="0"/>
              <w:jc w:val="center"/>
              <w:rPr>
                <w:b/>
                <w:noProof/>
                <w:szCs w:val="24"/>
              </w:rPr>
            </w:pPr>
            <w:r>
              <w:rPr>
                <w:b/>
                <w:noProof/>
                <w:szCs w:val="24"/>
              </w:rPr>
              <w:t>66</w:t>
            </w:r>
          </w:p>
        </w:tc>
        <w:tc>
          <w:tcPr>
            <w:tcW w:w="1253" w:type="dxa"/>
          </w:tcPr>
          <w:p>
            <w:pPr>
              <w:spacing w:before="0" w:after="0"/>
              <w:jc w:val="center"/>
              <w:rPr>
                <w:b/>
                <w:noProof/>
                <w:szCs w:val="24"/>
              </w:rPr>
            </w:pPr>
            <w:r>
              <w:rPr>
                <w:b/>
                <w:noProof/>
                <w:szCs w:val="24"/>
              </w:rPr>
              <w:t>54</w:t>
            </w:r>
          </w:p>
        </w:tc>
      </w:tr>
      <w:tr>
        <w:trPr>
          <w:jc w:val="center"/>
        </w:trPr>
        <w:tc>
          <w:tcPr>
            <w:tcW w:w="1488" w:type="dxa"/>
          </w:tcPr>
          <w:p>
            <w:pPr>
              <w:spacing w:before="0" w:after="0"/>
              <w:jc w:val="center"/>
              <w:rPr>
                <w:b/>
                <w:noProof/>
                <w:szCs w:val="24"/>
              </w:rPr>
            </w:pPr>
            <w:r>
              <w:rPr>
                <w:b/>
                <w:noProof/>
                <w:szCs w:val="24"/>
              </w:rPr>
              <w:t>Iomlán</w:t>
            </w:r>
          </w:p>
        </w:tc>
        <w:tc>
          <w:tcPr>
            <w:tcW w:w="1322" w:type="dxa"/>
          </w:tcPr>
          <w:p>
            <w:pPr>
              <w:spacing w:before="0" w:after="0"/>
              <w:jc w:val="center"/>
              <w:rPr>
                <w:b/>
                <w:noProof/>
                <w:szCs w:val="24"/>
              </w:rPr>
            </w:pPr>
            <w:r>
              <w:rPr>
                <w:b/>
                <w:noProof/>
                <w:szCs w:val="24"/>
              </w:rPr>
              <w:t>93</w:t>
            </w:r>
          </w:p>
        </w:tc>
        <w:tc>
          <w:tcPr>
            <w:tcW w:w="1503" w:type="dxa"/>
          </w:tcPr>
          <w:p>
            <w:pPr>
              <w:spacing w:before="0" w:after="0"/>
              <w:jc w:val="center"/>
              <w:rPr>
                <w:b/>
                <w:noProof/>
                <w:szCs w:val="24"/>
              </w:rPr>
            </w:pPr>
            <w:r>
              <w:rPr>
                <w:b/>
                <w:noProof/>
                <w:szCs w:val="24"/>
              </w:rPr>
              <w:t>84</w:t>
            </w:r>
          </w:p>
        </w:tc>
        <w:tc>
          <w:tcPr>
            <w:tcW w:w="1253" w:type="dxa"/>
          </w:tcPr>
          <w:p>
            <w:pPr>
              <w:spacing w:before="0" w:after="0"/>
              <w:jc w:val="center"/>
              <w:rPr>
                <w:b/>
                <w:noProof/>
                <w:szCs w:val="24"/>
              </w:rPr>
            </w:pPr>
            <w:r>
              <w:rPr>
                <w:b/>
                <w:noProof/>
                <w:szCs w:val="24"/>
              </w:rPr>
              <w:t>80</w:t>
            </w:r>
          </w:p>
        </w:tc>
        <w:tc>
          <w:tcPr>
            <w:tcW w:w="1253" w:type="dxa"/>
          </w:tcPr>
          <w:p>
            <w:pPr>
              <w:spacing w:before="0" w:after="0"/>
              <w:jc w:val="center"/>
              <w:rPr>
                <w:b/>
                <w:noProof/>
                <w:szCs w:val="24"/>
              </w:rPr>
            </w:pPr>
            <w:r>
              <w:rPr>
                <w:b/>
                <w:noProof/>
                <w:szCs w:val="24"/>
              </w:rPr>
              <w:t>93</w:t>
            </w:r>
          </w:p>
        </w:tc>
        <w:tc>
          <w:tcPr>
            <w:tcW w:w="1253" w:type="dxa"/>
          </w:tcPr>
          <w:p>
            <w:pPr>
              <w:spacing w:before="0" w:after="0"/>
              <w:jc w:val="center"/>
              <w:rPr>
                <w:b/>
                <w:noProof/>
                <w:szCs w:val="24"/>
              </w:rPr>
            </w:pPr>
            <w:r>
              <w:rPr>
                <w:b/>
                <w:noProof/>
                <w:szCs w:val="24"/>
              </w:rPr>
              <w:t>110</w:t>
            </w:r>
          </w:p>
        </w:tc>
        <w:tc>
          <w:tcPr>
            <w:tcW w:w="1253" w:type="dxa"/>
          </w:tcPr>
          <w:p>
            <w:pPr>
              <w:spacing w:before="0" w:after="0"/>
              <w:jc w:val="center"/>
              <w:rPr>
                <w:b/>
                <w:noProof/>
                <w:szCs w:val="24"/>
              </w:rPr>
            </w:pPr>
            <w:r>
              <w:rPr>
                <w:b/>
                <w:noProof/>
                <w:szCs w:val="24"/>
              </w:rPr>
              <w:t>56</w:t>
            </w:r>
          </w:p>
        </w:tc>
      </w:tr>
    </w:tbl>
    <w:p>
      <w:pPr>
        <w:spacing w:before="0" w:after="200" w:line="276" w:lineRule="auto"/>
        <w:rPr>
          <w:noProof/>
          <w:szCs w:val="24"/>
        </w:rPr>
      </w:pPr>
    </w:p>
    <w:p>
      <w:pPr>
        <w:rPr>
          <w:noProof/>
          <w:szCs w:val="24"/>
        </w:rPr>
      </w:pPr>
      <w:r>
        <w:rPr>
          <w:noProof/>
        </w:rPr>
        <w:t xml:space="preserve">Tá an tAontas ar cheann de na rannpháirtithe is mó ó thaobh obair an Choiste de, mar cuireann sé líon mór tograí agus ábhar isteach (ceisteanna ar aicmiú, nó díospóidí le tríú tíortha, tograí le haghaidh leasuithe ar Nótaí Míniúcháin an Chórais Chomhchuibhithe) a chuirtear le clár oibre an Choiste um an gCóras Comhchuibhithe go rialta. </w:t>
      </w:r>
    </w:p>
    <w:p>
      <w:pPr>
        <w:spacing w:before="0" w:after="200" w:line="276" w:lineRule="auto"/>
        <w:rPr>
          <w:noProof/>
          <w:szCs w:val="24"/>
        </w:rPr>
      </w:pPr>
      <w:r>
        <w:rPr>
          <w:noProof/>
        </w:rPr>
        <w:t>Go dtí seo tá cur chuige solúbtha agus pragmatach á chur i bhfeidhm chun an t</w:t>
      </w:r>
      <w:r>
        <w:rPr>
          <w:noProof/>
        </w:rPr>
        <w:noBreakHyphen/>
        <w:t xml:space="preserve">ullmhúchán agus an cur i láthair is fearr a chinntiú le haghaidh sheasaimh an Aontais san Eagraíocht Dhomhanda Chustaim, chomh maith le cosaint éifeachtach ar na seasaimh sin. Ar dtús, déanann na saineolaithe ar aicmiú ón gCoimisiún anailís chórasach ar na saincheisteanna, athbhreithníonn siad na cleachtais maidir le haicmiú sna Ballstáit agus ullmhaíonn siad </w:t>
      </w:r>
      <w:r>
        <w:rPr>
          <w:noProof/>
        </w:rPr>
        <w:lastRenderedPageBreak/>
        <w:t>dréacht</w:t>
      </w:r>
      <w:r>
        <w:rPr>
          <w:noProof/>
        </w:rPr>
        <w:noBreakHyphen/>
        <w:t>sheasaimh. Ansin, pléitear an méid sin le saineolaithe ó na Ballstáit sa Sainghrúpa Custam agus déantar é a oiriúnú, de réir mar is gá, d'fhonn seasamh comhordaithe a bhunú (roimh chruinniú Mheitheal réamh</w:t>
      </w:r>
      <w:r>
        <w:rPr>
          <w:noProof/>
        </w:rPr>
        <w:noBreakHyphen/>
        <w:t>sheisiúnach an Choiste um an gCóras Comhchuibhithe). Cuirtear leis sin, de réir mar is gá, trí chomhairliúcháin sheachtracha (le comhlachtaí trádála Eorpacha nó geallsealbhóirí eile) agus/nó trí chomhar ar an láthair.</w:t>
      </w:r>
    </w:p>
    <w:p>
      <w:pPr>
        <w:rPr>
          <w:noProof/>
          <w:szCs w:val="24"/>
        </w:rPr>
      </w:pPr>
      <w:r>
        <w:rPr>
          <w:noProof/>
        </w:rPr>
        <w:t>Tá gá le comhar éifeachtúil níos dlúithe idir na hInstitiúidí le haghaidh rannpháirtíocht éifeachtach ón Aontas sa Choiste um an gCóras Comhchuibhithe. Is amhlaidh atá go háirithe mar gheall ar an líon mór saincheisteanna an</w:t>
      </w:r>
      <w:r>
        <w:rPr>
          <w:noProof/>
        </w:rPr>
        <w:noBreakHyphen/>
        <w:t>teicniúil a phléann an Coiste, . Anuas air sin, tá tráthchlár an</w:t>
      </w:r>
      <w:r>
        <w:rPr>
          <w:noProof/>
        </w:rPr>
        <w:noBreakHyphen/>
        <w:t xml:space="preserve">teoranta idir an uair a bheadh na doiciméid ar fáil agus an plé iarbhír ag cruinnithe an Choiste. </w:t>
      </w:r>
    </w:p>
    <w:p>
      <w:pPr>
        <w:rPr>
          <w:noProof/>
          <w:szCs w:val="24"/>
        </w:rPr>
      </w:pPr>
      <w:r>
        <w:rPr>
          <w:noProof/>
        </w:rPr>
        <w:t>Luaitear i rialacha nós imeachta an Choiste (Riail 10) nach mór do na Baill ítimí a chur faoi bhráid na Rúnaíochta ocht seachtaine ar a laghad roimh sheoladh an tseisiúin. Murach sin, cuirfear na hítimí sin ar liosta breise agus is faoin gCoiste um an gCóras Comhchuibhithe a bheidh sé cinneadh a dhéanamh cé acu an áireofar na hítimí sin ar an gclár oibre nó nach n</w:t>
      </w:r>
      <w:r>
        <w:rPr>
          <w:noProof/>
        </w:rPr>
        <w:noBreakHyphen/>
        <w:t xml:space="preserve">áireofar. Urramaítear an riail sin. Mar sin féin agus maidir leis an uair a bheadh doiciméid oibre Rúnaíocht EDC ar fáil, luaitear sna rialacha nós imeachta céanna </w:t>
      </w:r>
      <w:r>
        <w:rPr>
          <w:i/>
          <w:noProof/>
        </w:rPr>
        <w:t>"in principle, all basic working documents should be dispatched to the Members of the Committee at least 30 days before the opening date of the session."</w:t>
      </w:r>
      <w:r>
        <w:rPr>
          <w:noProof/>
        </w:rPr>
        <w:t xml:space="preserve"> [i bprionsabal, ba cheart gach bundoiciméad oibre a chur chuig na Baill den Choiste 30 lá ar a laghad roimh dháta seolta an tseisiúin.] Is léir ón gcleachtas, áfach, nach n</w:t>
      </w:r>
      <w:r>
        <w:rPr>
          <w:noProof/>
        </w:rPr>
        <w:noBreakHyphen/>
        <w:t>urramaítear an riail sin go minic, d'ainneoin cuireadh i ndiaidh cuiridh a chur chuig Rúnaíocht EDC. Thairis sin, agus i gcás ina n</w:t>
      </w:r>
      <w:r>
        <w:rPr>
          <w:noProof/>
        </w:rPr>
        <w:noBreakHyphen/>
        <w:t xml:space="preserve">urramófar an riail maidir le bundoiciméid a chur ar fáil de réir an sprioc-ama thuasluaite, féadfar doiciméid chomhlántacha a chur ar fáil ar dháta ina dhiaidh sin. Féadfaidh an méid seo a leanas a bheith luaite sna doiciméid nua sin: faisnéis theicniúil bhreise thábhachtach, léirmhíniú ó thaobh an dlí de, nó páipéar seasaimh ó na Páirtithe Conarthacha nó páirtithe leasmhara eile, ar nós eagraíochtaí idirnáisiúnta, ar a dtionscnamh féin nó ar chuireadh ó Rúnaíocht EDC. </w:t>
      </w:r>
    </w:p>
    <w:p>
      <w:pPr>
        <w:rPr>
          <w:noProof/>
          <w:szCs w:val="24"/>
        </w:rPr>
      </w:pPr>
      <w:r>
        <w:rPr>
          <w:noProof/>
        </w:rPr>
        <w:t>I dTábla 2 léirítear an scéal mar atá faoi láthair sa mhéid a bhaineann sé le hinfhaighteacht na ndoiciméad oibre don Choiste le trí bliana anuas.</w:t>
      </w:r>
    </w:p>
    <w:p>
      <w:pPr>
        <w:jc w:val="center"/>
        <w:rPr>
          <w:b/>
          <w:noProof/>
          <w:szCs w:val="24"/>
        </w:rPr>
      </w:pPr>
      <w:r>
        <w:rPr>
          <w:b/>
          <w:noProof/>
          <w:szCs w:val="24"/>
        </w:rPr>
        <w:t xml:space="preserve">Tábla 2 Infhaighteacht na ndoiciméad oibre </w:t>
      </w:r>
    </w:p>
    <w:p>
      <w:pPr>
        <w:jc w:val="center"/>
        <w:rPr>
          <w:b/>
          <w:noProof/>
          <w:szCs w:val="24"/>
        </w:rPr>
      </w:pPr>
      <w:r>
        <w:rPr>
          <w:b/>
          <w:noProof/>
          <w:szCs w:val="24"/>
        </w:rPr>
        <w:t>CCC (2 chruinniú in aghaidh na bliana)</w:t>
      </w:r>
    </w:p>
    <w:tbl>
      <w:tblPr>
        <w:tblStyle w:val="TableGrid"/>
        <w:tblW w:w="9129" w:type="dxa"/>
        <w:jc w:val="center"/>
        <w:tblLook w:val="04A0" w:firstRow="1" w:lastRow="0" w:firstColumn="1" w:lastColumn="0" w:noHBand="0" w:noVBand="1"/>
      </w:tblPr>
      <w:tblGrid>
        <w:gridCol w:w="1164"/>
        <w:gridCol w:w="1505"/>
        <w:gridCol w:w="1150"/>
        <w:gridCol w:w="1334"/>
        <w:gridCol w:w="456"/>
        <w:gridCol w:w="1254"/>
        <w:gridCol w:w="476"/>
        <w:gridCol w:w="1288"/>
        <w:gridCol w:w="502"/>
      </w:tblGrid>
      <w:tr>
        <w:trPr>
          <w:jc w:val="center"/>
        </w:trPr>
        <w:tc>
          <w:tcPr>
            <w:tcW w:w="1020" w:type="dxa"/>
          </w:tcPr>
          <w:p>
            <w:pPr>
              <w:spacing w:before="0" w:after="0"/>
              <w:jc w:val="center"/>
              <w:rPr>
                <w:b/>
                <w:noProof/>
                <w:szCs w:val="24"/>
              </w:rPr>
            </w:pPr>
          </w:p>
          <w:p>
            <w:pPr>
              <w:spacing w:before="0" w:after="0"/>
              <w:jc w:val="center"/>
              <w:rPr>
                <w:b/>
                <w:noProof/>
                <w:szCs w:val="24"/>
              </w:rPr>
            </w:pPr>
            <w:r>
              <w:rPr>
                <w:b/>
                <w:noProof/>
                <w:szCs w:val="24"/>
              </w:rPr>
              <w:t>Cruinniú</w:t>
            </w:r>
          </w:p>
        </w:tc>
        <w:tc>
          <w:tcPr>
            <w:tcW w:w="1680" w:type="dxa"/>
          </w:tcPr>
          <w:p>
            <w:pPr>
              <w:spacing w:before="0" w:after="0"/>
              <w:jc w:val="center"/>
              <w:rPr>
                <w:b/>
                <w:noProof/>
                <w:szCs w:val="24"/>
              </w:rPr>
            </w:pPr>
          </w:p>
          <w:p>
            <w:pPr>
              <w:spacing w:before="0" w:after="0"/>
              <w:jc w:val="center"/>
              <w:rPr>
                <w:b/>
                <w:noProof/>
                <w:szCs w:val="24"/>
              </w:rPr>
            </w:pPr>
            <w:r>
              <w:rPr>
                <w:b/>
                <w:noProof/>
                <w:szCs w:val="24"/>
              </w:rPr>
              <w:t>Dáta</w:t>
            </w:r>
            <w:r>
              <w:rPr>
                <w:rStyle w:val="FootnoteReference"/>
                <w:b/>
                <w:noProof/>
                <w:szCs w:val="24"/>
              </w:rPr>
              <w:footnoteReference w:id="7"/>
            </w:r>
          </w:p>
        </w:tc>
        <w:tc>
          <w:tcPr>
            <w:tcW w:w="974" w:type="dxa"/>
          </w:tcPr>
          <w:p>
            <w:pPr>
              <w:spacing w:before="0" w:after="0"/>
              <w:jc w:val="center"/>
              <w:rPr>
                <w:b/>
                <w:noProof/>
                <w:szCs w:val="24"/>
              </w:rPr>
            </w:pPr>
            <w:r>
              <w:rPr>
                <w:b/>
                <w:noProof/>
                <w:szCs w:val="24"/>
              </w:rPr>
              <w:t>Ítimí atá le cinneadh</w:t>
            </w:r>
          </w:p>
        </w:tc>
        <w:tc>
          <w:tcPr>
            <w:tcW w:w="5455" w:type="dxa"/>
            <w:gridSpan w:val="6"/>
          </w:tcPr>
          <w:p>
            <w:pPr>
              <w:spacing w:before="0" w:after="0"/>
              <w:jc w:val="center"/>
              <w:rPr>
                <w:b/>
                <w:noProof/>
                <w:szCs w:val="24"/>
              </w:rPr>
            </w:pPr>
          </w:p>
          <w:p>
            <w:pPr>
              <w:spacing w:before="0" w:after="0"/>
              <w:jc w:val="center"/>
              <w:rPr>
                <w:b/>
                <w:noProof/>
                <w:szCs w:val="24"/>
              </w:rPr>
            </w:pPr>
            <w:r>
              <w:rPr>
                <w:b/>
                <w:noProof/>
                <w:szCs w:val="24"/>
              </w:rPr>
              <w:t>Infhaighteacht doiciméad</w:t>
            </w:r>
          </w:p>
        </w:tc>
      </w:tr>
      <w:tr>
        <w:trPr>
          <w:jc w:val="center"/>
        </w:trPr>
        <w:tc>
          <w:tcPr>
            <w:tcW w:w="1020" w:type="dxa"/>
          </w:tcPr>
          <w:p>
            <w:pPr>
              <w:spacing w:before="0" w:after="0"/>
              <w:jc w:val="center"/>
              <w:rPr>
                <w:b/>
                <w:noProof/>
                <w:szCs w:val="24"/>
              </w:rPr>
            </w:pPr>
          </w:p>
        </w:tc>
        <w:tc>
          <w:tcPr>
            <w:tcW w:w="1680" w:type="dxa"/>
          </w:tcPr>
          <w:p>
            <w:pPr>
              <w:spacing w:before="0" w:after="0"/>
              <w:jc w:val="center"/>
              <w:rPr>
                <w:b/>
                <w:noProof/>
                <w:szCs w:val="24"/>
              </w:rPr>
            </w:pPr>
          </w:p>
        </w:tc>
        <w:tc>
          <w:tcPr>
            <w:tcW w:w="974" w:type="dxa"/>
          </w:tcPr>
          <w:p>
            <w:pPr>
              <w:spacing w:before="0" w:after="0"/>
              <w:jc w:val="center"/>
              <w:rPr>
                <w:b/>
                <w:noProof/>
                <w:szCs w:val="24"/>
              </w:rPr>
            </w:pPr>
          </w:p>
        </w:tc>
        <w:tc>
          <w:tcPr>
            <w:tcW w:w="1823" w:type="dxa"/>
            <w:gridSpan w:val="2"/>
          </w:tcPr>
          <w:p>
            <w:pPr>
              <w:spacing w:before="0" w:after="0"/>
              <w:jc w:val="center"/>
              <w:rPr>
                <w:b/>
                <w:noProof/>
                <w:szCs w:val="24"/>
              </w:rPr>
            </w:pPr>
            <w:r>
              <w:rPr>
                <w:b/>
                <w:noProof/>
                <w:szCs w:val="24"/>
              </w:rPr>
              <w:t>&gt;30lá/cruinniú</w:t>
            </w:r>
          </w:p>
        </w:tc>
        <w:tc>
          <w:tcPr>
            <w:tcW w:w="1809" w:type="dxa"/>
            <w:gridSpan w:val="2"/>
          </w:tcPr>
          <w:p>
            <w:pPr>
              <w:spacing w:before="0" w:after="0"/>
              <w:jc w:val="center"/>
              <w:rPr>
                <w:b/>
                <w:noProof/>
                <w:szCs w:val="24"/>
              </w:rPr>
            </w:pPr>
            <w:r>
              <w:rPr>
                <w:b/>
                <w:noProof/>
                <w:szCs w:val="24"/>
              </w:rPr>
              <w:t>30lá-15lá/cruinniú</w:t>
            </w:r>
          </w:p>
        </w:tc>
        <w:tc>
          <w:tcPr>
            <w:tcW w:w="1823" w:type="dxa"/>
            <w:gridSpan w:val="2"/>
          </w:tcPr>
          <w:p>
            <w:pPr>
              <w:spacing w:before="0" w:after="0"/>
              <w:jc w:val="center"/>
              <w:rPr>
                <w:b/>
                <w:noProof/>
                <w:szCs w:val="24"/>
              </w:rPr>
            </w:pPr>
            <w:r>
              <w:rPr>
                <w:b/>
                <w:noProof/>
                <w:szCs w:val="24"/>
              </w:rPr>
              <w:t>&lt;15lá/cruinniú</w:t>
            </w:r>
          </w:p>
        </w:tc>
      </w:tr>
      <w:tr>
        <w:trPr>
          <w:jc w:val="center"/>
        </w:trPr>
        <w:tc>
          <w:tcPr>
            <w:tcW w:w="1020" w:type="dxa"/>
          </w:tcPr>
          <w:p>
            <w:pPr>
              <w:spacing w:before="0" w:after="0"/>
              <w:jc w:val="center"/>
              <w:rPr>
                <w:b/>
                <w:noProof/>
                <w:szCs w:val="24"/>
              </w:rPr>
            </w:pPr>
          </w:p>
        </w:tc>
        <w:tc>
          <w:tcPr>
            <w:tcW w:w="1680" w:type="dxa"/>
          </w:tcPr>
          <w:p>
            <w:pPr>
              <w:spacing w:before="0" w:after="0"/>
              <w:jc w:val="center"/>
              <w:rPr>
                <w:b/>
                <w:noProof/>
                <w:szCs w:val="24"/>
              </w:rPr>
            </w:pPr>
          </w:p>
        </w:tc>
        <w:tc>
          <w:tcPr>
            <w:tcW w:w="974" w:type="dxa"/>
          </w:tcPr>
          <w:p>
            <w:pPr>
              <w:spacing w:before="0" w:after="0"/>
              <w:jc w:val="center"/>
              <w:rPr>
                <w:b/>
                <w:noProof/>
                <w:szCs w:val="24"/>
              </w:rPr>
            </w:pPr>
          </w:p>
        </w:tc>
        <w:tc>
          <w:tcPr>
            <w:tcW w:w="1369" w:type="dxa"/>
          </w:tcPr>
          <w:p>
            <w:pPr>
              <w:spacing w:before="0" w:after="0"/>
              <w:jc w:val="center"/>
              <w:rPr>
                <w:b/>
                <w:noProof/>
                <w:szCs w:val="24"/>
              </w:rPr>
            </w:pPr>
            <w:r>
              <w:rPr>
                <w:b/>
                <w:noProof/>
                <w:szCs w:val="24"/>
              </w:rPr>
              <w:t>Uimhir</w:t>
            </w:r>
          </w:p>
        </w:tc>
        <w:tc>
          <w:tcPr>
            <w:tcW w:w="454" w:type="dxa"/>
          </w:tcPr>
          <w:p>
            <w:pPr>
              <w:spacing w:before="0" w:after="0"/>
              <w:jc w:val="center"/>
              <w:rPr>
                <w:b/>
                <w:i/>
                <w:noProof/>
                <w:szCs w:val="24"/>
              </w:rPr>
            </w:pPr>
            <w:r>
              <w:rPr>
                <w:b/>
                <w:i/>
                <w:noProof/>
                <w:szCs w:val="24"/>
              </w:rPr>
              <w:t>%</w:t>
            </w:r>
          </w:p>
        </w:tc>
        <w:tc>
          <w:tcPr>
            <w:tcW w:w="1329" w:type="dxa"/>
          </w:tcPr>
          <w:p>
            <w:pPr>
              <w:spacing w:before="0" w:after="0"/>
              <w:jc w:val="center"/>
              <w:rPr>
                <w:b/>
                <w:noProof/>
                <w:szCs w:val="24"/>
              </w:rPr>
            </w:pPr>
            <w:r>
              <w:rPr>
                <w:b/>
                <w:noProof/>
                <w:szCs w:val="24"/>
              </w:rPr>
              <w:t>Uimhir</w:t>
            </w:r>
          </w:p>
        </w:tc>
        <w:tc>
          <w:tcPr>
            <w:tcW w:w="480" w:type="dxa"/>
          </w:tcPr>
          <w:p>
            <w:pPr>
              <w:spacing w:before="0" w:after="0"/>
              <w:jc w:val="center"/>
              <w:rPr>
                <w:b/>
                <w:i/>
                <w:noProof/>
                <w:szCs w:val="24"/>
              </w:rPr>
            </w:pPr>
            <w:r>
              <w:rPr>
                <w:b/>
                <w:i/>
                <w:noProof/>
                <w:szCs w:val="24"/>
              </w:rPr>
              <w:t>%</w:t>
            </w:r>
          </w:p>
        </w:tc>
        <w:tc>
          <w:tcPr>
            <w:tcW w:w="1314" w:type="dxa"/>
          </w:tcPr>
          <w:p>
            <w:pPr>
              <w:spacing w:before="0" w:after="0"/>
              <w:jc w:val="center"/>
              <w:rPr>
                <w:b/>
                <w:noProof/>
                <w:szCs w:val="24"/>
              </w:rPr>
            </w:pPr>
            <w:r>
              <w:rPr>
                <w:b/>
                <w:noProof/>
                <w:szCs w:val="24"/>
              </w:rPr>
              <w:t>Uimhir</w:t>
            </w:r>
          </w:p>
        </w:tc>
        <w:tc>
          <w:tcPr>
            <w:tcW w:w="509" w:type="dxa"/>
          </w:tcPr>
          <w:p>
            <w:pPr>
              <w:spacing w:before="0" w:after="0"/>
              <w:jc w:val="center"/>
              <w:rPr>
                <w:b/>
                <w:noProof/>
                <w:szCs w:val="24"/>
              </w:rPr>
            </w:pPr>
            <w:r>
              <w:rPr>
                <w:b/>
                <w:noProof/>
                <w:szCs w:val="24"/>
              </w:rPr>
              <w:t>%</w:t>
            </w:r>
          </w:p>
        </w:tc>
      </w:tr>
      <w:tr>
        <w:trPr>
          <w:jc w:val="center"/>
        </w:trPr>
        <w:tc>
          <w:tcPr>
            <w:tcW w:w="1020" w:type="dxa"/>
          </w:tcPr>
          <w:p>
            <w:pPr>
              <w:spacing w:before="0" w:after="0"/>
              <w:jc w:val="center"/>
              <w:rPr>
                <w:b/>
                <w:noProof/>
                <w:szCs w:val="24"/>
              </w:rPr>
            </w:pPr>
            <w:r>
              <w:rPr>
                <w:b/>
                <w:noProof/>
                <w:szCs w:val="24"/>
              </w:rPr>
              <w:t>CCC/59</w:t>
            </w:r>
          </w:p>
        </w:tc>
        <w:tc>
          <w:tcPr>
            <w:tcW w:w="1680" w:type="dxa"/>
          </w:tcPr>
          <w:p>
            <w:pPr>
              <w:spacing w:before="0" w:after="0"/>
              <w:jc w:val="center"/>
              <w:rPr>
                <w:noProof/>
                <w:szCs w:val="24"/>
              </w:rPr>
            </w:pPr>
            <w:r>
              <w:rPr>
                <w:noProof/>
              </w:rPr>
              <w:t>13-24/3/2017</w:t>
            </w:r>
          </w:p>
        </w:tc>
        <w:tc>
          <w:tcPr>
            <w:tcW w:w="974" w:type="dxa"/>
          </w:tcPr>
          <w:p>
            <w:pPr>
              <w:spacing w:before="0" w:after="0"/>
              <w:jc w:val="center"/>
              <w:rPr>
                <w:noProof/>
                <w:szCs w:val="24"/>
              </w:rPr>
            </w:pPr>
            <w:r>
              <w:rPr>
                <w:noProof/>
              </w:rPr>
              <w:t>74</w:t>
            </w:r>
          </w:p>
        </w:tc>
        <w:tc>
          <w:tcPr>
            <w:tcW w:w="1369" w:type="dxa"/>
          </w:tcPr>
          <w:p>
            <w:pPr>
              <w:spacing w:before="0" w:after="0"/>
              <w:jc w:val="center"/>
              <w:rPr>
                <w:noProof/>
                <w:szCs w:val="24"/>
              </w:rPr>
            </w:pPr>
            <w:r>
              <w:rPr>
                <w:noProof/>
              </w:rPr>
              <w:t>22</w:t>
            </w:r>
          </w:p>
        </w:tc>
        <w:tc>
          <w:tcPr>
            <w:tcW w:w="454" w:type="dxa"/>
          </w:tcPr>
          <w:p>
            <w:pPr>
              <w:spacing w:before="0" w:after="0"/>
              <w:jc w:val="center"/>
              <w:rPr>
                <w:noProof/>
                <w:szCs w:val="24"/>
              </w:rPr>
            </w:pPr>
            <w:r>
              <w:rPr>
                <w:noProof/>
              </w:rPr>
              <w:t>30</w:t>
            </w:r>
          </w:p>
        </w:tc>
        <w:tc>
          <w:tcPr>
            <w:tcW w:w="1329" w:type="dxa"/>
          </w:tcPr>
          <w:p>
            <w:pPr>
              <w:spacing w:before="0" w:after="0"/>
              <w:jc w:val="center"/>
              <w:rPr>
                <w:noProof/>
                <w:szCs w:val="24"/>
              </w:rPr>
            </w:pPr>
            <w:r>
              <w:rPr>
                <w:noProof/>
              </w:rPr>
              <w:t>46</w:t>
            </w:r>
          </w:p>
        </w:tc>
        <w:tc>
          <w:tcPr>
            <w:tcW w:w="480" w:type="dxa"/>
          </w:tcPr>
          <w:p>
            <w:pPr>
              <w:spacing w:before="0" w:after="0"/>
              <w:jc w:val="center"/>
              <w:rPr>
                <w:b/>
                <w:i/>
                <w:noProof/>
                <w:szCs w:val="24"/>
              </w:rPr>
            </w:pPr>
            <w:r>
              <w:rPr>
                <w:b/>
                <w:i/>
                <w:noProof/>
                <w:szCs w:val="24"/>
              </w:rPr>
              <w:t>62</w:t>
            </w:r>
          </w:p>
        </w:tc>
        <w:tc>
          <w:tcPr>
            <w:tcW w:w="1314" w:type="dxa"/>
          </w:tcPr>
          <w:p>
            <w:pPr>
              <w:spacing w:before="0" w:after="0"/>
              <w:jc w:val="center"/>
              <w:rPr>
                <w:noProof/>
                <w:szCs w:val="24"/>
              </w:rPr>
            </w:pPr>
            <w:r>
              <w:rPr>
                <w:noProof/>
              </w:rPr>
              <w:t>6</w:t>
            </w:r>
          </w:p>
        </w:tc>
        <w:tc>
          <w:tcPr>
            <w:tcW w:w="509" w:type="dxa"/>
          </w:tcPr>
          <w:p>
            <w:pPr>
              <w:spacing w:before="0" w:after="0"/>
              <w:jc w:val="center"/>
              <w:rPr>
                <w:i/>
                <w:noProof/>
                <w:szCs w:val="24"/>
              </w:rPr>
            </w:pPr>
            <w:r>
              <w:rPr>
                <w:i/>
                <w:noProof/>
                <w:szCs w:val="24"/>
              </w:rPr>
              <w:t>8</w:t>
            </w:r>
          </w:p>
        </w:tc>
      </w:tr>
      <w:tr>
        <w:trPr>
          <w:jc w:val="center"/>
        </w:trPr>
        <w:tc>
          <w:tcPr>
            <w:tcW w:w="1020" w:type="dxa"/>
          </w:tcPr>
          <w:p>
            <w:pPr>
              <w:spacing w:before="0" w:after="0"/>
              <w:jc w:val="center"/>
              <w:rPr>
                <w:b/>
                <w:noProof/>
                <w:szCs w:val="24"/>
              </w:rPr>
            </w:pPr>
            <w:r>
              <w:rPr>
                <w:b/>
                <w:noProof/>
                <w:szCs w:val="24"/>
              </w:rPr>
              <w:t>CCC/60</w:t>
            </w:r>
          </w:p>
        </w:tc>
        <w:tc>
          <w:tcPr>
            <w:tcW w:w="1680" w:type="dxa"/>
          </w:tcPr>
          <w:p>
            <w:pPr>
              <w:spacing w:before="0" w:after="0"/>
              <w:jc w:val="center"/>
              <w:rPr>
                <w:noProof/>
                <w:szCs w:val="24"/>
              </w:rPr>
            </w:pPr>
            <w:r>
              <w:rPr>
                <w:noProof/>
              </w:rPr>
              <w:t>25/9-6/10/2017</w:t>
            </w:r>
          </w:p>
        </w:tc>
        <w:tc>
          <w:tcPr>
            <w:tcW w:w="974" w:type="dxa"/>
          </w:tcPr>
          <w:p>
            <w:pPr>
              <w:spacing w:before="0" w:after="0"/>
              <w:jc w:val="center"/>
              <w:rPr>
                <w:noProof/>
                <w:szCs w:val="24"/>
              </w:rPr>
            </w:pPr>
            <w:r>
              <w:rPr>
                <w:noProof/>
              </w:rPr>
              <w:t>78</w:t>
            </w:r>
          </w:p>
        </w:tc>
        <w:tc>
          <w:tcPr>
            <w:tcW w:w="1369" w:type="dxa"/>
          </w:tcPr>
          <w:p>
            <w:pPr>
              <w:spacing w:before="0" w:after="0"/>
              <w:jc w:val="center"/>
              <w:rPr>
                <w:noProof/>
                <w:szCs w:val="24"/>
              </w:rPr>
            </w:pPr>
            <w:r>
              <w:rPr>
                <w:noProof/>
              </w:rPr>
              <w:t>63</w:t>
            </w:r>
          </w:p>
        </w:tc>
        <w:tc>
          <w:tcPr>
            <w:tcW w:w="454" w:type="dxa"/>
          </w:tcPr>
          <w:p>
            <w:pPr>
              <w:spacing w:before="0" w:after="0"/>
              <w:jc w:val="center"/>
              <w:rPr>
                <w:noProof/>
                <w:szCs w:val="24"/>
              </w:rPr>
            </w:pPr>
            <w:r>
              <w:rPr>
                <w:noProof/>
              </w:rPr>
              <w:t>81</w:t>
            </w:r>
          </w:p>
        </w:tc>
        <w:tc>
          <w:tcPr>
            <w:tcW w:w="1329" w:type="dxa"/>
          </w:tcPr>
          <w:p>
            <w:pPr>
              <w:spacing w:before="0" w:after="0"/>
              <w:jc w:val="center"/>
              <w:rPr>
                <w:noProof/>
                <w:szCs w:val="24"/>
              </w:rPr>
            </w:pPr>
            <w:r>
              <w:rPr>
                <w:noProof/>
              </w:rPr>
              <w:t>14</w:t>
            </w:r>
          </w:p>
        </w:tc>
        <w:tc>
          <w:tcPr>
            <w:tcW w:w="480" w:type="dxa"/>
          </w:tcPr>
          <w:p>
            <w:pPr>
              <w:spacing w:before="0" w:after="0"/>
              <w:jc w:val="center"/>
              <w:rPr>
                <w:b/>
                <w:i/>
                <w:noProof/>
                <w:szCs w:val="24"/>
              </w:rPr>
            </w:pPr>
            <w:r>
              <w:rPr>
                <w:b/>
                <w:i/>
                <w:noProof/>
                <w:szCs w:val="24"/>
              </w:rPr>
              <w:t>18</w:t>
            </w:r>
          </w:p>
        </w:tc>
        <w:tc>
          <w:tcPr>
            <w:tcW w:w="1314" w:type="dxa"/>
          </w:tcPr>
          <w:p>
            <w:pPr>
              <w:spacing w:before="0" w:after="0"/>
              <w:jc w:val="center"/>
              <w:rPr>
                <w:noProof/>
                <w:szCs w:val="24"/>
              </w:rPr>
            </w:pPr>
            <w:r>
              <w:rPr>
                <w:noProof/>
              </w:rPr>
              <w:t>1</w:t>
            </w:r>
          </w:p>
        </w:tc>
        <w:tc>
          <w:tcPr>
            <w:tcW w:w="509" w:type="dxa"/>
          </w:tcPr>
          <w:p>
            <w:pPr>
              <w:spacing w:before="0" w:after="0"/>
              <w:jc w:val="center"/>
              <w:rPr>
                <w:i/>
                <w:noProof/>
                <w:szCs w:val="24"/>
              </w:rPr>
            </w:pPr>
            <w:r>
              <w:rPr>
                <w:i/>
                <w:noProof/>
                <w:szCs w:val="24"/>
              </w:rPr>
              <w:t>1</w:t>
            </w:r>
          </w:p>
        </w:tc>
      </w:tr>
      <w:tr>
        <w:trPr>
          <w:jc w:val="center"/>
        </w:trPr>
        <w:tc>
          <w:tcPr>
            <w:tcW w:w="1020" w:type="dxa"/>
          </w:tcPr>
          <w:p>
            <w:pPr>
              <w:spacing w:before="0" w:after="0"/>
              <w:jc w:val="center"/>
              <w:rPr>
                <w:b/>
                <w:noProof/>
                <w:szCs w:val="24"/>
              </w:rPr>
            </w:pPr>
            <w:r>
              <w:rPr>
                <w:b/>
                <w:noProof/>
                <w:szCs w:val="24"/>
              </w:rPr>
              <w:t>CCC/61</w:t>
            </w:r>
          </w:p>
        </w:tc>
        <w:tc>
          <w:tcPr>
            <w:tcW w:w="1680" w:type="dxa"/>
          </w:tcPr>
          <w:p>
            <w:pPr>
              <w:spacing w:before="0" w:after="0"/>
              <w:jc w:val="center"/>
              <w:rPr>
                <w:noProof/>
                <w:szCs w:val="24"/>
              </w:rPr>
            </w:pPr>
            <w:r>
              <w:rPr>
                <w:noProof/>
              </w:rPr>
              <w:t>1-16/3/2018</w:t>
            </w:r>
          </w:p>
        </w:tc>
        <w:tc>
          <w:tcPr>
            <w:tcW w:w="974" w:type="dxa"/>
          </w:tcPr>
          <w:p>
            <w:pPr>
              <w:spacing w:before="0" w:after="0"/>
              <w:jc w:val="center"/>
              <w:rPr>
                <w:noProof/>
                <w:szCs w:val="24"/>
              </w:rPr>
            </w:pPr>
            <w:r>
              <w:rPr>
                <w:noProof/>
              </w:rPr>
              <w:t>69</w:t>
            </w:r>
          </w:p>
        </w:tc>
        <w:tc>
          <w:tcPr>
            <w:tcW w:w="1369" w:type="dxa"/>
          </w:tcPr>
          <w:p>
            <w:pPr>
              <w:spacing w:before="0" w:after="0"/>
              <w:jc w:val="center"/>
              <w:rPr>
                <w:noProof/>
                <w:szCs w:val="24"/>
              </w:rPr>
            </w:pPr>
            <w:r>
              <w:rPr>
                <w:noProof/>
              </w:rPr>
              <w:t>3</w:t>
            </w:r>
          </w:p>
        </w:tc>
        <w:tc>
          <w:tcPr>
            <w:tcW w:w="454" w:type="dxa"/>
          </w:tcPr>
          <w:p>
            <w:pPr>
              <w:spacing w:before="0" w:after="0"/>
              <w:jc w:val="center"/>
              <w:rPr>
                <w:noProof/>
                <w:szCs w:val="24"/>
              </w:rPr>
            </w:pPr>
            <w:r>
              <w:rPr>
                <w:noProof/>
              </w:rPr>
              <w:t>4</w:t>
            </w:r>
          </w:p>
        </w:tc>
        <w:tc>
          <w:tcPr>
            <w:tcW w:w="1329" w:type="dxa"/>
          </w:tcPr>
          <w:p>
            <w:pPr>
              <w:spacing w:before="0" w:after="0"/>
              <w:jc w:val="center"/>
              <w:rPr>
                <w:noProof/>
                <w:szCs w:val="24"/>
              </w:rPr>
            </w:pPr>
            <w:r>
              <w:rPr>
                <w:noProof/>
              </w:rPr>
              <w:t>61</w:t>
            </w:r>
          </w:p>
        </w:tc>
        <w:tc>
          <w:tcPr>
            <w:tcW w:w="480" w:type="dxa"/>
          </w:tcPr>
          <w:p>
            <w:pPr>
              <w:spacing w:before="0" w:after="0"/>
              <w:jc w:val="center"/>
              <w:rPr>
                <w:b/>
                <w:i/>
                <w:noProof/>
                <w:szCs w:val="24"/>
              </w:rPr>
            </w:pPr>
            <w:r>
              <w:rPr>
                <w:b/>
                <w:i/>
                <w:noProof/>
                <w:szCs w:val="24"/>
              </w:rPr>
              <w:t>89</w:t>
            </w:r>
          </w:p>
        </w:tc>
        <w:tc>
          <w:tcPr>
            <w:tcW w:w="1314" w:type="dxa"/>
          </w:tcPr>
          <w:p>
            <w:pPr>
              <w:spacing w:before="0" w:after="0"/>
              <w:jc w:val="center"/>
              <w:rPr>
                <w:noProof/>
                <w:szCs w:val="24"/>
              </w:rPr>
            </w:pPr>
            <w:r>
              <w:rPr>
                <w:noProof/>
              </w:rPr>
              <w:t>5</w:t>
            </w:r>
          </w:p>
        </w:tc>
        <w:tc>
          <w:tcPr>
            <w:tcW w:w="509" w:type="dxa"/>
          </w:tcPr>
          <w:p>
            <w:pPr>
              <w:spacing w:before="0" w:after="0"/>
              <w:jc w:val="center"/>
              <w:rPr>
                <w:i/>
                <w:noProof/>
                <w:szCs w:val="24"/>
              </w:rPr>
            </w:pPr>
            <w:r>
              <w:rPr>
                <w:i/>
                <w:noProof/>
                <w:szCs w:val="24"/>
              </w:rPr>
              <w:t>7</w:t>
            </w:r>
          </w:p>
        </w:tc>
      </w:tr>
      <w:tr>
        <w:trPr>
          <w:jc w:val="center"/>
        </w:trPr>
        <w:tc>
          <w:tcPr>
            <w:tcW w:w="1020" w:type="dxa"/>
          </w:tcPr>
          <w:p>
            <w:pPr>
              <w:spacing w:before="0" w:after="0"/>
              <w:jc w:val="center"/>
              <w:rPr>
                <w:b/>
                <w:noProof/>
                <w:szCs w:val="24"/>
              </w:rPr>
            </w:pPr>
            <w:r>
              <w:rPr>
                <w:b/>
                <w:noProof/>
                <w:szCs w:val="24"/>
              </w:rPr>
              <w:t>CCC/62</w:t>
            </w:r>
          </w:p>
        </w:tc>
        <w:tc>
          <w:tcPr>
            <w:tcW w:w="1680" w:type="dxa"/>
          </w:tcPr>
          <w:p>
            <w:pPr>
              <w:spacing w:before="0" w:after="0"/>
              <w:jc w:val="center"/>
              <w:rPr>
                <w:noProof/>
                <w:szCs w:val="24"/>
              </w:rPr>
            </w:pPr>
            <w:r>
              <w:rPr>
                <w:noProof/>
              </w:rPr>
              <w:t>13-28/9/2018</w:t>
            </w:r>
          </w:p>
        </w:tc>
        <w:tc>
          <w:tcPr>
            <w:tcW w:w="974" w:type="dxa"/>
          </w:tcPr>
          <w:p>
            <w:pPr>
              <w:spacing w:before="0" w:after="0"/>
              <w:jc w:val="center"/>
              <w:rPr>
                <w:noProof/>
                <w:szCs w:val="24"/>
              </w:rPr>
            </w:pPr>
            <w:r>
              <w:rPr>
                <w:noProof/>
              </w:rPr>
              <w:t>70</w:t>
            </w:r>
          </w:p>
        </w:tc>
        <w:tc>
          <w:tcPr>
            <w:tcW w:w="1369" w:type="dxa"/>
          </w:tcPr>
          <w:p>
            <w:pPr>
              <w:spacing w:before="0" w:after="0"/>
              <w:jc w:val="center"/>
              <w:rPr>
                <w:noProof/>
                <w:szCs w:val="24"/>
              </w:rPr>
            </w:pPr>
            <w:r>
              <w:rPr>
                <w:noProof/>
              </w:rPr>
              <w:t>50</w:t>
            </w:r>
          </w:p>
        </w:tc>
        <w:tc>
          <w:tcPr>
            <w:tcW w:w="454" w:type="dxa"/>
          </w:tcPr>
          <w:p>
            <w:pPr>
              <w:spacing w:before="0" w:after="0"/>
              <w:jc w:val="center"/>
              <w:rPr>
                <w:noProof/>
                <w:szCs w:val="24"/>
              </w:rPr>
            </w:pPr>
            <w:r>
              <w:rPr>
                <w:noProof/>
              </w:rPr>
              <w:t>71</w:t>
            </w:r>
          </w:p>
        </w:tc>
        <w:tc>
          <w:tcPr>
            <w:tcW w:w="1329" w:type="dxa"/>
          </w:tcPr>
          <w:p>
            <w:pPr>
              <w:spacing w:before="0" w:after="0"/>
              <w:jc w:val="center"/>
              <w:rPr>
                <w:noProof/>
                <w:szCs w:val="24"/>
              </w:rPr>
            </w:pPr>
            <w:r>
              <w:rPr>
                <w:noProof/>
              </w:rPr>
              <w:t>16</w:t>
            </w:r>
          </w:p>
        </w:tc>
        <w:tc>
          <w:tcPr>
            <w:tcW w:w="480" w:type="dxa"/>
          </w:tcPr>
          <w:p>
            <w:pPr>
              <w:spacing w:before="0" w:after="0"/>
              <w:jc w:val="center"/>
              <w:rPr>
                <w:b/>
                <w:i/>
                <w:noProof/>
                <w:szCs w:val="24"/>
              </w:rPr>
            </w:pPr>
            <w:r>
              <w:rPr>
                <w:b/>
                <w:i/>
                <w:noProof/>
                <w:szCs w:val="24"/>
              </w:rPr>
              <w:t>23</w:t>
            </w:r>
          </w:p>
        </w:tc>
        <w:tc>
          <w:tcPr>
            <w:tcW w:w="1314" w:type="dxa"/>
          </w:tcPr>
          <w:p>
            <w:pPr>
              <w:spacing w:before="0" w:after="0"/>
              <w:jc w:val="center"/>
              <w:rPr>
                <w:noProof/>
                <w:szCs w:val="24"/>
              </w:rPr>
            </w:pPr>
            <w:r>
              <w:rPr>
                <w:noProof/>
              </w:rPr>
              <w:t>4</w:t>
            </w:r>
          </w:p>
        </w:tc>
        <w:tc>
          <w:tcPr>
            <w:tcW w:w="509" w:type="dxa"/>
          </w:tcPr>
          <w:p>
            <w:pPr>
              <w:spacing w:before="0" w:after="0"/>
              <w:jc w:val="center"/>
              <w:rPr>
                <w:i/>
                <w:noProof/>
                <w:szCs w:val="24"/>
              </w:rPr>
            </w:pPr>
            <w:r>
              <w:rPr>
                <w:i/>
                <w:noProof/>
                <w:szCs w:val="24"/>
              </w:rPr>
              <w:t>6</w:t>
            </w:r>
          </w:p>
        </w:tc>
      </w:tr>
      <w:tr>
        <w:trPr>
          <w:jc w:val="center"/>
        </w:trPr>
        <w:tc>
          <w:tcPr>
            <w:tcW w:w="1020" w:type="dxa"/>
          </w:tcPr>
          <w:p>
            <w:pPr>
              <w:spacing w:before="0" w:after="0"/>
              <w:jc w:val="center"/>
              <w:rPr>
                <w:b/>
                <w:noProof/>
                <w:szCs w:val="24"/>
              </w:rPr>
            </w:pPr>
            <w:r>
              <w:rPr>
                <w:b/>
                <w:noProof/>
                <w:szCs w:val="24"/>
              </w:rPr>
              <w:t>CCC/63</w:t>
            </w:r>
          </w:p>
        </w:tc>
        <w:tc>
          <w:tcPr>
            <w:tcW w:w="1680" w:type="dxa"/>
          </w:tcPr>
          <w:p>
            <w:pPr>
              <w:spacing w:before="0" w:after="0"/>
              <w:jc w:val="center"/>
              <w:rPr>
                <w:noProof/>
                <w:szCs w:val="24"/>
              </w:rPr>
            </w:pPr>
            <w:r>
              <w:rPr>
                <w:noProof/>
              </w:rPr>
              <w:t>14-29/3/2019</w:t>
            </w:r>
          </w:p>
        </w:tc>
        <w:tc>
          <w:tcPr>
            <w:tcW w:w="974" w:type="dxa"/>
          </w:tcPr>
          <w:p>
            <w:pPr>
              <w:spacing w:before="0" w:after="0"/>
              <w:jc w:val="center"/>
              <w:rPr>
                <w:noProof/>
                <w:szCs w:val="24"/>
              </w:rPr>
            </w:pPr>
            <w:r>
              <w:rPr>
                <w:noProof/>
              </w:rPr>
              <w:t>64</w:t>
            </w:r>
          </w:p>
        </w:tc>
        <w:tc>
          <w:tcPr>
            <w:tcW w:w="1369" w:type="dxa"/>
          </w:tcPr>
          <w:p>
            <w:pPr>
              <w:spacing w:before="0" w:after="0"/>
              <w:jc w:val="center"/>
              <w:rPr>
                <w:noProof/>
                <w:szCs w:val="24"/>
              </w:rPr>
            </w:pPr>
            <w:r>
              <w:rPr>
                <w:noProof/>
              </w:rPr>
              <w:t>34</w:t>
            </w:r>
          </w:p>
        </w:tc>
        <w:tc>
          <w:tcPr>
            <w:tcW w:w="454" w:type="dxa"/>
          </w:tcPr>
          <w:p>
            <w:pPr>
              <w:spacing w:before="0" w:after="0"/>
              <w:jc w:val="center"/>
              <w:rPr>
                <w:i/>
                <w:noProof/>
                <w:szCs w:val="24"/>
              </w:rPr>
            </w:pPr>
            <w:r>
              <w:rPr>
                <w:i/>
                <w:noProof/>
                <w:szCs w:val="24"/>
              </w:rPr>
              <w:t>53</w:t>
            </w:r>
          </w:p>
        </w:tc>
        <w:tc>
          <w:tcPr>
            <w:tcW w:w="1329" w:type="dxa"/>
          </w:tcPr>
          <w:p>
            <w:pPr>
              <w:spacing w:before="0" w:after="0"/>
              <w:jc w:val="center"/>
              <w:rPr>
                <w:noProof/>
                <w:szCs w:val="24"/>
              </w:rPr>
            </w:pPr>
            <w:r>
              <w:rPr>
                <w:noProof/>
              </w:rPr>
              <w:t>28</w:t>
            </w:r>
          </w:p>
        </w:tc>
        <w:tc>
          <w:tcPr>
            <w:tcW w:w="480" w:type="dxa"/>
          </w:tcPr>
          <w:p>
            <w:pPr>
              <w:spacing w:before="0" w:after="0"/>
              <w:jc w:val="center"/>
              <w:rPr>
                <w:b/>
                <w:i/>
                <w:noProof/>
                <w:szCs w:val="24"/>
              </w:rPr>
            </w:pPr>
            <w:r>
              <w:rPr>
                <w:b/>
                <w:i/>
                <w:noProof/>
                <w:szCs w:val="24"/>
              </w:rPr>
              <w:t>44</w:t>
            </w:r>
          </w:p>
        </w:tc>
        <w:tc>
          <w:tcPr>
            <w:tcW w:w="1314" w:type="dxa"/>
          </w:tcPr>
          <w:p>
            <w:pPr>
              <w:spacing w:before="0" w:after="0"/>
              <w:jc w:val="center"/>
              <w:rPr>
                <w:noProof/>
                <w:szCs w:val="24"/>
              </w:rPr>
            </w:pPr>
            <w:r>
              <w:rPr>
                <w:noProof/>
              </w:rPr>
              <w:t>2</w:t>
            </w:r>
          </w:p>
        </w:tc>
        <w:tc>
          <w:tcPr>
            <w:tcW w:w="509" w:type="dxa"/>
          </w:tcPr>
          <w:p>
            <w:pPr>
              <w:spacing w:before="0" w:after="0"/>
              <w:jc w:val="center"/>
              <w:rPr>
                <w:i/>
                <w:noProof/>
                <w:szCs w:val="24"/>
              </w:rPr>
            </w:pPr>
            <w:r>
              <w:rPr>
                <w:i/>
                <w:noProof/>
                <w:szCs w:val="24"/>
              </w:rPr>
              <w:t>3</w:t>
            </w:r>
          </w:p>
        </w:tc>
      </w:tr>
      <w:tr>
        <w:trPr>
          <w:jc w:val="center"/>
        </w:trPr>
        <w:tc>
          <w:tcPr>
            <w:tcW w:w="1020" w:type="dxa"/>
          </w:tcPr>
          <w:p>
            <w:pPr>
              <w:spacing w:before="0" w:after="0"/>
              <w:jc w:val="center"/>
              <w:rPr>
                <w:b/>
                <w:noProof/>
                <w:szCs w:val="24"/>
              </w:rPr>
            </w:pPr>
            <w:r>
              <w:rPr>
                <w:b/>
                <w:noProof/>
                <w:szCs w:val="24"/>
              </w:rPr>
              <w:lastRenderedPageBreak/>
              <w:t>CCC/64</w:t>
            </w:r>
          </w:p>
        </w:tc>
        <w:tc>
          <w:tcPr>
            <w:tcW w:w="1680" w:type="dxa"/>
          </w:tcPr>
          <w:p>
            <w:pPr>
              <w:spacing w:before="0" w:after="0"/>
              <w:jc w:val="center"/>
              <w:rPr>
                <w:noProof/>
                <w:szCs w:val="24"/>
              </w:rPr>
            </w:pPr>
            <w:r>
              <w:rPr>
                <w:noProof/>
              </w:rPr>
              <w:t>16-27/9/2019</w:t>
            </w:r>
          </w:p>
        </w:tc>
        <w:tc>
          <w:tcPr>
            <w:tcW w:w="974" w:type="dxa"/>
          </w:tcPr>
          <w:p>
            <w:pPr>
              <w:spacing w:before="0" w:after="0"/>
              <w:jc w:val="center"/>
              <w:rPr>
                <w:noProof/>
                <w:szCs w:val="24"/>
              </w:rPr>
            </w:pPr>
            <w:r>
              <w:rPr>
                <w:noProof/>
              </w:rPr>
              <w:t>56</w:t>
            </w:r>
          </w:p>
        </w:tc>
        <w:tc>
          <w:tcPr>
            <w:tcW w:w="1369" w:type="dxa"/>
          </w:tcPr>
          <w:p>
            <w:pPr>
              <w:spacing w:before="0" w:after="0"/>
              <w:jc w:val="center"/>
              <w:rPr>
                <w:noProof/>
                <w:szCs w:val="24"/>
              </w:rPr>
            </w:pPr>
            <w:r>
              <w:rPr>
                <w:noProof/>
              </w:rPr>
              <w:t>49</w:t>
            </w:r>
          </w:p>
        </w:tc>
        <w:tc>
          <w:tcPr>
            <w:tcW w:w="454" w:type="dxa"/>
          </w:tcPr>
          <w:p>
            <w:pPr>
              <w:spacing w:before="0" w:after="0"/>
              <w:jc w:val="center"/>
              <w:rPr>
                <w:i/>
                <w:noProof/>
                <w:szCs w:val="24"/>
              </w:rPr>
            </w:pPr>
            <w:r>
              <w:rPr>
                <w:i/>
                <w:noProof/>
                <w:szCs w:val="24"/>
              </w:rPr>
              <w:t>87</w:t>
            </w:r>
          </w:p>
        </w:tc>
        <w:tc>
          <w:tcPr>
            <w:tcW w:w="1329" w:type="dxa"/>
          </w:tcPr>
          <w:p>
            <w:pPr>
              <w:spacing w:before="0" w:after="0"/>
              <w:jc w:val="center"/>
              <w:rPr>
                <w:noProof/>
                <w:szCs w:val="24"/>
              </w:rPr>
            </w:pPr>
            <w:r>
              <w:rPr>
                <w:noProof/>
              </w:rPr>
              <w:t>5</w:t>
            </w:r>
          </w:p>
        </w:tc>
        <w:tc>
          <w:tcPr>
            <w:tcW w:w="480" w:type="dxa"/>
          </w:tcPr>
          <w:p>
            <w:pPr>
              <w:spacing w:before="0" w:after="0"/>
              <w:jc w:val="center"/>
              <w:rPr>
                <w:i/>
                <w:noProof/>
                <w:szCs w:val="24"/>
              </w:rPr>
            </w:pPr>
            <w:r>
              <w:rPr>
                <w:i/>
                <w:noProof/>
                <w:szCs w:val="24"/>
              </w:rPr>
              <w:t>9</w:t>
            </w:r>
          </w:p>
        </w:tc>
        <w:tc>
          <w:tcPr>
            <w:tcW w:w="1314" w:type="dxa"/>
          </w:tcPr>
          <w:p>
            <w:pPr>
              <w:spacing w:before="0" w:after="0"/>
              <w:jc w:val="center"/>
              <w:rPr>
                <w:noProof/>
                <w:szCs w:val="24"/>
              </w:rPr>
            </w:pPr>
            <w:r>
              <w:rPr>
                <w:noProof/>
              </w:rPr>
              <w:t>2</w:t>
            </w:r>
          </w:p>
        </w:tc>
        <w:tc>
          <w:tcPr>
            <w:tcW w:w="509" w:type="dxa"/>
          </w:tcPr>
          <w:p>
            <w:pPr>
              <w:spacing w:before="0" w:after="0"/>
              <w:jc w:val="center"/>
              <w:rPr>
                <w:i/>
                <w:noProof/>
                <w:szCs w:val="24"/>
              </w:rPr>
            </w:pPr>
            <w:r>
              <w:rPr>
                <w:i/>
                <w:noProof/>
                <w:szCs w:val="24"/>
              </w:rPr>
              <w:t>4</w:t>
            </w:r>
          </w:p>
        </w:tc>
      </w:tr>
      <w:tr>
        <w:trPr>
          <w:jc w:val="center"/>
        </w:trPr>
        <w:tc>
          <w:tcPr>
            <w:tcW w:w="1020" w:type="dxa"/>
          </w:tcPr>
          <w:p>
            <w:pPr>
              <w:spacing w:before="0" w:after="0"/>
              <w:jc w:val="center"/>
              <w:rPr>
                <w:b/>
                <w:noProof/>
                <w:szCs w:val="24"/>
              </w:rPr>
            </w:pPr>
            <w:r>
              <w:rPr>
                <w:b/>
                <w:noProof/>
                <w:szCs w:val="24"/>
              </w:rPr>
              <w:t>Iomlán</w:t>
            </w:r>
          </w:p>
        </w:tc>
        <w:tc>
          <w:tcPr>
            <w:tcW w:w="1680" w:type="dxa"/>
          </w:tcPr>
          <w:p>
            <w:pPr>
              <w:spacing w:before="0" w:after="0"/>
              <w:jc w:val="center"/>
              <w:rPr>
                <w:b/>
                <w:noProof/>
                <w:szCs w:val="24"/>
              </w:rPr>
            </w:pPr>
          </w:p>
        </w:tc>
        <w:tc>
          <w:tcPr>
            <w:tcW w:w="974" w:type="dxa"/>
          </w:tcPr>
          <w:p>
            <w:pPr>
              <w:spacing w:before="0" w:after="0"/>
              <w:jc w:val="center"/>
              <w:rPr>
                <w:b/>
                <w:noProof/>
                <w:szCs w:val="24"/>
              </w:rPr>
            </w:pPr>
            <w:r>
              <w:rPr>
                <w:b/>
                <w:noProof/>
                <w:szCs w:val="24"/>
              </w:rPr>
              <w:t>411</w:t>
            </w:r>
          </w:p>
        </w:tc>
        <w:tc>
          <w:tcPr>
            <w:tcW w:w="1369" w:type="dxa"/>
          </w:tcPr>
          <w:p>
            <w:pPr>
              <w:spacing w:before="0" w:after="0"/>
              <w:jc w:val="center"/>
              <w:rPr>
                <w:b/>
                <w:noProof/>
                <w:szCs w:val="24"/>
              </w:rPr>
            </w:pPr>
            <w:r>
              <w:rPr>
                <w:b/>
                <w:noProof/>
                <w:szCs w:val="24"/>
              </w:rPr>
              <w:t>221</w:t>
            </w:r>
          </w:p>
        </w:tc>
        <w:tc>
          <w:tcPr>
            <w:tcW w:w="454" w:type="dxa"/>
          </w:tcPr>
          <w:p>
            <w:pPr>
              <w:spacing w:before="0" w:after="0"/>
              <w:jc w:val="center"/>
              <w:rPr>
                <w:b/>
                <w:i/>
                <w:noProof/>
                <w:szCs w:val="24"/>
              </w:rPr>
            </w:pPr>
            <w:r>
              <w:rPr>
                <w:b/>
                <w:i/>
                <w:noProof/>
                <w:szCs w:val="24"/>
              </w:rPr>
              <w:t>54</w:t>
            </w:r>
          </w:p>
        </w:tc>
        <w:tc>
          <w:tcPr>
            <w:tcW w:w="1329" w:type="dxa"/>
          </w:tcPr>
          <w:p>
            <w:pPr>
              <w:spacing w:before="0" w:after="0"/>
              <w:jc w:val="center"/>
              <w:rPr>
                <w:b/>
                <w:noProof/>
                <w:szCs w:val="24"/>
              </w:rPr>
            </w:pPr>
            <w:r>
              <w:rPr>
                <w:b/>
                <w:noProof/>
                <w:szCs w:val="24"/>
              </w:rPr>
              <w:t>170</w:t>
            </w:r>
          </w:p>
        </w:tc>
        <w:tc>
          <w:tcPr>
            <w:tcW w:w="480" w:type="dxa"/>
          </w:tcPr>
          <w:p>
            <w:pPr>
              <w:spacing w:before="0" w:after="0"/>
              <w:jc w:val="center"/>
              <w:rPr>
                <w:b/>
                <w:i/>
                <w:noProof/>
                <w:szCs w:val="24"/>
              </w:rPr>
            </w:pPr>
            <w:r>
              <w:rPr>
                <w:b/>
                <w:i/>
                <w:noProof/>
                <w:szCs w:val="24"/>
              </w:rPr>
              <w:t>41</w:t>
            </w:r>
          </w:p>
        </w:tc>
        <w:tc>
          <w:tcPr>
            <w:tcW w:w="1314" w:type="dxa"/>
          </w:tcPr>
          <w:p>
            <w:pPr>
              <w:spacing w:before="0" w:after="0"/>
              <w:jc w:val="center"/>
              <w:rPr>
                <w:b/>
                <w:noProof/>
                <w:szCs w:val="24"/>
              </w:rPr>
            </w:pPr>
            <w:r>
              <w:rPr>
                <w:b/>
                <w:noProof/>
                <w:szCs w:val="24"/>
              </w:rPr>
              <w:t>20</w:t>
            </w:r>
          </w:p>
        </w:tc>
        <w:tc>
          <w:tcPr>
            <w:tcW w:w="509" w:type="dxa"/>
          </w:tcPr>
          <w:p>
            <w:pPr>
              <w:spacing w:before="0" w:after="0"/>
              <w:jc w:val="center"/>
              <w:rPr>
                <w:b/>
                <w:i/>
                <w:noProof/>
                <w:szCs w:val="24"/>
              </w:rPr>
            </w:pPr>
            <w:r>
              <w:rPr>
                <w:b/>
                <w:i/>
                <w:noProof/>
                <w:szCs w:val="24"/>
              </w:rPr>
              <w:t>5</w:t>
            </w:r>
          </w:p>
        </w:tc>
      </w:tr>
    </w:tbl>
    <w:p>
      <w:pPr>
        <w:spacing w:before="0" w:after="200" w:line="276" w:lineRule="auto"/>
        <w:rPr>
          <w:noProof/>
          <w:szCs w:val="24"/>
        </w:rPr>
      </w:pPr>
    </w:p>
    <w:p>
      <w:pPr>
        <w:spacing w:before="0" w:after="200" w:line="276" w:lineRule="auto"/>
        <w:rPr>
          <w:noProof/>
          <w:szCs w:val="24"/>
        </w:rPr>
      </w:pPr>
      <w:r>
        <w:rPr>
          <w:noProof/>
        </w:rPr>
        <w:t>Tionólfar na cruinnithe den Choiste i gcónaí láithreach tar éis chruinniú a mheithle réamh</w:t>
      </w:r>
      <w:r>
        <w:rPr>
          <w:noProof/>
        </w:rPr>
        <w:noBreakHyphen/>
        <w:t xml:space="preserve">sheisiúnaí (rud a mhaireann idir 2 agus 3 lá). Go ginearálta, cuirtear na doiciméid le haghaidh chruinnithe an Choiste ar fáil idir 30 agus 15 lá roimh an gcruinniú. </w:t>
      </w:r>
    </w:p>
    <w:p>
      <w:pPr>
        <w:pStyle w:val="ManualHeading2"/>
        <w:rPr>
          <w:b w:val="0"/>
          <w:noProof/>
          <w:szCs w:val="24"/>
        </w:rPr>
      </w:pPr>
      <w:r>
        <w:rPr>
          <w:noProof/>
        </w:rPr>
        <w:t>3.2. Cuspóir agus ábhar an togra</w:t>
      </w:r>
    </w:p>
    <w:p>
      <w:pPr>
        <w:rPr>
          <w:noProof/>
          <w:szCs w:val="24"/>
        </w:rPr>
      </w:pPr>
      <w:r>
        <w:rPr>
          <w:noProof/>
        </w:rPr>
        <w:t xml:space="preserve">Na cinntí faoi chaibidil a ullmhaíonn an Coiste um an gCóras Comhchuibhithe, d'fhéadfadh na cinntí sin tionchar cinniúnach a imirt ar dhlí an Aontais, is é sin, Rialachán (CEE) Uimh. 2658/87 ón gComhairle maidir leis an ainmníocht taraife agus staidrimh agus leis an gComhtharaif Chustaim, agus an Ainmníocht Chomhcheangailte (AC) a ghabhann leis. Úsáidtear cinntí maidir le rangú, tuairimí nó </w:t>
      </w:r>
      <w:r>
        <w:rPr>
          <w:noProof/>
          <w:color w:val="000000"/>
          <w:szCs w:val="24"/>
        </w:rPr>
        <w:t>leasuithe maidir le rangú ar na nótaí míniúcháin a ghabhann le hAinmníocht an Chórais Chomhchuibhithe</w:t>
      </w:r>
      <w:r>
        <w:rPr>
          <w:noProof/>
        </w:rPr>
        <w:t xml:space="preserve"> chun tacú leis an aicmiú dá bhforáiltear i Rialacháin Cur Chun Feidhme an Choimisiúin maidir le haicmiú earraí in AC, sna nótaí míniúcháin a ghabhann leis an AC agus sna cinntí maidir le haicmiú arna n</w:t>
      </w:r>
      <w:r>
        <w:rPr>
          <w:noProof/>
        </w:rPr>
        <w:noBreakHyphen/>
        <w:t>eisiúint ag údaráis chustaim na mBallstát. Tá ceanglas ar údaráis chustaim na mBallstát a gcinntí féin maidir le haicmiú a chúlghairm i gcás nach bhfuil siad ag luí a thuilleadh leis an léirmhíniú in Ainmníocht an Chórais Chomhchuibhithe is toradh ar na cinntí sin maidir le haicmiú, na tuairimí sin maidir le haicmiú</w:t>
      </w:r>
      <w:r>
        <w:rPr>
          <w:noProof/>
          <w:color w:val="000000"/>
          <w:szCs w:val="24"/>
        </w:rPr>
        <w:t xml:space="preserve"> nó leasuithe ar Nótaí Míniúcháin an Chórais Chomhchuibhithe</w:t>
      </w:r>
      <w:r>
        <w:rPr>
          <w:noProof/>
        </w:rPr>
        <w:t>.</w:t>
      </w:r>
    </w:p>
    <w:p>
      <w:pPr>
        <w:spacing w:before="0" w:after="200" w:line="276" w:lineRule="auto"/>
        <w:rPr>
          <w:noProof/>
          <w:szCs w:val="24"/>
        </w:rPr>
      </w:pPr>
      <w:r>
        <w:rPr>
          <w:noProof/>
        </w:rPr>
        <w:t>I bhfianaise líon na n</w:t>
      </w:r>
      <w:r>
        <w:rPr>
          <w:noProof/>
        </w:rPr>
        <w:noBreakHyphen/>
        <w:t>ítimí a n</w:t>
      </w:r>
      <w:r>
        <w:rPr>
          <w:noProof/>
        </w:rPr>
        <w:noBreakHyphen/>
        <w:t>iarrtar ar an gCoiste cinneadh a dhéanamh ina leith ag gach cruinniú dá chuid, a theicniúil is atá na cinntí sin, agus an tráthchláir theoranta atá ann chun an seasamh ón Aontas a ullmhú de thoradh an fhógra ghearr lena gcuirtear na doiciméid oibre ar fáil, meastar go bhfuil gá le cinneadh réime ón gComhairle faoi Airteagal 218(9) CFAE, cinneadh lena mbunaítear seasamh an Aontais bunaithe ar phrionsabail agus ar chritéir threoracha le haghaidh thromlach na n</w:t>
      </w:r>
      <w:r>
        <w:rPr>
          <w:noProof/>
        </w:rPr>
        <w:noBreakHyphen/>
        <w:t>ítimí a n</w:t>
      </w:r>
      <w:r>
        <w:rPr>
          <w:noProof/>
        </w:rPr>
        <w:noBreakHyphen/>
        <w:t>iarrtar ar an gCoiste CC cinneadh a dhéanamh ina leith (i.e. Nótaí Míniúcháin, tuairimí agus cinntí maidir le haicmiú, treoraíocht nó comhairle eile maidir le léirmhíniú an Chórais Chomhchuibhithe), meastar go bhfuil gá leis an méid sin ós rud é nach ndéanfaí foráil maidir le feidhmiú tráthúil agus éifeachtúil sa réimse beartais seo nuair a ghlactar cinntí aonair de bhun Airteagal 218(9) CFAE.</w:t>
      </w:r>
    </w:p>
    <w:p>
      <w:pPr>
        <w:spacing w:before="0" w:after="200" w:line="276" w:lineRule="auto"/>
        <w:rPr>
          <w:noProof/>
          <w:szCs w:val="24"/>
        </w:rPr>
      </w:pPr>
      <w:r>
        <w:rPr>
          <w:noProof/>
        </w:rPr>
        <w:t xml:space="preserve">An seasamh a ghlacfar thar ceann an Aontais san Eagraíocht Dhomhanda Chustaim ar bhonn prionsabail agus critéir threoracha, chomh maith leis na céimeanna is gá le haghaidh shonraíocht an tseasaimh ón Aontais le haghaidh gach cruinnithe, is iomchuí mar sin an méid sin a bhunú le Cinneadh ón gComhairle a glacadh faoi Airteagal 218(9) CFAE ar bhonn togra ón gCoimisiún. </w:t>
      </w:r>
    </w:p>
    <w:p>
      <w:pPr>
        <w:spacing w:before="0" w:after="200" w:line="276" w:lineRule="auto"/>
        <w:rPr>
          <w:noProof/>
          <w:szCs w:val="24"/>
        </w:rPr>
      </w:pPr>
      <w:r>
        <w:rPr>
          <w:noProof/>
        </w:rPr>
        <w:t xml:space="preserve">Chun na críche sin, bunaítear leis an togra creat ina liostaítear prionsabail agus critéir, prionsabail agus critéir a mbunaítear an seasamh ón Aontas dá réir. Tá na prionsabail agus na critéir sin i gcomhréir le beartas custaim seanbhunaithe agus le cásdlí Chúirt Bhreithiúnais an Aontais Eorpaigh chun earraí a aicmiú ag an bpointe allmhairithe de réir a ngnéithe agus a sainghnéithe oibiachtúla.  </w:t>
      </w:r>
    </w:p>
    <w:p>
      <w:pPr>
        <w:spacing w:before="0" w:after="200" w:line="276" w:lineRule="auto"/>
        <w:rPr>
          <w:noProof/>
          <w:szCs w:val="24"/>
        </w:rPr>
      </w:pPr>
      <w:r>
        <w:rPr>
          <w:noProof/>
        </w:rPr>
        <w:t xml:space="preserve">Sa seasamh a ghlacfar thar ceann an Aontais, ba cheart urraim a léiriú do phrionsabail an tsimplithe agus éascaithe i gcás aicmiú custaim, i gcás comhsheasmhacht leis na rialacha </w:t>
      </w:r>
      <w:r>
        <w:rPr>
          <w:noProof/>
        </w:rPr>
        <w:lastRenderedPageBreak/>
        <w:t xml:space="preserve">ginearálta maidir le léirmhíniú an Chórais Chomhchuibhithe ar mhaithe le deimhneacht dhlíthiúil, agus i gcás chur chun cinn dhea-chleachtais an Aontais ina leith sin. </w:t>
      </w:r>
    </w:p>
    <w:p>
      <w:pPr>
        <w:spacing w:before="0" w:after="200" w:line="276" w:lineRule="auto"/>
        <w:rPr>
          <w:noProof/>
          <w:szCs w:val="24"/>
        </w:rPr>
      </w:pPr>
      <w:r>
        <w:rPr>
          <w:noProof/>
        </w:rPr>
        <w:t>Ba cheart aon sheasamh den chineál sin a threorú de réir critéir ghinearálta a shainítear i gCoinbhinsiún CC (na rialacha ginearálta maidir le léirmhíniú an Chórais Comhchuibhithe) agus de réir ghnéithe agus shaintréithe oibiachtúla na n</w:t>
      </w:r>
      <w:r>
        <w:rPr>
          <w:noProof/>
        </w:rPr>
        <w:noBreakHyphen/>
        <w:t>earraí. Ba cheart critéir shonracha a chur san áireamh i gcás inarb iomchuí, de thoradh chásdlí Chúirt Bhreithiúnais an Aontais Eorpaigh a bhaineann le hearraí a aicmiú, chomh maith le haon treoraíocht a bhaineann le haicmiú custaim atá ullmhaithe ag an Eagraíocht Dhomhanda Chustaim (Ainmníocht an Chórais Chomhchuibhithe agus an léirmhíniú de a ndéantar foráil maidir leis i Nótaí Míniúcháin an Chórais Chomhchuibhithe, Tuairimí agus Cinntí maidir le hAicmiú a ghlac an Coiste um an gCóras Comhchuibhithe) nó ag an Aontas (Ainmníocht Chomhcheangailte agus an léirmhíniú di a ndéantar foráil maidir leis i nótaí míniúcháin AC, Rialacháin agus Cinntí maidir le haicmiú a ghlac an Chomhairle nó an Coimisiún, nó conclúidí an Choiste um an gCód Custaim ó Roinn na hAinmníochta Taraife agus Staidrimh).</w:t>
      </w:r>
    </w:p>
    <w:p>
      <w:pPr>
        <w:spacing w:before="100" w:beforeAutospacing="1" w:after="100" w:afterAutospacing="1"/>
        <w:jc w:val="left"/>
        <w:rPr>
          <w:rFonts w:eastAsia="Times New Roman"/>
          <w:noProof/>
          <w:szCs w:val="24"/>
        </w:rPr>
      </w:pPr>
      <w:r>
        <w:rPr>
          <w:noProof/>
        </w:rPr>
        <w:t>Sa togra le haghaidh cinneadh réime, déantar foráil maidir leis an méid seo a leanas:</w:t>
      </w:r>
    </w:p>
    <w:p>
      <w:pPr>
        <w:spacing w:before="100" w:beforeAutospacing="1" w:after="100" w:afterAutospacing="1"/>
        <w:rPr>
          <w:rFonts w:eastAsia="Times New Roman"/>
          <w:noProof/>
          <w:szCs w:val="24"/>
        </w:rPr>
      </w:pPr>
      <w:r>
        <w:rPr>
          <w:noProof/>
        </w:rPr>
        <w:t>- Cuirfidh an Coimisiún an Chomhairle ar an eolas (nó a comhlachtaí ullmhúcháin) in am trátha roimh aon chruinniú de chomhlacht ábhartha na hEagraíochta Domhanda Custaim ag a bhféadfaí cinneadh a chumhdaítear leis an gcinneadh réime a dhéanamh.</w:t>
      </w:r>
    </w:p>
    <w:p>
      <w:pPr>
        <w:spacing w:before="0" w:after="200" w:line="276" w:lineRule="auto"/>
        <w:rPr>
          <w:noProof/>
          <w:szCs w:val="24"/>
        </w:rPr>
      </w:pPr>
      <w:r>
        <w:rPr>
          <w:noProof/>
        </w:rPr>
        <w:t>- Laistigh de 5 lá oibre ón dáta a chuireann an Coimisiún an Chomhairle nó a comhlachtaí ullmhúcháin ar an eolas, féadfaidh an Chomhairle easaontú a léiriú leis an seasamh atáthar a mholadh i gcás ceann amháin nó níos mó de chinntí an Chórais Chomhchuibhithe atá le glacadh.</w:t>
      </w:r>
    </w:p>
    <w:p>
      <w:pPr>
        <w:rPr>
          <w:noProof/>
          <w:szCs w:val="24"/>
        </w:rPr>
      </w:pPr>
      <w:r>
        <w:rPr>
          <w:noProof/>
        </w:rPr>
        <w:t>- Chun cearta an Aontais a chaomhnú agus chun é a sheachaint go mbeadh cinneadh glactha ag EDC maidir le hábhar nach féidir leis an gComhairle seasamh a ghlacadh ina leith roimh dhul in éag don sprioc-am a thuartar faoi Airteagal 8(2) den Choinbhinsiún ar an gCóras Comhchuibhithe, féadfaidh an Coimisiún a iarraidh thar ceann an Aontais go dtabharfar an t</w:t>
      </w:r>
      <w:r>
        <w:rPr>
          <w:noProof/>
        </w:rPr>
        <w:noBreakHyphen/>
        <w:t xml:space="preserve">ábhar faoi bhráid Chomhairle EDC agus faoi bhráid Choiste CC le haghaidh athscrúdú. </w:t>
      </w:r>
    </w:p>
    <w:p>
      <w:pPr>
        <w:rPr>
          <w:noProof/>
          <w:szCs w:val="24"/>
        </w:rPr>
      </w:pPr>
      <w:r>
        <w:rPr>
          <w:noProof/>
        </w:rPr>
        <w:t>- I gcás ina bhfuil difear substaintiúil idir an seasamh ón Aontas agus an cinneadh a ghlac Coiste CC, soláthróidh an Coimisiún an Chomhairle lena chuid measúnuithe cé acu an bhféadfaidh an cinneadh atá faoi chaibidil ó Choiste CC a ghlacadh nó nach bhféadfaidh nó ar cheart an t</w:t>
      </w:r>
      <w:r>
        <w:rPr>
          <w:noProof/>
        </w:rPr>
        <w:noBreakHyphen/>
        <w:t xml:space="preserve">ábhar a thabhairt faoi bhráid EDC agus faoi bhráid an Choiste CC le haghaidh athscrúdú roimh dhul in éag don sprioc-am a thuartar faoi Airteagal 8(2) den Choinbhinsiún ar an gCóras Comhchuibhithe. Féadfaidh an Chomhairle easaontú a léiriú leis an seasamh atáthar a mholadh i gcás ceann amháin nó níos mó de chinntí aonair an Chórais Chomhchuibhithe lena mbaineann. </w:t>
      </w:r>
    </w:p>
    <w:p>
      <w:pPr>
        <w:spacing w:before="100" w:beforeAutospacing="1" w:after="100" w:afterAutospacing="1"/>
        <w:rPr>
          <w:rFonts w:eastAsia="Times New Roman"/>
          <w:noProof/>
          <w:szCs w:val="24"/>
        </w:rPr>
      </w:pPr>
      <w:r>
        <w:rPr>
          <w:noProof/>
        </w:rPr>
        <w:t>I gcomhréir le hAirteagal 218(10) CFAE, cuirfear Parlaimint na hEorpa go hiomlán ar an eolas láithreach.</w:t>
      </w:r>
    </w:p>
    <w:p>
      <w:pPr>
        <w:pStyle w:val="ManualHeading1"/>
        <w:rPr>
          <w:noProof/>
        </w:rPr>
      </w:pPr>
      <w:r>
        <w:rPr>
          <w:noProof/>
        </w:rPr>
        <w:lastRenderedPageBreak/>
        <w:t>4.</w:t>
      </w:r>
      <w:r>
        <w:rPr>
          <w:noProof/>
        </w:rPr>
        <w:tab/>
        <w:t>Bunús dlí</w:t>
      </w:r>
    </w:p>
    <w:p>
      <w:pPr>
        <w:pStyle w:val="ManualHeading2"/>
        <w:rPr>
          <w:i/>
          <w:noProof/>
          <w:szCs w:val="24"/>
        </w:rPr>
      </w:pPr>
      <w:r>
        <w:rPr>
          <w:i/>
          <w:noProof/>
          <w:szCs w:val="24"/>
        </w:rPr>
        <w:t>4.1.</w:t>
      </w:r>
      <w:r>
        <w:rPr>
          <w:i/>
          <w:noProof/>
          <w:szCs w:val="24"/>
        </w:rPr>
        <w:tab/>
      </w:r>
      <w:r>
        <w:rPr>
          <w:noProof/>
        </w:rPr>
        <w:t>Prionsabail</w:t>
      </w:r>
    </w:p>
    <w:p>
      <w:pPr>
        <w:rPr>
          <w:noProof/>
          <w:szCs w:val="24"/>
        </w:rPr>
      </w:pPr>
      <w:r>
        <w:rPr>
          <w:noProof/>
        </w:rPr>
        <w:t>In Airteagal 218(9) den Chonradh ar Fheidhmiú an Aontais Eorpaigh (CFAE) déantar foráil maidir le cinntí lena mbunaítear ‘</w:t>
      </w:r>
      <w:r>
        <w:rPr>
          <w:i/>
          <w:noProof/>
          <w:szCs w:val="24"/>
        </w:rPr>
        <w:t>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r>
        <w:rPr>
          <w:noProof/>
        </w:rPr>
        <w:t>.’</w:t>
      </w:r>
    </w:p>
    <w:p>
      <w:pPr>
        <w:rPr>
          <w:noProof/>
          <w:szCs w:val="24"/>
        </w:rPr>
      </w:pPr>
      <w:r>
        <w:rPr>
          <w:noProof/>
        </w:rPr>
        <w:t>Áirítear ar na ‘</w:t>
      </w:r>
      <w:r>
        <w:rPr>
          <w:i/>
          <w:noProof/>
          <w:szCs w:val="24"/>
        </w:rPr>
        <w:t>gníomhartha a bhfuil éifeachtaí dlíthiúla leo</w:t>
      </w:r>
      <w:r>
        <w:rPr>
          <w:noProof/>
        </w:rPr>
        <w:t>’ gníomhartha a bhfuil éifeachtaí dlíthiúla leo de bhua rialacha an dlí idirnáisiúnta lena rialaítear an comhlacht atá i gceist. Áirítear air freisin ionstraimí nach bhfuil éifeacht cheangailteach leo faoin dlí idirnáisiúnta, ach a d'fhéadfadh ‘</w:t>
      </w:r>
      <w:r>
        <w:rPr>
          <w:i/>
          <w:noProof/>
          <w:szCs w:val="24"/>
        </w:rPr>
        <w:t>tionchar cinntitheach a bheith acu ar ábhar na reachtaíochta a ghlacfaidh reachtas an Aontais Eorpaigh</w:t>
      </w:r>
      <w:r>
        <w:rPr>
          <w:noProof/>
        </w:rPr>
        <w:t>’</w:t>
      </w:r>
      <w:r>
        <w:rPr>
          <w:rStyle w:val="FootnoteReference"/>
          <w:noProof/>
          <w:szCs w:val="24"/>
        </w:rPr>
        <w:footnoteReference w:id="8"/>
      </w:r>
      <w:r>
        <w:rPr>
          <w:noProof/>
        </w:rPr>
        <w:t>.</w:t>
      </w:r>
    </w:p>
    <w:p>
      <w:pPr>
        <w:rPr>
          <w:noProof/>
          <w:szCs w:val="24"/>
        </w:rPr>
      </w:pPr>
      <w:r>
        <w:rPr>
          <w:noProof/>
        </w:rPr>
        <w:t>Dá bhrí sin, is é Airteagal 218(9) CFAE bunús dlí nós imeachta an chinnidh atáthar a mholadh lena mbunaítear an seasamh a ghlacfar thar ceann an Aontais san Eagraíocht Dhomhanda Chustaim, maidir le glacadh Nótaí Míniúcháin, Tuairimí maidir le hAicmiú agus comhairle eile mar threoraíocht le haghaidh léirmhíniú an Chórais Chomhchuibhithe faoin gCoinbhinsiún ar an gCóras Comhchuibhithe.</w:t>
      </w:r>
    </w:p>
    <w:p>
      <w:pPr>
        <w:pStyle w:val="ManualHeading2"/>
        <w:rPr>
          <w:i/>
          <w:noProof/>
          <w:szCs w:val="24"/>
        </w:rPr>
      </w:pPr>
      <w:r>
        <w:rPr>
          <w:i/>
          <w:noProof/>
          <w:szCs w:val="24"/>
        </w:rPr>
        <w:t>4.2.</w:t>
      </w:r>
      <w:r>
        <w:rPr>
          <w:i/>
          <w:noProof/>
          <w:szCs w:val="24"/>
        </w:rPr>
        <w:tab/>
      </w:r>
      <w:r>
        <w:rPr>
          <w:noProof/>
        </w:rPr>
        <w:t>Cur i bhfeidhm</w:t>
      </w:r>
      <w:r>
        <w:rPr>
          <w:i/>
          <w:noProof/>
          <w:szCs w:val="24"/>
        </w:rPr>
        <w:t xml:space="preserve"> maidir leis an gcás seo</w:t>
      </w:r>
    </w:p>
    <w:p>
      <w:pPr>
        <w:rPr>
          <w:noProof/>
          <w:szCs w:val="24"/>
        </w:rPr>
      </w:pPr>
      <w:r>
        <w:rPr>
          <w:noProof/>
        </w:rPr>
        <w:t>Is comhlachtaí iad an Coiste um an gCóras Comhchuibhithe agus an Chomhairle a bunaíodh le comhaontú, is é sin an Coinbhinsiún Idirnáisiúnta ar an gCóras Comhchuibhithe um Thuairisciú agus um Chódú Tráchtearraí.</w:t>
      </w:r>
    </w:p>
    <w:p>
      <w:pPr>
        <w:rPr>
          <w:noProof/>
          <w:szCs w:val="24"/>
        </w:rPr>
      </w:pPr>
      <w:r>
        <w:rPr>
          <w:noProof/>
        </w:rPr>
        <w:t>Gníomhartha a bhfuil éifeachtaí dlíthiúla leo atá sna gníomhartha a n</w:t>
      </w:r>
      <w:r>
        <w:rPr>
          <w:noProof/>
        </w:rPr>
        <w:noBreakHyphen/>
        <w:t>iarrtar ar an gCoiste um an gCóras Comhchuibhithe iad a ghlacadh. Na gníomhartha atá beartaithe, ar fhormheas ón gComhairle, d'fhéadfadh na cinntí sin tionchar cinniúnach a imirt ar ábhar reachtaíocht an Aontais, is é sin: Iarscríbhinn 1 a ghabhann le Rialachán (CEE) Uimh. 2658/87 ón gComhairle maidir leis an ainmníocht taraife agus staidrimh agus leis an gComhtharaif Chustaim. Is amhlaidh atá mar luaitear in Airteagal 34.7.(a)(iii) de Chód Custaim an Aontais</w:t>
      </w:r>
      <w:r>
        <w:rPr>
          <w:rStyle w:val="FootnoteReference"/>
          <w:noProof/>
          <w:szCs w:val="24"/>
        </w:rPr>
        <w:footnoteReference w:id="9"/>
      </w:r>
      <w:r>
        <w:rPr>
          <w:noProof/>
        </w:rPr>
        <w:t xml:space="preserve"> go “</w:t>
      </w:r>
      <w:r>
        <w:rPr>
          <w:i/>
          <w:noProof/>
          <w:szCs w:val="24"/>
        </w:rPr>
        <w:t>ndéanfaidh na húdaráis chustaim cinntí FTC</w:t>
      </w:r>
      <w:r>
        <w:rPr>
          <w:rStyle w:val="FootnoteReference"/>
          <w:i/>
          <w:noProof/>
          <w:szCs w:val="24"/>
        </w:rPr>
        <w:footnoteReference w:id="10"/>
      </w:r>
      <w:r>
        <w:rPr>
          <w:i/>
          <w:noProof/>
          <w:szCs w:val="24"/>
        </w:rPr>
        <w:t xml:space="preserve"> a chúlghairm...</w:t>
      </w:r>
      <w:r>
        <w:rPr>
          <w:noProof/>
        </w:rPr>
        <w:t xml:space="preserve"> </w:t>
      </w:r>
      <w:r>
        <w:rPr>
          <w:i/>
          <w:noProof/>
          <w:szCs w:val="24"/>
        </w:rPr>
        <w:t>i gcás nach mbeidh siad ag luí a thuilleadh le léiriú... atá mar thoradh ar... cinntí maidir le rangú, tuairimí nó leasuithe maidir le rangú ar na nótaí míniúcháin a ghabhann le hAinmníocht na Tuairisce Comhchuibhithe Tráchtearra agus an Chórais um Chódú, a ghlac an Eagraíocht a bhunaigh an Coinbhinsiún lena mbunaítear Comhairle Comhair Custaim</w:t>
      </w:r>
      <w:r>
        <w:rPr>
          <w:noProof/>
        </w:rPr>
        <w:t xml:space="preserve"> [an Coiste um an gCóras Chomhchuibhithe]</w:t>
      </w:r>
      <w:r>
        <w:rPr>
          <w:i/>
          <w:noProof/>
          <w:szCs w:val="24"/>
        </w:rPr>
        <w:t>;”</w:t>
      </w:r>
      <w:r>
        <w:rPr>
          <w:noProof/>
        </w:rPr>
        <w:t xml:space="preserve">. Thairis sin, is é an Coiste a ullmhaíonn cinntí den chineál sin (cinntí maidir le rangú, tuairimí nó </w:t>
      </w:r>
      <w:r>
        <w:rPr>
          <w:noProof/>
          <w:color w:val="000000"/>
          <w:szCs w:val="24"/>
        </w:rPr>
        <w:t>leasuithe ar na nótaí míniúcháin a ghabhann le hAinmníocht an Chórais Chomhchuibhithe)</w:t>
      </w:r>
      <w:r>
        <w:rPr>
          <w:noProof/>
        </w:rPr>
        <w:t xml:space="preserve"> chun tacú leis an aicmiú dá bhforáiltear i Rialacháin Cur Chun Feidhme an Choimisiúin maidir le haicmiú earraí san Ainmníocht Chomhcheangailte (AC), sna nótaí míniúcháin a ghabhann leis an AC agus sna cinntí maidir le haicmiú arna n</w:t>
      </w:r>
      <w:r>
        <w:rPr>
          <w:noProof/>
        </w:rPr>
        <w:noBreakHyphen/>
        <w:t>eisiúint ag údaráis chustaim na mBallstát. ní dhéanann an gníomh atá beartaithe creat institiúideach an Chomhaontaithe a fhorlíonadh ná a leasú.</w:t>
      </w:r>
    </w:p>
    <w:p>
      <w:pPr>
        <w:rPr>
          <w:noProof/>
          <w:szCs w:val="24"/>
        </w:rPr>
      </w:pPr>
      <w:r>
        <w:rPr>
          <w:noProof/>
        </w:rPr>
        <w:lastRenderedPageBreak/>
        <w:t>Dá bhrí sin, is é Airteagal 218(9) CFAE bunús dlí nós imeachta an chinnidh atáthar a mholadh.</w:t>
      </w:r>
    </w:p>
    <w:p>
      <w:pPr>
        <w:rPr>
          <w:noProof/>
          <w:szCs w:val="24"/>
        </w:rPr>
      </w:pPr>
    </w:p>
    <w:p>
      <w:pPr>
        <w:pStyle w:val="ManualHeading2"/>
        <w:rPr>
          <w:b w:val="0"/>
          <w:noProof/>
          <w:szCs w:val="24"/>
        </w:rPr>
      </w:pPr>
      <w:r>
        <w:rPr>
          <w:noProof/>
        </w:rPr>
        <w:t>4.3.</w:t>
      </w:r>
      <w:r>
        <w:rPr>
          <w:noProof/>
        </w:rPr>
        <w:tab/>
        <w:t>Bunús substainteach dlí</w:t>
      </w:r>
    </w:p>
    <w:p>
      <w:pPr>
        <w:pStyle w:val="ManualHeading3"/>
        <w:rPr>
          <w:noProof/>
          <w:szCs w:val="24"/>
        </w:rPr>
      </w:pPr>
      <w:r>
        <w:rPr>
          <w:noProof/>
        </w:rPr>
        <w:t>4.3.1.</w:t>
      </w:r>
      <w:r>
        <w:rPr>
          <w:noProof/>
        </w:rPr>
        <w:tab/>
        <w:t>Prionsabail</w:t>
      </w:r>
    </w:p>
    <w:p>
      <w:pPr>
        <w:rPr>
          <w:noProof/>
          <w:szCs w:val="24"/>
        </w:rPr>
      </w:pPr>
      <w:r>
        <w:rPr>
          <w:noProof/>
        </w:rPr>
        <w:t>An bunús dlí substainteach atá le cinneadh faoi Airteagal 218(9) CFAE, braitheann sé go príomha ar chuspóir agus ábhar an ghnímh atá beartaithe agus a bhfuiltear ag glacadh seasamh thar ceann an Aontais ina leith. Má shaothraítear dhá aidhm leis an ngníomh atá beartaithe nó má tá dhá chomhpháirt ann agus más féidir ceann de na haidhmeanna nó de na comhpháirteanna sin a shainaithint mar phríomhaidhm nó mar phríomh</w:t>
      </w:r>
      <w:r>
        <w:rPr>
          <w:noProof/>
        </w:rPr>
        <w:noBreakHyphen/>
        <w:t>chomhpháirt agus an ceann eile mar aidhm nó comhpháirt theagmhasach, ní mór an cinneadh faoi Airteagal 218(9) CFAE a bhunú ar bhunús substainteach dlí aonair, is é sin an bunús dlí a éilítear de réir na príomhaidhme nó na príomh</w:t>
      </w:r>
      <w:r>
        <w:rPr>
          <w:noProof/>
        </w:rPr>
        <w:noBreakHyphen/>
        <w:t>chomhpháirte.</w:t>
      </w:r>
    </w:p>
    <w:p>
      <w:pPr>
        <w:pStyle w:val="ManualHeading3"/>
        <w:rPr>
          <w:i w:val="0"/>
          <w:noProof/>
          <w:szCs w:val="24"/>
        </w:rPr>
      </w:pPr>
      <w:r>
        <w:rPr>
          <w:noProof/>
        </w:rPr>
        <w:t>4.3.2.</w:t>
      </w:r>
      <w:r>
        <w:rPr>
          <w:noProof/>
        </w:rPr>
        <w:tab/>
        <w:t>Cur i bhfeidhm maidir leis an gcás seo</w:t>
      </w:r>
    </w:p>
    <w:p>
      <w:pPr>
        <w:rPr>
          <w:noProof/>
          <w:szCs w:val="24"/>
        </w:rPr>
      </w:pPr>
      <w:r>
        <w:rPr>
          <w:noProof/>
        </w:rPr>
        <w:t>Ós rud é go mbaineann príomhchuspóir agus príomhábhar an ghnímh atá beartaithe le léirmhíniú na taraife agus tabhairt i gcrích comhaontú idirnáisiúnta sa chomhbheartas tráchtála, agus le cur chun feidhme Ainmníocht CC agus Ainmníocht Chomhcheangailte AE, is iad Airteagal 31, Airteagal 43(2) agus Airteagal 207(4), an chéad fhomhír, CFAE atá i mbunús substainteach dlí an chinnidh atáthar a mholadh.</w:t>
      </w:r>
    </w:p>
    <w:p>
      <w:pPr>
        <w:pStyle w:val="ManualHeading2"/>
        <w:rPr>
          <w:b w:val="0"/>
          <w:noProof/>
          <w:szCs w:val="24"/>
        </w:rPr>
      </w:pPr>
      <w:r>
        <w:rPr>
          <w:noProof/>
        </w:rPr>
        <w:t>4.</w:t>
      </w:r>
      <w:r>
        <w:rPr>
          <w:b w:val="0"/>
          <w:noProof/>
          <w:szCs w:val="24"/>
        </w:rPr>
        <w:t>4</w:t>
      </w:r>
      <w:r>
        <w:rPr>
          <w:noProof/>
        </w:rPr>
        <w:t xml:space="preserve">. </w:t>
      </w:r>
      <w:r>
        <w:rPr>
          <w:noProof/>
        </w:rPr>
        <w:tab/>
        <w:t>Conclúid</w:t>
      </w:r>
    </w:p>
    <w:p>
      <w:pPr>
        <w:rPr>
          <w:noProof/>
          <w:szCs w:val="24"/>
        </w:rPr>
      </w:pPr>
      <w:r>
        <w:rPr>
          <w:noProof/>
        </w:rPr>
        <w:t>Ba cheart Airteagal 31, Airteagal 43(2) agus an chéad fhomhír d'Airteagal 207(4) CFAE a bheith ina mbunús dlí don chinneadh atá beartaithe, i gcomhar le hAirteagal 218(9) CFAE.</w:t>
      </w:r>
    </w:p>
    <w:p>
      <w:pPr>
        <w:pStyle w:val="ManualHeading1"/>
        <w:rPr>
          <w:noProof/>
        </w:rPr>
      </w:pPr>
      <w:r>
        <w:rPr>
          <w:noProof/>
        </w:rPr>
        <w:t>5.</w:t>
      </w:r>
      <w:r>
        <w:rPr>
          <w:noProof/>
        </w:rPr>
        <w:tab/>
        <w:t xml:space="preserve">Impleachtaí Buiséadacha </w:t>
      </w:r>
    </w:p>
    <w:p>
      <w:pPr>
        <w:rPr>
          <w:noProof/>
          <w:szCs w:val="24"/>
        </w:rPr>
      </w:pPr>
      <w:r>
        <w:rPr>
          <w:noProof/>
        </w:rPr>
        <w:t xml:space="preserve">Níl aon impleacht ag an togra do bhuiséad an Aontais Eorpaigh. </w:t>
      </w:r>
    </w:p>
    <w:p>
      <w:pPr>
        <w:pStyle w:val="ManualHeading1"/>
        <w:rPr>
          <w:b w:val="0"/>
          <w:smallCaps w:val="0"/>
          <w:noProof/>
          <w:szCs w:val="24"/>
        </w:rPr>
      </w:pPr>
      <w:r>
        <w:rPr>
          <w:noProof/>
        </w:rPr>
        <w:t>6.</w:t>
      </w:r>
      <w:r>
        <w:rPr>
          <w:noProof/>
        </w:rPr>
        <w:tab/>
        <w:t>Foilseofar an gníomh atá beartaithe</w:t>
      </w:r>
    </w:p>
    <w:p>
      <w:pPr>
        <w:rPr>
          <w:noProof/>
          <w:szCs w:val="24"/>
        </w:rPr>
      </w:pPr>
      <w:r>
        <w:rPr>
          <w:noProof/>
        </w:rPr>
        <w:t>Foilseofar</w:t>
      </w:r>
    </w:p>
    <w:p>
      <w:pPr>
        <w:rPr>
          <w:noProof/>
          <w:szCs w:val="24"/>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2020/0080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 ghlacfar thar ceann an Aontais san Eagraíocht Dhomhanda Chustaim (EDC) i ndáil le glacadh Nótaí Míniúcháin, Tuairimí maidir le hAicmiú nó comhairle eile faoi léirmhíniú an Chórais Chomhchuibhithe agus moltaí chun aonfhoirmeacht a chinntiú maidir le léirmhíniú agus cur i bhfeidhm an Chórais Chomhchuibhithe faoin gCoinbhinsiún ar an gCóras Comhchuibhithe</w:t>
      </w:r>
    </w:p>
    <w:p>
      <w:pPr>
        <w:pStyle w:val="Institutionquiagit"/>
        <w:rPr>
          <w:b/>
          <w:noProof/>
          <w:szCs w:val="24"/>
        </w:rPr>
      </w:pPr>
      <w:r>
        <w:rPr>
          <w:b/>
          <w:noProof/>
          <w:szCs w:val="24"/>
        </w:rPr>
        <w:t>TÁ COMHAIRLE AN AONTAIS EORPAIGH,</w:t>
      </w:r>
    </w:p>
    <w:p>
      <w:pPr>
        <w:rPr>
          <w:noProof/>
          <w:szCs w:val="24"/>
        </w:rPr>
      </w:pPr>
      <w:r>
        <w:rPr>
          <w:noProof/>
        </w:rPr>
        <w:t>Ag féachaint don Chonradh ar Fheidhmiú an Aontais Eorpaigh, agus go háirithe Airteagal 31 agus airteagal 43(2) agus an chéad fhomhír d'Airteagal 207(4) de, i gcomhar le hAirteagal 218(9) de,</w:t>
      </w:r>
    </w:p>
    <w:p>
      <w:pPr>
        <w:rPr>
          <w:noProof/>
          <w:szCs w:val="24"/>
        </w:rPr>
      </w:pPr>
      <w:r>
        <w:rPr>
          <w:noProof/>
        </w:rPr>
        <w:t>Ag féachaint don togra ón gCoimisiún Eorpach,</w:t>
      </w:r>
    </w:p>
    <w:p>
      <w:pPr>
        <w:rPr>
          <w:noProof/>
          <w:szCs w:val="24"/>
        </w:rPr>
      </w:pPr>
      <w:r>
        <w:rPr>
          <w:noProof/>
        </w:rPr>
        <w:t>De bharr an mhéid seo a leanas:</w:t>
      </w:r>
    </w:p>
    <w:p>
      <w:pPr>
        <w:pStyle w:val="ManualConsidrant"/>
        <w:rPr>
          <w:noProof/>
          <w:szCs w:val="24"/>
        </w:rPr>
      </w:pPr>
      <w:r>
        <w:t>(1)</w:t>
      </w:r>
      <w:r>
        <w:tab/>
      </w:r>
      <w:r>
        <w:rPr>
          <w:noProof/>
        </w:rPr>
        <w:t>Le Cinneadh 87/369/CEE</w:t>
      </w:r>
      <w:r>
        <w:rPr>
          <w:rStyle w:val="FootnoteReference"/>
          <w:noProof/>
          <w:szCs w:val="24"/>
        </w:rPr>
        <w:footnoteReference w:id="11"/>
      </w:r>
      <w:r>
        <w:rPr>
          <w:noProof/>
        </w:rPr>
        <w:t xml:space="preserve"> ón gComhairle, d'fhormheas an tAontas an Coinbhinsiún Idirnáisiúnta ar an gCóras Comhchuibhithe um Thuairisciú agus um Chódú Tráchtearraí, agus an Prótacal lena ndéantar leasú air</w:t>
      </w:r>
      <w:r>
        <w:rPr>
          <w:rStyle w:val="FootnoteReference"/>
          <w:noProof/>
          <w:szCs w:val="24"/>
        </w:rPr>
        <w:footnoteReference w:id="12"/>
      </w:r>
      <w:r>
        <w:rPr>
          <w:noProof/>
        </w:rPr>
        <w:t xml:space="preserve"> (Coinbhinsiún CC), rud a bhunaigh an Coiste um an gCóras Comhchuibhithe (CCC). </w:t>
      </w:r>
    </w:p>
    <w:p>
      <w:pPr>
        <w:pStyle w:val="ManualConsidrant"/>
        <w:rPr>
          <w:noProof/>
          <w:szCs w:val="24"/>
        </w:rPr>
      </w:pPr>
      <w:r>
        <w:t>(2)</w:t>
      </w:r>
      <w:r>
        <w:tab/>
      </w:r>
      <w:r>
        <w:rPr>
          <w:noProof/>
        </w:rPr>
        <w:t xml:space="preserve">De bhun Airteagal 7(1) de Choinbhinsiún CC, tá CCC, </w:t>
      </w:r>
      <w:r>
        <w:rPr>
          <w:i/>
          <w:noProof/>
        </w:rPr>
        <w:t>inter alia</w:t>
      </w:r>
      <w:r>
        <w:rPr>
          <w:noProof/>
        </w:rPr>
        <w:t>, freagrach as Nótaí Míniúcháin, Tuairimí maidir le hAicmiú, comhairle eile faoi léirmhíniú an Chórais Chomhchuibhithe agus moltaí chun aonfhoirmeacht a chinntiú maidir le léirmhíniú agus cur i bhfeidhm an Chórais Chomhchuibhithe a ullmhú.</w:t>
      </w:r>
    </w:p>
    <w:p>
      <w:pPr>
        <w:pStyle w:val="ManualConsidrant"/>
        <w:rPr>
          <w:noProof/>
          <w:szCs w:val="24"/>
        </w:rPr>
      </w:pPr>
      <w:r>
        <w:t>(3)</w:t>
      </w:r>
      <w:r>
        <w:tab/>
      </w:r>
      <w:r>
        <w:rPr>
          <w:noProof/>
        </w:rPr>
        <w:t>De bhun Airteagal 8(2) de Choinbhinsiún CC, Nótaí Míniúcháin, Tuairimí maidir le hAicmiú, comhairle eile faoi léirmhíniú an Chórais Chomhchuibhithe agus moltaí chun aonfhoirmeacht a chinntiú maidir le léirmhíniú agus cur i bhfeidhm an Chórais Chomhchuibhithe a ullmhaítear le linn seisiún de Choiste CC (dá ngairfear “cinntí ón gCoiste um an gCóras Comhchuibhithe” anseo feasta), meastar iad go léir a bheith faofa ag Comhairle EDC i gcás, nach déanaí ná deireadh an dara mí tar éis na míosa ar dúnadh an seisiún inar glacadh iad lena linn, i gcás nach bhfuil fógra ó aon Pháirtí Conarthach i gCoinbhinsiún CC tugtha d'Ard</w:t>
      </w:r>
      <w:r>
        <w:rPr>
          <w:noProof/>
        </w:rPr>
        <w:noBreakHyphen/>
        <w:t>Rúnaí na hEagraíochta Domhanda Custaim go n</w:t>
      </w:r>
      <w:r>
        <w:rPr>
          <w:noProof/>
        </w:rPr>
        <w:noBreakHyphen/>
        <w:t>iarann sé cúrsaí den chineál sin a thabhairt faoi bhráid Chomhairle EDC.</w:t>
      </w:r>
    </w:p>
    <w:p>
      <w:pPr>
        <w:pStyle w:val="ManualConsidrant"/>
        <w:rPr>
          <w:noProof/>
          <w:szCs w:val="24"/>
        </w:rPr>
      </w:pPr>
      <w:r>
        <w:t>(4)</w:t>
      </w:r>
      <w:r>
        <w:tab/>
      </w:r>
      <w:r>
        <w:rPr>
          <w:noProof/>
        </w:rPr>
        <w:t>De bhun Airteagal 8(3) de Choinbhinsiún CC, i gcás ina bhfuil cúrsaí tugtha faoi bhráid na Comhairle faoi fhorálacha mhír 2 den Airteagal seo, formheasann an Chomhairle Nótaí Míniúcháin, Tuairimí maidir le hAicmiú agus comhairle nó moltaí eile den chineál sin, mura n</w:t>
      </w:r>
      <w:r>
        <w:rPr>
          <w:noProof/>
        </w:rPr>
        <w:noBreakHyphen/>
        <w:t xml:space="preserve">iarrann aon Bhall den Chomhairle is Páirtí Conarthach sa </w:t>
      </w:r>
      <w:r>
        <w:rPr>
          <w:noProof/>
        </w:rPr>
        <w:lastRenderedPageBreak/>
        <w:t>Choinbhinsiún é go dtabharfar faoi bhráid an Choiste iad, ina n</w:t>
      </w:r>
      <w:r>
        <w:rPr>
          <w:noProof/>
        </w:rPr>
        <w:noBreakHyphen/>
        <w:t>iomláine nó i bpáirt le haghaidh athscrúdú.</w:t>
      </w:r>
    </w:p>
    <w:p>
      <w:pPr>
        <w:pStyle w:val="ManualConsidrant"/>
        <w:rPr>
          <w:noProof/>
          <w:szCs w:val="24"/>
        </w:rPr>
      </w:pPr>
      <w:r>
        <w:t>(5)</w:t>
      </w:r>
      <w:r>
        <w:tab/>
      </w:r>
      <w:r>
        <w:rPr>
          <w:noProof/>
        </w:rPr>
        <w:t>An seasamh a ghlacfar thar ceann an Aontais san Eagraíocht Dhomhanda Chustaim maidir le glacadh Nótaí Míniúcháin, Tuairimí maidir le hAicmiú agus comhairle eile faoi léirmhíniú an Chórais Chomhchuibhithe agus moltaí chun aonfhoirmeacht maidir le léirmhíniú an Choinbhinsiúin ar an gCóras Comhchuibhithe a chinntiú, is iomchuí an seasamh sin a bhunú mar féadfaidh na cinntí sin a ullmhaíonn an Coiste um an gCóras Comhchuibhithe tionchar cinntitheach a imirt ar dhlí an Aontais, is é sin, Rialachán (CEE) Uimh. 2658/87 ón gComhairle.</w:t>
      </w:r>
    </w:p>
    <w:p>
      <w:pPr>
        <w:pStyle w:val="ManualConsidrant"/>
        <w:rPr>
          <w:noProof/>
          <w:szCs w:val="24"/>
        </w:rPr>
      </w:pPr>
      <w:r>
        <w:t>(6)</w:t>
      </w:r>
      <w:r>
        <w:tab/>
      </w:r>
      <w:r>
        <w:rPr>
          <w:noProof/>
        </w:rPr>
        <w:t>Is chun leasa an Aontais é go mbunaítear na seasaimh a léiríonn an tAontas i CCC de réir prionsabail, critéir agus treoshuíomh lena rialaítear aicmiú earraí de réir taraife. Is chun leasa an Aontais é freisin go mbunaítear seasaimh den chineál sin go tapa chun go gceadófar don Aontas a chearta a fheidhmiú i CCC.</w:t>
      </w:r>
    </w:p>
    <w:p>
      <w:pPr>
        <w:pStyle w:val="ManualConsidrant"/>
        <w:rPr>
          <w:noProof/>
          <w:szCs w:val="24"/>
        </w:rPr>
      </w:pPr>
      <w:r>
        <w:t>(7)</w:t>
      </w:r>
      <w:r>
        <w:tab/>
      </w:r>
      <w:r>
        <w:rPr>
          <w:noProof/>
        </w:rPr>
        <w:t>Chun cearta an Aontais a chaomhnú, ba cheart don Choimisiún a bheith in ann a iarraidh thar ceann an Aontais go dtabharfar an t</w:t>
      </w:r>
      <w:r>
        <w:rPr>
          <w:noProof/>
        </w:rPr>
        <w:noBreakHyphen/>
        <w:t>ábhar faoi bhráid Chomhairle EDC agus faoi bhráid an Choiste CC le haghaidh athscrúdú de bhun Airteagal 8(3) den Choinbhinsiún ar an gCóras Comhchuibhithe, chun é a sheachaint go nglacfaí cinneadh maidir le hábhar nach féidir leis an gComhairle seasamh a ghlacadh ina leith roimh dhul in éag don sprioc-am a thuartar faoi Airteagal 8(2) den Choinbhinsiún ar an gCóras Comhchuibhithe, nó i gcas ina nglacfaí seasamh a bhfuil difear substaintiúil ann idir an cinneadh féin agus an cinneadh a ghlac an Coiste CC.</w:t>
      </w:r>
    </w:p>
    <w:p>
      <w:pPr>
        <w:pStyle w:val="ManualConsidrant"/>
        <w:rPr>
          <w:noProof/>
          <w:szCs w:val="24"/>
        </w:rPr>
      </w:pPr>
      <w:r>
        <w:t>(8)</w:t>
      </w:r>
      <w:r>
        <w:tab/>
      </w:r>
      <w:r>
        <w:rPr>
          <w:noProof/>
        </w:rPr>
        <w:t>I bhfianaise a athraitheach agus a theicniúil is atá aicmiú na n</w:t>
      </w:r>
      <w:r>
        <w:rPr>
          <w:noProof/>
        </w:rPr>
        <w:noBreakHyphen/>
        <w:t>earraí faoi Choinbhinsiún CC, i bhfianaise líon ard na gceisteanna a phléitear i rith an dá chruinniú CCC a reáchtálfar dhá uair sa bhliain, agus i bhfianaise na tréimhse giorra ama atá ar fáil chun na doiciméad a eisíonn Rúnaíocht EDC agus/nó Páirtithe Conarthacha mar ullmhúchán do chruinnithe CCC agus an gá atá ann dá bhrí sin go gcuirfí forbairtí nua san áireamh sa seasamh ón Aontas, lena n</w:t>
      </w:r>
      <w:r>
        <w:rPr>
          <w:noProof/>
        </w:rPr>
        <w:noBreakHyphen/>
        <w:t>áirítear faisnéis theicniúil nua nó faisnéis ábhartha eile a chuirtear i láthair roimh nó le linn chruinnithe CCC, ba cheart na bearta is gá a bhunú, i gcomhréir le prionsabal an chomhair dhílis idir institiúidí an Aontais mar a chumhdaítear in Airteagal 13(2) den Chonradh ar an Aontas Eorpach, le haghaidh shonraíocht an tseasaimh ón Aontais,</w:t>
      </w:r>
    </w:p>
    <w:p>
      <w:pPr>
        <w:pStyle w:val="Formuledadoption"/>
        <w:rPr>
          <w:noProof/>
          <w:szCs w:val="24"/>
        </w:rPr>
      </w:pPr>
      <w:r>
        <w:rPr>
          <w:noProof/>
        </w:rPr>
        <w:t>TAR ÉIS AN CINNEADH SEO A GHLACADH:</w:t>
      </w:r>
    </w:p>
    <w:p>
      <w:pPr>
        <w:pStyle w:val="Titrearticle"/>
        <w:rPr>
          <w:noProof/>
          <w:szCs w:val="24"/>
        </w:rPr>
      </w:pPr>
      <w:r>
        <w:rPr>
          <w:noProof/>
        </w:rPr>
        <w:t>Airteagal 1</w:t>
      </w:r>
    </w:p>
    <w:p>
      <w:pPr>
        <w:rPr>
          <w:i/>
          <w:noProof/>
        </w:rPr>
      </w:pPr>
      <w:r>
        <w:rPr>
          <w:noProof/>
        </w:rPr>
        <w:t>Is in Iarscríbhinn I a leagtar amach an seasamh a ghlacfar thar ceann an Aontais maidir le formheas na Nótaí Míniúcháin, na dTuairimí maidir le hAicmiú nó na comhairle eile faoi léirmhíniú an Chórais Chomhchuibhithe agus moltaí chun aonfhoirmeacht maidir le léirmhíniú an Chórais Chomhchuibhithe a chinntiú faoin gCoinbhinsiún ar an gCóras Comhchuibhithe, agus maidir le gníomhartha den chineál sin a ullmhú san Eagraíocht Dhomhanda Chustaim.</w:t>
      </w:r>
    </w:p>
    <w:p>
      <w:pPr>
        <w:pStyle w:val="Titrearticle"/>
        <w:rPr>
          <w:noProof/>
          <w:szCs w:val="24"/>
        </w:rPr>
      </w:pPr>
      <w:r>
        <w:rPr>
          <w:noProof/>
        </w:rPr>
        <w:t>Airteagal 2</w:t>
      </w:r>
    </w:p>
    <w:p>
      <w:pPr>
        <w:rPr>
          <w:noProof/>
          <w:szCs w:val="24"/>
        </w:rPr>
      </w:pPr>
      <w:r>
        <w:rPr>
          <w:noProof/>
        </w:rPr>
        <w:t>Ba cheart sonraíocht an tseasaimh a ghlacfar thar ceann an Aontais faoi Airteagal 1 a dhéanamh i gcomhréir le hIarscríbhinn II.</w:t>
      </w:r>
    </w:p>
    <w:p>
      <w:pPr>
        <w:pStyle w:val="Titrearticle"/>
        <w:rPr>
          <w:noProof/>
          <w:szCs w:val="24"/>
        </w:rPr>
      </w:pPr>
      <w:r>
        <w:rPr>
          <w:noProof/>
        </w:rPr>
        <w:lastRenderedPageBreak/>
        <w:t>Airteagal 3</w:t>
      </w:r>
    </w:p>
    <w:p>
      <w:pPr>
        <w:rPr>
          <w:noProof/>
          <w:szCs w:val="24"/>
        </w:rPr>
      </w:pPr>
      <w:r>
        <w:rPr>
          <w:noProof/>
        </w:rPr>
        <w:t>Dírítear an Cinneadh seo chuig an gCoimisiún</w:t>
      </w:r>
      <w:r>
        <w:rPr>
          <w:i/>
          <w:noProof/>
          <w:szCs w:val="24"/>
        </w:rPr>
        <w:t>.</w:t>
      </w:r>
    </w:p>
    <w:p>
      <w:pPr>
        <w:pStyle w:val="Fait"/>
        <w:rPr>
          <w:noProof/>
        </w:rPr>
      </w:pPr>
      <w:r>
        <w:t>Arna dhéanamh sa Bhruiséil,</w:t>
      </w:r>
    </w:p>
    <w:p>
      <w:pPr>
        <w:pStyle w:val="Institutionquisigne"/>
        <w:rPr>
          <w:noProof/>
          <w:szCs w:val="24"/>
        </w:rPr>
      </w:pPr>
      <w:r>
        <w:rPr>
          <w:noProof/>
        </w:rPr>
        <w:tab/>
        <w:t>Thar ceann na Comhairle</w:t>
      </w:r>
    </w:p>
    <w:p>
      <w:pPr>
        <w:pStyle w:val="Personnequisigne"/>
        <w:rPr>
          <w:noProof/>
          <w:szCs w:val="24"/>
        </w:rPr>
      </w:pPr>
      <w:r>
        <w:rPr>
          <w:noProof/>
        </w:rPr>
        <w:tab/>
        <w:t>An tUachtarán</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Ó cuireadh tús leis in 1988, rinneadh athbhreithniú ar Ainmníocht CC faoi sé. Tháinig na leaganacha athbhreithnithe sin i bhfeidhm in 1996, 2002, 2007, 2012 agus 2017. Tiocfaidh an séú leagan athbhreithnithe di i bhfeidhm in 2022.</w:t>
      </w:r>
    </w:p>
  </w:footnote>
  <w:footnote w:id="2">
    <w:p>
      <w:pPr>
        <w:pStyle w:val="FootnoteText"/>
      </w:pPr>
      <w:r>
        <w:rPr>
          <w:rStyle w:val="FootnoteReference"/>
        </w:rPr>
        <w:footnoteRef/>
      </w:r>
      <w:r>
        <w:tab/>
        <w:t>Cinneadh 87/369 ón gComhairle an 7 Aibreán 1987 maidir leis an gCoinbhinsiún Idirnáisiúnta ar an</w:t>
      </w:r>
      <w:r>
        <w:rPr>
          <w:color w:val="0000FF"/>
          <w:sz w:val="24"/>
          <w:szCs w:val="22"/>
        </w:rPr>
        <w:t xml:space="preserve"> </w:t>
      </w:r>
      <w:r>
        <w:t>gCóras Comhchuibhithe um Thuairisciú agus um Chódú Tráchtearraí, agus an Prótacal lena ndéantar leasú air, a thabhairt i gcrích (IO L 198, 20.7.1987, lch.1).</w:t>
      </w:r>
    </w:p>
  </w:footnote>
  <w:footnote w:id="3">
    <w:p>
      <w:pPr>
        <w:pStyle w:val="FootnoteText"/>
      </w:pPr>
      <w:r>
        <w:rPr>
          <w:rStyle w:val="FootnoteReference"/>
        </w:rPr>
        <w:footnoteRef/>
      </w:r>
      <w:r>
        <w:tab/>
        <w:t>IO L 269, 10.10.2013, lch. 1.</w:t>
      </w:r>
    </w:p>
  </w:footnote>
  <w:footnote w:id="4">
    <w:p>
      <w:pPr>
        <w:pStyle w:val="FootnoteText"/>
      </w:pPr>
      <w:r>
        <w:rPr>
          <w:rStyle w:val="FootnoteReference"/>
        </w:rPr>
        <w:footnoteRef/>
      </w:r>
      <w:r>
        <w:tab/>
        <w:t>Glacadh sealadach de Mholadh 2022 CC</w:t>
      </w:r>
    </w:p>
  </w:footnote>
  <w:footnote w:id="5">
    <w:p>
      <w:pPr>
        <w:pStyle w:val="FootnoteText"/>
      </w:pPr>
      <w:r>
        <w:rPr>
          <w:rStyle w:val="FootnoteReference"/>
        </w:rPr>
        <w:footnoteRef/>
      </w:r>
      <w:r>
        <w:tab/>
        <w:t>Lena n</w:t>
      </w:r>
      <w:r>
        <w:noBreakHyphen/>
        <w:t>áirítear Meitheal Réamh</w:t>
      </w:r>
      <w:r>
        <w:noBreakHyphen/>
        <w:t>sheisiúnach CC</w:t>
      </w:r>
    </w:p>
  </w:footnote>
  <w:footnote w:id="6">
    <w:p>
      <w:pPr>
        <w:pStyle w:val="FootnoteText"/>
        <w:ind w:left="142" w:hanging="142"/>
      </w:pPr>
      <w:r>
        <w:rPr>
          <w:rStyle w:val="FootnoteReference"/>
        </w:rPr>
        <w:footnoteRef/>
      </w:r>
      <w:r>
        <w:tab/>
        <w:t>Tá nós imeachta cinnteoireachta ar leith i bhfeidhm maidir le leasuithe a dhéanamh ar Ainmníocht CC agus ní chumhdaítear iad leis an togra seo.</w:t>
      </w:r>
    </w:p>
  </w:footnote>
  <w:footnote w:id="7">
    <w:p>
      <w:pPr>
        <w:pStyle w:val="FootnoteText"/>
      </w:pPr>
      <w:r>
        <w:rPr>
          <w:rStyle w:val="FootnoteReference"/>
        </w:rPr>
        <w:footnoteRef/>
      </w:r>
      <w:r>
        <w:tab/>
        <w:t>Lena n</w:t>
      </w:r>
      <w:r>
        <w:noBreakHyphen/>
        <w:t>áirítear Meitheal Réamh</w:t>
      </w:r>
      <w:r>
        <w:noBreakHyphen/>
        <w:t>sheisiúnach CC</w:t>
      </w:r>
    </w:p>
  </w:footnote>
  <w:footnote w:id="8">
    <w:p>
      <w:pPr>
        <w:pStyle w:val="FootnoteText"/>
      </w:pPr>
      <w:r>
        <w:rPr>
          <w:rStyle w:val="FootnoteReference"/>
        </w:rPr>
        <w:footnoteRef/>
      </w:r>
      <w:r>
        <w:tab/>
        <w:t xml:space="preserve">Breithiúnas ó Chúirt Bhreithiúnais an Aontais Eorpaigh an 7 Deireadh Fómhair 2014, An Ghearmáin v an Chomhairle, Cás C-399/12, ECLI:EU:C:2014:2258, míreanna 61 go 64. </w:t>
      </w:r>
    </w:p>
  </w:footnote>
  <w:footnote w:id="9">
    <w:p>
      <w:pPr>
        <w:pStyle w:val="FootnoteText"/>
      </w:pPr>
      <w:r>
        <w:rPr>
          <w:rStyle w:val="FootnoteReference"/>
        </w:rPr>
        <w:footnoteRef/>
      </w:r>
      <w:r>
        <w:tab/>
        <w:t>Rialachán (AE) Uimh. 952/2013 ó Pharlaimint na hEorpa agus ón gComhairle an 9 Deireadh Fómhair 2013 lena leagtar síos Cód Custaim an Aontais, IO L 269, 10.10.2013, lch. 1.</w:t>
      </w:r>
    </w:p>
  </w:footnote>
  <w:footnote w:id="10">
    <w:p>
      <w:pPr>
        <w:pStyle w:val="FootnoteText"/>
      </w:pPr>
      <w:r>
        <w:rPr>
          <w:rStyle w:val="FootnoteReference"/>
        </w:rPr>
        <w:footnoteRef/>
      </w:r>
      <w:r>
        <w:tab/>
        <w:t>Faisnéis taraife cheangailteach: cinntí maidir le haicmiú ó na húdaráis chustaim nó oibreoirí eacnamaíocha a dhéantar roimh ré, chun deimhneacht dhlíthiúil a chinntiú faoi aicmiú agus láimhseáil taraife is infheidhme maidir le hearraí faoi réir allmhairithe nó onnmhairithe.</w:t>
      </w:r>
      <w:r>
        <w:rPr>
          <w:i/>
        </w:rPr>
        <w:t xml:space="preserve"> </w:t>
      </w:r>
    </w:p>
  </w:footnote>
  <w:footnote w:id="11">
    <w:p>
      <w:pPr>
        <w:pStyle w:val="FootnoteText"/>
        <w:rPr>
          <w:rFonts w:eastAsia="Times New Roman"/>
        </w:rPr>
      </w:pPr>
      <w:r>
        <w:rPr>
          <w:rStyle w:val="FootnoteReference"/>
        </w:rPr>
        <w:footnoteRef/>
      </w:r>
      <w:r>
        <w:tab/>
        <w:t>Cinneadh 87/369/CEE ón gComhairle an 7 Aibreán 1987 maidir leis an gCoinbhinsiún Idirnáisiúnta ar an gCóras Comhchuibhithe um Thuairisciú agus um Chódú Tráchtearraí, agus an Prótacal lena ndéantar leasú air, a thabhairt i gcrích (</w:t>
      </w:r>
      <w:hyperlink r:id="rId1" w:history="1">
        <w:r>
          <w:t>IO L 198, 20.7.1987, lch. 1</w:t>
        </w:r>
      </w:hyperlink>
      <w:r>
        <w:t>).</w:t>
      </w:r>
    </w:p>
    <w:p>
      <w:pPr>
        <w:pStyle w:val="FootnoteText"/>
      </w:pPr>
    </w:p>
  </w:footnote>
  <w:footnote w:id="12">
    <w:p>
      <w:pPr>
        <w:pStyle w:val="FootnoteText"/>
        <w:rPr>
          <w:rFonts w:eastAsia="Times New Roman"/>
        </w:rPr>
      </w:pPr>
      <w:r>
        <w:rPr>
          <w:rStyle w:val="FootnoteReference"/>
        </w:rPr>
        <w:footnoteRef/>
      </w:r>
      <w:r>
        <w:tab/>
        <w:t>IO L 198, 20.7.1987, lch. 3</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4"/>
    <w:lvlOverride w:ilvl="0">
      <w:startOverride w:val="1"/>
    </w:lvlOverride>
  </w:num>
  <w:num w:numId="10">
    <w:abstractNumId w:val="11"/>
  </w:num>
  <w:num w:numId="11">
    <w:abstractNumId w:val="22"/>
  </w:num>
  <w:num w:numId="12">
    <w:abstractNumId w:val="22"/>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0"/>
  </w:num>
  <w:num w:numId="18">
    <w:abstractNumId w:val="13"/>
  </w:num>
  <w:num w:numId="19">
    <w:abstractNumId w:val="8"/>
  </w:num>
  <w:num w:numId="20">
    <w:abstractNumId w:val="19"/>
  </w:num>
  <w:num w:numId="21">
    <w:abstractNumId w:val="7"/>
  </w:num>
  <w:num w:numId="22">
    <w:abstractNumId w:val="14"/>
  </w:num>
  <w:num w:numId="23">
    <w:abstractNumId w:val="16"/>
  </w:num>
  <w:num w:numId="24">
    <w:abstractNumId w:val="17"/>
  </w:num>
  <w:num w:numId="25">
    <w:abstractNumId w:val="9"/>
  </w:num>
  <w:num w:numId="26">
    <w:abstractNumId w:val="15"/>
  </w:num>
  <w:num w:numId="27">
    <w:abstractNumId w:val="22"/>
  </w:num>
  <w:num w:numId="28">
    <w:abstractNumId w:val="18"/>
  </w:num>
  <w:num w:numId="29">
    <w:abstractNumId w:val="12"/>
  </w:num>
  <w:num w:numId="30">
    <w:abstractNumId w:val="20"/>
  </w:num>
  <w:num w:numId="31">
    <w:abstractNumId w:val="10"/>
  </w:num>
  <w:num w:numId="32">
    <w:abstractNumId w:val="13"/>
  </w:num>
  <w:num w:numId="33">
    <w:abstractNumId w:val="8"/>
  </w:num>
  <w:num w:numId="34">
    <w:abstractNumId w:val="19"/>
  </w:num>
  <w:num w:numId="35">
    <w:abstractNumId w:val="7"/>
  </w:num>
  <w:num w:numId="36">
    <w:abstractNumId w:val="14"/>
  </w:num>
  <w:num w:numId="37">
    <w:abstractNumId w:val="16"/>
  </w:num>
  <w:num w:numId="38">
    <w:abstractNumId w:val="17"/>
  </w:num>
  <w:num w:numId="39">
    <w:abstractNumId w:val="9"/>
  </w:num>
  <w:num w:numId="40">
    <w:abstractNumId w:val="15"/>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11 13:13: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CE43457-CB9E-4600-9CD9-88A4ABD6EAE1"/>
    <w:docVar w:name="LW_COVERPAGE_TYPE" w:val="1"/>
    <w:docVar w:name="LW_CROSSREFERENCE" w:val="&lt;UNUSED&gt;"/>
    <w:docVar w:name="LW_DocType" w:val="COM"/>
    <w:docVar w:name="LW_EMISSION" w:val="15.5.2020"/>
    <w:docVar w:name="LW_EMISSION_ISODATE" w:val="2020-05-15"/>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80"/>
    <w:docVar w:name="LW_REF.II.NEW.CP_YEAR" w:val="2020"/>
    <w:docVar w:name="LW_REF.INST.NEW" w:val="COM"/>
    <w:docVar w:name="LW_REF.INST.NEW_ADOPTED" w:val="final"/>
    <w:docVar w:name="LW_REF.INST.NEW_TEXT" w:val="(2020) 1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 ghlacfar thar ceann an Aontais san Eagraíocht Dhomhanda Chustaim (EDC) i ndáil le glacadh Nótaí Míniúcháin, Tuairimí maidir le hAicmiú nó comhairle eile faoi léirmhíniú an Chórais Chomhchuibhithe agus moltaí chun aonfhoirmeacht a chinntiú maidir le léirmhíniú agus cur i bhfeidhm an Chórais Chomhchuibhithe faoin gCoinbhinsiún ar an gCóras Comhchuibhithe"/>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0"/>
      </w:numPr>
      <w:spacing w:line="360" w:lineRule="auto"/>
    </w:pPr>
  </w:style>
  <w:style w:type="paragraph" w:customStyle="1" w:styleId="LegalNumPar2">
    <w:name w:val="LegalNumPar2"/>
    <w:basedOn w:val="Normal"/>
    <w:pPr>
      <w:numPr>
        <w:ilvl w:val="1"/>
        <w:numId w:val="10"/>
      </w:numPr>
      <w:spacing w:line="360" w:lineRule="auto"/>
    </w:pPr>
  </w:style>
  <w:style w:type="paragraph" w:customStyle="1" w:styleId="LegalNumPar3">
    <w:name w:val="LegalNumPar3"/>
    <w:basedOn w:val="Normal"/>
    <w:pPr>
      <w:numPr>
        <w:ilvl w:val="2"/>
        <w:numId w:val="10"/>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
    <w:name w:val="italic"/>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pPr>
      <w:numPr>
        <w:numId w:val="1"/>
      </w:numPr>
    </w:pPr>
    <w:rPr>
      <w:rFonts w:eastAsia="Times New Roman"/>
      <w:lang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0"/>
      </w:numPr>
      <w:spacing w:line="360" w:lineRule="auto"/>
    </w:pPr>
  </w:style>
  <w:style w:type="paragraph" w:customStyle="1" w:styleId="LegalNumPar2">
    <w:name w:val="LegalNumPar2"/>
    <w:basedOn w:val="Normal"/>
    <w:pPr>
      <w:numPr>
        <w:ilvl w:val="1"/>
        <w:numId w:val="10"/>
      </w:numPr>
      <w:spacing w:line="360" w:lineRule="auto"/>
    </w:pPr>
  </w:style>
  <w:style w:type="paragraph" w:customStyle="1" w:styleId="LegalNumPar3">
    <w:name w:val="LegalNumPar3"/>
    <w:basedOn w:val="Normal"/>
    <w:pPr>
      <w:numPr>
        <w:ilvl w:val="2"/>
        <w:numId w:val="10"/>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italic">
    <w:name w:val="italic"/>
    <w:basedOn w:val="DefaultParagraphFon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843">
      <w:bodyDiv w:val="1"/>
      <w:marLeft w:val="0"/>
      <w:marRight w:val="0"/>
      <w:marTop w:val="0"/>
      <w:marBottom w:val="0"/>
      <w:divBdr>
        <w:top w:val="none" w:sz="0" w:space="0" w:color="auto"/>
        <w:left w:val="none" w:sz="0" w:space="0" w:color="auto"/>
        <w:bottom w:val="none" w:sz="0" w:space="0" w:color="auto"/>
        <w:right w:val="none" w:sz="0" w:space="0" w:color="auto"/>
      </w:divBdr>
    </w:div>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351344322">
      <w:bodyDiv w:val="1"/>
      <w:marLeft w:val="0"/>
      <w:marRight w:val="0"/>
      <w:marTop w:val="0"/>
      <w:marBottom w:val="0"/>
      <w:divBdr>
        <w:top w:val="none" w:sz="0" w:space="0" w:color="auto"/>
        <w:left w:val="none" w:sz="0" w:space="0" w:color="auto"/>
        <w:bottom w:val="none" w:sz="0" w:space="0" w:color="auto"/>
        <w:right w:val="none" w:sz="0" w:space="0" w:color="auto"/>
      </w:divBdr>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103258190">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369910112">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1810898029">
      <w:bodyDiv w:val="1"/>
      <w:marLeft w:val="0"/>
      <w:marRight w:val="0"/>
      <w:marTop w:val="0"/>
      <w:marBottom w:val="0"/>
      <w:divBdr>
        <w:top w:val="none" w:sz="0" w:space="0" w:color="auto"/>
        <w:left w:val="none" w:sz="0" w:space="0" w:color="auto"/>
        <w:bottom w:val="none" w:sz="0" w:space="0" w:color="auto"/>
        <w:right w:val="none" w:sz="0" w:space="0" w:color="auto"/>
      </w:divBdr>
    </w:div>
    <w:div w:id="1929732680">
      <w:bodyDiv w:val="1"/>
      <w:marLeft w:val="0"/>
      <w:marRight w:val="0"/>
      <w:marTop w:val="0"/>
      <w:marBottom w:val="0"/>
      <w:divBdr>
        <w:top w:val="none" w:sz="0" w:space="0" w:color="auto"/>
        <w:left w:val="none" w:sz="0" w:space="0" w:color="auto"/>
        <w:bottom w:val="none" w:sz="0" w:space="0" w:color="auto"/>
        <w:right w:val="none" w:sz="0" w:space="0" w:color="auto"/>
      </w:divBdr>
    </w:div>
    <w:div w:id="1949777057">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 w:id="20812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1986:16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259BE4-0330-4A45-B183-7F1F1291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12</Pages>
  <Words>4376</Words>
  <Characters>23198</Characters>
  <Application>Microsoft Office Word</Application>
  <DocSecurity>0</DocSecurity>
  <Lines>539</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2019-11-21T14:25:00Z</cp:lastPrinted>
  <dcterms:created xsi:type="dcterms:W3CDTF">2020-05-08T07:49:00Z</dcterms:created>
  <dcterms:modified xsi:type="dcterms:W3CDTF">2020-05-11T11:13:00Z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