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974029B1-195B-47AD-A4D7-393D454C1A47" style="width:450.4pt;height:437.8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BIJLAGE I</w:t>
      </w:r>
    </w:p>
    <w:p>
      <w:pPr>
        <w:jc w:val="center"/>
        <w:rPr>
          <w:b/>
          <w:noProof/>
          <w:szCs w:val="24"/>
        </w:rPr>
      </w:pPr>
      <w:r>
        <w:rPr>
          <w:b/>
          <w:noProof/>
          <w:szCs w:val="24"/>
        </w:rPr>
        <w:t>Het standpunt dat namens de Unie moet worden ingenomen in de Werelddouaneorganisatie</w:t>
      </w:r>
    </w:p>
    <w:p>
      <w:pPr>
        <w:rPr>
          <w:noProof/>
          <w:szCs w:val="24"/>
        </w:rPr>
      </w:pPr>
      <w:r>
        <w:rPr>
          <w:noProof/>
        </w:rPr>
        <w:t>1. BEGINSELEN</w:t>
      </w:r>
    </w:p>
    <w:p>
      <w:pPr>
        <w:rPr>
          <w:noProof/>
          <w:szCs w:val="24"/>
        </w:rPr>
      </w:pPr>
      <w:r>
        <w:rPr>
          <w:noProof/>
        </w:rPr>
        <w:t>In het kader van de WDO moet de Unie:</w:t>
      </w:r>
    </w:p>
    <w:p>
      <w:pPr>
        <w:ind w:left="720" w:hanging="720"/>
        <w:rPr>
          <w:noProof/>
          <w:szCs w:val="24"/>
        </w:rPr>
      </w:pPr>
      <w:r>
        <w:rPr>
          <w:noProof/>
        </w:rPr>
        <w:t>a)</w:t>
      </w:r>
      <w:r>
        <w:rPr>
          <w:noProof/>
        </w:rPr>
        <w:tab/>
        <w:t>de indeling van goederen in het douanetarief en de uniforme interpretatie en toepassing van het GS bevorderen, vergemakkelijken en daar een bijdrage aan leveren, en de gevallen en geschillen over uiteenlopende interpretaties van het GS geleidelijk uit de weg ruimen;</w:t>
      </w:r>
    </w:p>
    <w:p>
      <w:pPr>
        <w:ind w:left="720" w:hanging="720"/>
        <w:rPr>
          <w:noProof/>
          <w:szCs w:val="24"/>
        </w:rPr>
      </w:pPr>
      <w:r>
        <w:rPr>
          <w:noProof/>
        </w:rPr>
        <w:t>b)</w:t>
      </w:r>
      <w:r>
        <w:rPr>
          <w:noProof/>
        </w:rPr>
        <w:tab/>
        <w:t>werken aan een passende betrokkenheid van de belanghebbenden bij de voorbereiding van HSC-besluiten en erop toezien dat de in de WDO vastgestelde besluiten in overeenstemming zijn met GS-verdrag;</w:t>
      </w:r>
    </w:p>
    <w:p>
      <w:pPr>
        <w:ind w:left="720" w:hanging="720"/>
        <w:rPr>
          <w:noProof/>
          <w:szCs w:val="24"/>
        </w:rPr>
      </w:pPr>
      <w:r>
        <w:rPr>
          <w:noProof/>
        </w:rPr>
        <w:t>c)</w:t>
      </w:r>
      <w:r>
        <w:rPr>
          <w:noProof/>
        </w:rPr>
        <w:tab/>
        <w:t>erop toezien dat de in de WDO vastgestelde maatregelen in overeenstemming zijn met de algemene regels voor de interpretatie van het GS;</w:t>
      </w:r>
    </w:p>
    <w:p>
      <w:pPr>
        <w:ind w:left="720" w:hanging="720"/>
        <w:rPr>
          <w:noProof/>
          <w:szCs w:val="24"/>
        </w:rPr>
      </w:pPr>
      <w:r>
        <w:rPr>
          <w:noProof/>
        </w:rPr>
        <w:t>d)</w:t>
      </w:r>
      <w:r>
        <w:rPr>
          <w:noProof/>
        </w:rPr>
        <w:tab/>
        <w:t xml:space="preserve">de standpunten uitdragen die in overeenstemming zijn met de beste praktijken die door de Unie in het betrokken gebied zijn uitgewerkt;  </w:t>
      </w:r>
    </w:p>
    <w:p>
      <w:pPr>
        <w:ind w:left="720" w:hanging="720"/>
        <w:rPr>
          <w:noProof/>
          <w:szCs w:val="24"/>
        </w:rPr>
      </w:pPr>
      <w:r>
        <w:rPr>
          <w:noProof/>
        </w:rPr>
        <w:t xml:space="preserve">e) </w:t>
      </w:r>
      <w:r>
        <w:rPr>
          <w:noProof/>
        </w:rPr>
        <w:tab/>
        <w:t>de vereenvoudiging en modernisering van de GS-nomenclatuur bevorderen aan de hand van de ontwikkeling van de behoeften van de gebruikers en de ontwikkeling van nieuwe technologieën;</w:t>
      </w:r>
    </w:p>
    <w:p>
      <w:pPr>
        <w:ind w:left="720" w:hanging="720"/>
        <w:rPr>
          <w:noProof/>
          <w:szCs w:val="24"/>
        </w:rPr>
      </w:pPr>
      <w:r>
        <w:rPr>
          <w:noProof/>
        </w:rPr>
        <w:t>f)</w:t>
      </w:r>
      <w:r>
        <w:rPr>
          <w:noProof/>
        </w:rPr>
        <w:tab/>
        <w:t>de samenhang met haar andere beleidsmaatregelen en internationale verplichtingen bewerkstelligen.</w:t>
      </w:r>
    </w:p>
    <w:p>
      <w:pPr>
        <w:rPr>
          <w:noProof/>
          <w:szCs w:val="24"/>
        </w:rPr>
      </w:pPr>
      <w:r>
        <w:rPr>
          <w:noProof/>
        </w:rPr>
        <w:t>2. CRITERIA</w:t>
      </w:r>
    </w:p>
    <w:p>
      <w:pPr>
        <w:rPr>
          <w:noProof/>
          <w:szCs w:val="24"/>
        </w:rPr>
      </w:pPr>
      <w:r>
        <w:rPr>
          <w:noProof/>
        </w:rPr>
        <w:t>De standpunten die namens de Unie in de WDO moeten worden ingenomen, worden aan de hand van de volgende criteria bepaald:</w:t>
      </w:r>
      <w:r>
        <w:rPr>
          <w:b/>
          <w:noProof/>
          <w:szCs w:val="24"/>
        </w:rPr>
        <w:t xml:space="preserve"> </w:t>
      </w:r>
    </w:p>
    <w:p>
      <w:pPr>
        <w:pStyle w:val="Point0letter"/>
        <w:numPr>
          <w:ilvl w:val="1"/>
          <w:numId w:val="5"/>
        </w:numPr>
        <w:rPr>
          <w:noProof/>
          <w:szCs w:val="24"/>
        </w:rPr>
      </w:pPr>
      <w:r>
        <w:rPr>
          <w:noProof/>
        </w:rPr>
        <w:t>Algemene criteria:</w:t>
      </w:r>
    </w:p>
    <w:p>
      <w:pPr>
        <w:pStyle w:val="Tiret0"/>
        <w:numPr>
          <w:ilvl w:val="0"/>
          <w:numId w:val="6"/>
        </w:numPr>
        <w:rPr>
          <w:noProof/>
          <w:szCs w:val="24"/>
        </w:rPr>
      </w:pPr>
      <w:r>
        <w:rPr>
          <w:noProof/>
        </w:rPr>
        <w:t>het beginsel dat, omwille van de rechtszekerheid en een eenvoudige verificatie, het doorslaggevende criterium voor de indeling van goederen voor douanedoeleinden in het algemeen moet worden gezocht in de objectieve kenmerken en eigenschappen ervan, zoals in de tekst van de desbetreffende posten van de GS en in de aantekeningen op de afdelingen of hoofdstukken,</w:t>
      </w:r>
    </w:p>
    <w:p>
      <w:pPr>
        <w:pStyle w:val="Tiret0"/>
        <w:rPr>
          <w:noProof/>
          <w:szCs w:val="24"/>
        </w:rPr>
      </w:pPr>
      <w:r>
        <w:rPr>
          <w:noProof/>
        </w:rPr>
        <w:t>de algemene regels voor de interpretatie van de GS zoals vastgelegd in de bijlage bij het GS-verdrag</w:t>
      </w:r>
      <w:r>
        <w:rPr>
          <w:rStyle w:val="FootnoteReference"/>
          <w:noProof/>
          <w:szCs w:val="24"/>
        </w:rPr>
        <w:footnoteReference w:id="1"/>
      </w:r>
      <w:r>
        <w:rPr>
          <w:noProof/>
        </w:rPr>
        <w:t>.</w:t>
      </w:r>
    </w:p>
    <w:p>
      <w:pPr>
        <w:rPr>
          <w:noProof/>
          <w:szCs w:val="24"/>
        </w:rPr>
      </w:pPr>
      <w:r>
        <w:rPr>
          <w:noProof/>
        </w:rPr>
        <w:t>Indien van toepassing, wordt rekening gehouden met de volgende</w:t>
      </w:r>
    </w:p>
    <w:p>
      <w:pPr>
        <w:pStyle w:val="Point0letter"/>
        <w:rPr>
          <w:noProof/>
          <w:szCs w:val="24"/>
        </w:rPr>
      </w:pPr>
      <w:r>
        <w:rPr>
          <w:noProof/>
        </w:rPr>
        <w:t>Specifieke criteria:</w:t>
      </w:r>
    </w:p>
    <w:p>
      <w:pPr>
        <w:tabs>
          <w:tab w:val="left" w:pos="709"/>
        </w:tabs>
        <w:ind w:left="709" w:hanging="709"/>
        <w:rPr>
          <w:noProof/>
          <w:szCs w:val="24"/>
        </w:rPr>
      </w:pPr>
      <w:r>
        <w:rPr>
          <w:noProof/>
        </w:rPr>
        <w:t>-</w:t>
      </w:r>
      <w:r>
        <w:rPr>
          <w:noProof/>
        </w:rPr>
        <w:tab/>
        <w:t xml:space="preserve">de rechtspraak van het Hof van Justitie van de Europese Unie betreffende de indeling van goederen in het douanetarief, </w:t>
      </w:r>
    </w:p>
    <w:p>
      <w:pPr>
        <w:ind w:left="720" w:hanging="720"/>
        <w:rPr>
          <w:noProof/>
          <w:szCs w:val="24"/>
        </w:rPr>
      </w:pPr>
      <w:r>
        <w:rPr>
          <w:noProof/>
        </w:rPr>
        <w:t>-</w:t>
      </w:r>
      <w:r>
        <w:rPr>
          <w:noProof/>
        </w:rPr>
        <w:tab/>
        <w:t>GS-nomenclatuur en GS-toelichtingen, indelingsadviezen en -besluiten van het GS-comité,</w:t>
      </w:r>
    </w:p>
    <w:p>
      <w:pPr>
        <w:rPr>
          <w:noProof/>
          <w:szCs w:val="24"/>
        </w:rPr>
      </w:pPr>
      <w:r>
        <w:rPr>
          <w:noProof/>
        </w:rPr>
        <w:lastRenderedPageBreak/>
        <w:t>-</w:t>
      </w:r>
      <w:r>
        <w:rPr>
          <w:noProof/>
        </w:rPr>
        <w:tab/>
        <w:t>onderverdelingen van de gecombineerde nomenclatuur (GN)</w:t>
      </w:r>
      <w:r>
        <w:rPr>
          <w:rStyle w:val="FootnoteReference"/>
          <w:noProof/>
          <w:szCs w:val="24"/>
        </w:rPr>
        <w:footnoteReference w:id="2"/>
      </w:r>
      <w:r>
        <w:rPr>
          <w:noProof/>
        </w:rPr>
        <w:t xml:space="preserve"> en toelichtingen op de GN, </w:t>
      </w:r>
    </w:p>
    <w:p>
      <w:pPr>
        <w:rPr>
          <w:noProof/>
          <w:szCs w:val="24"/>
        </w:rPr>
      </w:pPr>
      <w:r>
        <w:rPr>
          <w:noProof/>
        </w:rPr>
        <w:t>-</w:t>
      </w:r>
      <w:r>
        <w:rPr>
          <w:noProof/>
        </w:rPr>
        <w:tab/>
        <w:t xml:space="preserve">indelingsverordeningen of -besluiten van de Raad of de Commissie, </w:t>
      </w:r>
    </w:p>
    <w:p>
      <w:pPr>
        <w:rPr>
          <w:noProof/>
          <w:szCs w:val="24"/>
        </w:rPr>
      </w:pPr>
      <w:r>
        <w:rPr>
          <w:noProof/>
        </w:rPr>
        <w:t>-</w:t>
      </w:r>
      <w:r>
        <w:rPr>
          <w:noProof/>
        </w:rPr>
        <w:tab/>
        <w:t>conclusies van het Comité douanewetboek - Afdeling tarief- en statistieknomenclatuur,</w:t>
      </w:r>
    </w:p>
    <w:p>
      <w:pPr>
        <w:ind w:left="720" w:hanging="720"/>
        <w:rPr>
          <w:noProof/>
          <w:szCs w:val="24"/>
        </w:rPr>
      </w:pPr>
      <w:r>
        <w:rPr>
          <w:noProof/>
        </w:rPr>
        <w:t>-</w:t>
      </w:r>
      <w:r>
        <w:rPr>
          <w:noProof/>
        </w:rPr>
        <w:tab/>
        <w:t xml:space="preserve">andere richtsnoeren betreffende de indeling van goederen in het douanetarief, die door de instellingen in de vorm van rechtshandelingen of richtsnoeren zijn uitgewerkt. </w:t>
      </w:r>
    </w:p>
    <w:p>
      <w:pPr>
        <w:rPr>
          <w:noProof/>
          <w:szCs w:val="24"/>
        </w:rPr>
      </w:pPr>
      <w:r>
        <w:rPr>
          <w:noProof/>
        </w:rPr>
        <w:t>3. BELEIDSLIJNEN</w:t>
      </w:r>
    </w:p>
    <w:p>
      <w:pPr>
        <w:ind w:hanging="11"/>
        <w:rPr>
          <w:noProof/>
          <w:szCs w:val="24"/>
        </w:rPr>
      </w:pPr>
      <w:r>
        <w:rPr>
          <w:noProof/>
        </w:rPr>
        <w:t>De Unie zet zich, waar passend, in om ervoor te zorgen dat de WDO overeenkomstig de bovengenoemde beginselen en criteria de volgende besluiten vaststelt:</w:t>
      </w:r>
    </w:p>
    <w:p>
      <w:pPr>
        <w:ind w:left="720" w:hanging="720"/>
        <w:rPr>
          <w:noProof/>
          <w:szCs w:val="24"/>
        </w:rPr>
      </w:pPr>
      <w:r>
        <w:rPr>
          <w:noProof/>
        </w:rPr>
        <w:t>a)</w:t>
      </w:r>
      <w:r>
        <w:rPr>
          <w:noProof/>
        </w:rPr>
        <w:tab/>
        <w:t>het voorstellen en opstellen van toelichtingen, indelingsadviezen of andere adviezen als leidraad voor de interpretatie van het geharmoniseerde systeem;</w:t>
      </w:r>
    </w:p>
    <w:p>
      <w:pPr>
        <w:ind w:left="720" w:hanging="720"/>
        <w:rPr>
          <w:noProof/>
          <w:szCs w:val="24"/>
        </w:rPr>
      </w:pPr>
      <w:r>
        <w:rPr>
          <w:noProof/>
        </w:rPr>
        <w:t xml:space="preserve">b) </w:t>
      </w:r>
      <w:r>
        <w:rPr>
          <w:noProof/>
        </w:rPr>
        <w:tab/>
        <w:t>het opstellen van aanbevelingen teneinde de uniformiteit in de interpretatie en de toepassing van he geharmoniseerde systeem te verzekeren.</w:t>
      </w:r>
    </w:p>
    <w:p>
      <w:pPr>
        <w:rPr>
          <w:noProof/>
          <w:szCs w:val="24"/>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BIJLAGE II</w:t>
      </w:r>
    </w:p>
    <w:p>
      <w:pPr>
        <w:jc w:val="center"/>
        <w:rPr>
          <w:b/>
          <w:noProof/>
          <w:szCs w:val="24"/>
        </w:rPr>
      </w:pPr>
      <w:r>
        <w:rPr>
          <w:b/>
          <w:noProof/>
          <w:szCs w:val="24"/>
        </w:rPr>
        <w:t>Bepaling van het standpunt dat de Unie in de Werelddouaneorganisatie moet innemen</w:t>
      </w:r>
    </w:p>
    <w:p>
      <w:pPr>
        <w:rPr>
          <w:noProof/>
          <w:szCs w:val="24"/>
        </w:rPr>
      </w:pPr>
      <w:r>
        <w:rPr>
          <w:noProof/>
        </w:rPr>
        <w:t>Vóór elke vergadering van het HSC worden, wanneer dat lichaam besluiten met rechtsgevolgen voor de Unie vaststelt, de nodige stappen ondernomen om ervoor te zorgen dat in het standpunt dat namens de Unie zal worden ingenomen, rekening wordt gehouden met de aan de Commissie meegedeelde recentste technische en andere relevante informatie, overeenkomstig de in bijlage I geformuleerde beginselen, criteria en beleidslijnen.</w:t>
      </w:r>
    </w:p>
    <w:p>
      <w:pPr>
        <w:rPr>
          <w:noProof/>
          <w:szCs w:val="24"/>
        </w:rPr>
      </w:pPr>
      <w:r>
        <w:rPr>
          <w:noProof/>
        </w:rPr>
        <w:t>Daartoe en op basis van die informatie zendt de Commissie aan de Raad of aan zijn voorbereidende instanties tijdig en vóór elke in de voorgaande alinea genoemde vergadering van het HSC, een schriftelijk document met de bijzonderheden van de voorgestelde nadere bepaling van het namens de Unie in te nemen standpunt. De Raad kan binnen vijf werkdagen na de datum waarop de Commissie de Raad of zijn voorbereidende instanties in kennis heeft gesteld, aangeven dat hij het niet eens is met het standpunt dat is voorgesteld voor een of meer van de afzonderlijke GS-besluiten in kwestie.</w:t>
      </w:r>
    </w:p>
    <w:p>
      <w:pPr>
        <w:rPr>
          <w:noProof/>
          <w:szCs w:val="24"/>
        </w:rPr>
      </w:pPr>
      <w:r>
        <w:rPr>
          <w:noProof/>
        </w:rPr>
        <w:t>Om de rechten van de Unie te behouden en te vermijden dat een besluit over een kwestie waarover de Raad binnen de in artikel 8, lid 2, van het GS-verdrag bepaalde termijn geen standpunt in kan nemen, in de WDO wordt vastgesteld, verzoekt de Commissie namens de Unie dat de kwestie aan de WDO-Raad wordt voorgelegd en aan het HSC wordt teruggezonden voor een nieuw onderzoek krachtens artikel 8, lid 3, van het GS-verdrag.</w:t>
      </w:r>
    </w:p>
    <w:p>
      <w:pPr>
        <w:rPr>
          <w:noProof/>
        </w:rPr>
      </w:pPr>
      <w:r>
        <w:rPr>
          <w:noProof/>
        </w:rPr>
        <w:t>In gevallen waarin het standpunt van de Unie ten aanzien van een kwestie wezenlijk verschilt van het door het HSC vastgestelde besluit, zendt de Commissie de Raad of zijn voorbereidende instanties tijdig en vóór de in artikel 8, lid 2, van het GS-verdrag bepaalde termijn een schriftelijk document waarin is vastgelegd of het/de betreffende besluit(en) kan (kunnen) worden aanvaard of dat de kwestie moet worden voorgelegd aan de WDO-Raad en moet worden terugverwezen naar het HSC voor een nieuw onderzoek krachtens artikel 8, lid 3, van het GS-verdrag. De Raad kan binnen tien werkdagen na de datum waarop de Commissie de Raad of zijn voorbereidende instanties in kennis heeft gesteld, aangeven dat hij het niet eens is met het standpunt dat is voorgesteld voor een of meer van de afzonderlijke HCS-besluiten die in de WDO moeten worden vastgesteld.</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Besluit 87/369/EEG van de Raad van 7 april 1987 inzake de sluiting van het Internationaal Verdrag betreffende het geharmoniseerde systeem inzake de omschrijving en de codering van goederen, alsmede van het daarbij behorende protocol van wijziging (PB L 198 van 20.7.1987, blz. 1).</w:t>
      </w:r>
    </w:p>
  </w:footnote>
  <w:footnote w:id="2">
    <w:p>
      <w:pPr>
        <w:pStyle w:val="FootnoteText"/>
      </w:pPr>
      <w:r>
        <w:rPr>
          <w:rStyle w:val="FootnoteReference"/>
        </w:rPr>
        <w:footnoteRef/>
      </w:r>
      <w:r>
        <w:tab/>
        <w:t>Verordening (EEG) nr. 2658/87 van de Raad van 23 juli 1987 met betrekking tot de tarief- en statistieknomenclatuur en het gemeenschappelijk douanetarief (PB L 256 van 7.9.1987,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2FEFF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22279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9EEC7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0E84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BAF4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3AB6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2B61BD8"/>
    <w:lvl w:ilvl="0">
      <w:start w:val="1"/>
      <w:numFmt w:val="decimal"/>
      <w:pStyle w:val="ListNumber"/>
      <w:lvlText w:val="%1."/>
      <w:lvlJc w:val="left"/>
      <w:pPr>
        <w:tabs>
          <w:tab w:val="num" w:pos="360"/>
        </w:tabs>
        <w:ind w:left="360" w:hanging="360"/>
      </w:pPr>
    </w:lvl>
  </w:abstractNum>
  <w:abstractNum w:abstractNumId="7">
    <w:nsid w:val="FFFFFF89"/>
    <w:multiLevelType w:val="singleLevel"/>
    <w:tmpl w:val="730AC9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1 13:11: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2"/>
    <w:docVar w:name="LW_ANNEX_UNIQUE" w:val="0"/>
    <w:docVar w:name="LW_CORRIGENDUM" w:val="&lt;UNUSED&gt;"/>
    <w:docVar w:name="LW_COVERPAGE_EXISTS" w:val="True"/>
    <w:docVar w:name="LW_COVERPAGE_GUID" w:val="974029B1-195B-47AD-A4D7-393D454C1A47"/>
    <w:docVar w:name="LW_COVERPAGE_TYPE" w:val="1"/>
    <w:docVar w:name="LW_CROSSREFERENCE" w:val="&lt;UNUSED&gt;"/>
    <w:docVar w:name="LW_DocType" w:val="ANNEX"/>
    <w:docVar w:name="LW_EMISSION" w:val="15.5.2020"/>
    <w:docVar w:name="LW_EMISSION_ISODATE" w:val="2020-05-15"/>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lt;FMT:Bold&gt;betreffende het standpunt dat namens de Europese Unie moet worden ingenomen in de Werelddouaneorganisatie (WDO) met betrekking tot de vaststelling van toelichtingen, indelingsadviezen of andere adviezen omtrent de interpretatie van het geharmoniseerde systeem en aanbevelingen teneinde de uniformiteit te verzekeren in de interpretatie van het geharmoniseerde systeem in het kader van het Verdrag betreffende het geharmoniseerde systeem&lt;/FMT&gt;"/>
    <w:docVar w:name="LW_OBJETACTEPRINCIPAL.CP" w:val="&lt;FMT:Bold&gt;betreffende het standpunt dat namens de Europese Unie moet worden ingenomen in de Werelddouaneorganisatie (WDO) met betrekking tot de vaststelling van toelichtingen, indelingsadviezen of andere adviezen omtrent de interpretatie van het geharmoniseerde systeem en aanbevelingen teneinde de uniformiteit te verzekeren in de interpretatie van het geharmoniseerde systeem in het kader van het Verdrag betreffende het geharmoniseerde systeem&lt;/FMT&gt;"/>
    <w:docVar w:name="LW_PART_NBR" w:val="&lt;UNUSED&gt;"/>
    <w:docVar w:name="LW_PART_NBR_TOTAL" w:val="&lt;UNUSED&gt;"/>
    <w:docVar w:name="LW_REF.INST.NEW" w:val="COM"/>
    <w:docVar w:name="LW_REF.INST.NEW_ADOPTED" w:val="final"/>
    <w:docVar w:name="LW_REF.INST.NEW_TEXT" w:val="(2020) 1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N"/>
    <w:docVar w:name="LW_TYPE.DOC.CP" w:val="BIJLAGEN"/>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824</Words>
  <Characters>4537</Characters>
  <Application>Microsoft Office Word</Application>
  <DocSecurity>0</DocSecurity>
  <Lines>85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GATTEGNO Valerie (TAXUD)</dc:creator>
  <cp:keywords/>
  <dc:description/>
  <cp:lastModifiedBy>WES PDFC Administrator</cp:lastModifiedBy>
  <cp:revision>9</cp:revision>
  <dcterms:created xsi:type="dcterms:W3CDTF">2020-05-07T15:08:00Z</dcterms:created>
  <dcterms:modified xsi:type="dcterms:W3CDTF">2020-05-11T11:11:00Z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