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DEF1FFF-BF4B-4169-958E-09E4971A93FF" style="width:450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REPORT FROM THE COMMISSION</w:t>
      </w:r>
    </w:p>
    <w:p>
      <w:pPr>
        <w:pStyle w:val="Titreobjet"/>
        <w:rPr>
          <w:noProof/>
        </w:rPr>
      </w:pPr>
      <w:r>
        <w:rPr>
          <w:noProof/>
        </w:rPr>
        <w:t>Germany</w:t>
      </w:r>
      <w:r>
        <w:rPr>
          <w:noProof/>
        </w:rPr>
        <w:br/>
      </w:r>
      <w:r>
        <w:rPr>
          <w:noProof/>
        </w:rPr>
        <w:br/>
        <w:t>Report prepared in accordance with Article 126(3) of the Treaty on the Functioning of the European Union</w:t>
      </w:r>
    </w:p>
    <w:p>
      <w:pPr>
        <w:pStyle w:val="Sous-titreobjet"/>
        <w:jc w:val="left"/>
        <w:rPr>
          <w:b w:val="0"/>
          <w:noProof/>
          <w:highlight w:val="magenta"/>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lang w:eastAsia="en-GB"/>
        </w:rPr>
      </w:pPr>
      <w:r>
        <w:rPr>
          <w:rFonts w:ascii="Times New Roman" w:eastAsia="Times New Roman" w:hAnsi="Times New Roman" w:cs="Times New Roman"/>
          <w:b/>
          <w:smallCaps/>
          <w:noProof/>
          <w:sz w:val="24"/>
          <w:lang w:eastAsia="en-GB"/>
        </w:rPr>
        <w:t>1.</w:t>
      </w:r>
      <w:r>
        <w:rPr>
          <w:rFonts w:ascii="Times New Roman" w:eastAsia="Times New Roman" w:hAnsi="Times New Roman" w:cs="Times New Roman"/>
          <w:b/>
          <w:smallCaps/>
          <w:noProof/>
          <w:sz w:val="24"/>
          <w:lang w:eastAsia="en-GB"/>
        </w:rPr>
        <w:tab/>
        <w:t xml:space="preserve">Introduction </w:t>
      </w:r>
    </w:p>
    <w:p>
      <w:pPr>
        <w:autoSpaceDE w:val="0"/>
        <w:autoSpaceDN w:val="0"/>
        <w:adjustRightInd w:val="0"/>
        <w:spacing w:before="120" w:after="0" w:line="240" w:lineRule="auto"/>
        <w:jc w:val="both"/>
        <w:rPr>
          <w:rFonts w:ascii="Times New Roman" w:eastAsia="Times New Roman" w:hAnsi="Times New Roman" w:cs="Calibri"/>
          <w:noProof/>
          <w:sz w:val="24"/>
          <w:szCs w:val="24"/>
          <w:lang w:eastAsia="en-GB"/>
        </w:rPr>
      </w:pPr>
      <w:r>
        <w:rPr>
          <w:rFonts w:ascii="Times New Roman" w:eastAsia="Times New Roman" w:hAnsi="Times New Roman" w:cs="Calibri"/>
          <w:noProof/>
          <w:sz w:val="24"/>
          <w:szCs w:val="24"/>
          <w:lang w:eastAsia="en-GB"/>
        </w:rPr>
        <w:t>On 20 March 2020, the Commission adopted a Communication on the activation of the general escape clause of the Stability and Growth Pact.  The clause, as set out in Articles 5(1), 6(3), 9(1) and 10(3) of Regulation (EC) 1466/97 and Articles 3(5) and 5(2) of Regulation (EC) 1467/97, facilitates the coordination of budgetary policies in times of severe economic downturn. In its Communication, the Commission shared with the Council its view that, given the expected severe economic downturn resulting from the COVID-19 outbreak, the current conditions permit the activation of the clause. On 23 March 2020, the Ministers of Finance of the Member States agreed with the assessment of the Commission. The activation of the general escape clause allows for a temporary departure from the adjustment path towards the medium-term budgetary objective, provided that this does not endanger fiscal sustainability in the medium term. For the corrective arm, the Council may also decide, on a recommendation from the Commission, to adopt a revised fiscal trajectory. The general escape clause does not suspend the procedures of the Stability and Growth Pact. It allows Member States to depart from the budgetary requirements that would normally apply while enabling the Commission and the Council to undertake the necessary policy coordination measures within the framework of the Pact.</w:t>
      </w:r>
    </w:p>
    <w:p>
      <w:pPr>
        <w:autoSpaceDE w:val="0"/>
        <w:autoSpaceDN w:val="0"/>
        <w:adjustRightInd w:val="0"/>
        <w:spacing w:before="120" w:after="0" w:line="240" w:lineRule="auto"/>
        <w:jc w:val="both"/>
        <w:rPr>
          <w:rFonts w:ascii="Times New Roman" w:eastAsia="Times New Roman" w:hAnsi="Times New Roman" w:cs="Calibri"/>
          <w:noProof/>
          <w:sz w:val="24"/>
          <w:szCs w:val="24"/>
          <w:lang w:eastAsia="en-GB"/>
        </w:rPr>
      </w:pPr>
      <w:r>
        <w:rPr>
          <w:rFonts w:ascii="Times New Roman" w:eastAsia="Times New Roman" w:hAnsi="Times New Roman" w:cs="Calibri"/>
          <w:noProof/>
          <w:sz w:val="24"/>
          <w:szCs w:val="24"/>
          <w:lang w:eastAsia="en-GB"/>
        </w:rPr>
        <w:t>Data notified by the German authorities on 31 March 2020 and subsequently validated by Eurostat</w:t>
      </w:r>
      <w:r>
        <w:rPr>
          <w:rStyle w:val="FootnoteReference"/>
          <w:rFonts w:eastAsiaTheme="minorHAnsi"/>
          <w:noProof/>
          <w:sz w:val="24"/>
          <w:szCs w:val="24"/>
        </w:rPr>
        <w:footnoteReference w:id="2"/>
      </w:r>
      <w:r>
        <w:rPr>
          <w:rFonts w:ascii="Times New Roman" w:eastAsia="Times New Roman" w:hAnsi="Times New Roman" w:cs="Calibri"/>
          <w:noProof/>
          <w:sz w:val="24"/>
          <w:szCs w:val="24"/>
          <w:lang w:eastAsia="en-GB"/>
        </w:rPr>
        <w:t xml:space="preserve"> show that the general government balance in Germany reached a surplus of 1.4% of GDP in 2019, while general government gross debt stood at 59.8% of GDP. According to the 2020 Stability Programme, Germany plans a deficit of 7¼% of GDP in 2020, while debt is planned at 75¼ % of GDP.</w:t>
      </w:r>
    </w:p>
    <w:p>
      <w:pPr>
        <w:autoSpaceDE w:val="0"/>
        <w:autoSpaceDN w:val="0"/>
        <w:adjustRightInd w:val="0"/>
        <w:spacing w:before="12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The planned deficit for 2020 provides </w:t>
      </w:r>
      <w:r>
        <w:rPr>
          <w:rFonts w:ascii="Times New Roman" w:eastAsia="Times New Roman" w:hAnsi="Times New Roman" w:cs="Times New Roman"/>
          <w:i/>
          <w:noProof/>
          <w:sz w:val="24"/>
          <w:szCs w:val="24"/>
          <w:lang w:eastAsia="en-GB"/>
        </w:rPr>
        <w:t>prima facie</w:t>
      </w:r>
      <w:r>
        <w:rPr>
          <w:rFonts w:ascii="Times New Roman" w:eastAsia="Times New Roman" w:hAnsi="Times New Roman" w:cs="Times New Roman"/>
          <w:noProof/>
          <w:sz w:val="24"/>
          <w:szCs w:val="24"/>
          <w:lang w:eastAsia="en-GB"/>
        </w:rPr>
        <w:t xml:space="preserve"> evidence of the  existence of an excessive deficit as defined by the Stability and Growth Pact.</w:t>
      </w:r>
    </w:p>
    <w:p>
      <w:pPr>
        <w:autoSpaceDE w:val="0"/>
        <w:autoSpaceDN w:val="0"/>
        <w:adjustRightInd w:val="0"/>
        <w:spacing w:before="120" w:after="0" w:line="240" w:lineRule="auto"/>
        <w:jc w:val="both"/>
        <w:rPr>
          <w:rFonts w:ascii="Times New Roman" w:eastAsia="Times New Roman" w:hAnsi="Times New Roman" w:cs="Calibri"/>
          <w:noProof/>
          <w:sz w:val="24"/>
          <w:szCs w:val="24"/>
          <w:lang w:eastAsia="en-GB"/>
        </w:rPr>
      </w:pPr>
      <w:r>
        <w:rPr>
          <w:rFonts w:ascii="Times New Roman" w:eastAsia="Times New Roman" w:hAnsi="Times New Roman" w:cs="Calibri"/>
          <w:noProof/>
          <w:sz w:val="24"/>
          <w:szCs w:val="24"/>
          <w:lang w:eastAsia="en-GB"/>
        </w:rPr>
        <w:t xml:space="preserve">Against this background, the Commission has therefore prepared this report, which analyses Germany’s compliance with the deficit criterion of the Treaty. The debt criterion can be considered to be met as the debt ratio in 2019 is below the Treaty reference value of 60% of GDP. It takes into account all relevant factors and gives due consideration to the major economic shock linked to the COVID-19 pandemic. </w:t>
      </w:r>
    </w:p>
    <w:p>
      <w:pPr>
        <w:autoSpaceDE w:val="0"/>
        <w:autoSpaceDN w:val="0"/>
        <w:adjustRightInd w:val="0"/>
        <w:spacing w:before="120" w:after="0" w:line="240" w:lineRule="auto"/>
        <w:jc w:val="both"/>
        <w:rPr>
          <w:rFonts w:ascii="Times New Roman" w:eastAsia="Times New Roman" w:hAnsi="Times New Roman" w:cs="Times New Roman"/>
          <w:noProof/>
          <w:sz w:val="24"/>
          <w:lang w:eastAsia="en-GB"/>
        </w:rPr>
      </w:pPr>
    </w:p>
    <w:p>
      <w:pPr>
        <w:keepNext/>
        <w:spacing w:before="240" w:after="120" w:line="240" w:lineRule="auto"/>
        <w:jc w:val="center"/>
        <w:rPr>
          <w:rFonts w:ascii="Times New Roman" w:eastAsia="Times New Roman" w:hAnsi="Times New Roman" w:cs="Calibri"/>
          <w:noProof/>
          <w:sz w:val="24"/>
          <w:lang w:eastAsia="en-GB"/>
        </w:rPr>
      </w:pPr>
      <w:r>
        <w:rPr>
          <w:rFonts w:ascii="Times New Roman" w:eastAsia="Times New Roman" w:hAnsi="Times New Roman" w:cs="Times New Roman"/>
          <w:b/>
          <w:noProof/>
          <w:sz w:val="24"/>
          <w:lang w:eastAsia="en-GB"/>
        </w:rPr>
        <w:t xml:space="preserve">Table </w:t>
      </w:r>
      <w:r>
        <w:rPr>
          <w:rFonts w:ascii="Times New Roman" w:eastAsia="Times New Roman" w:hAnsi="Times New Roman" w:cs="Times New Roman"/>
          <w:b/>
          <w:noProof/>
          <w:sz w:val="24"/>
          <w:lang w:eastAsia="en-GB"/>
        </w:rPr>
        <w:fldChar w:fldCharType="begin"/>
      </w:r>
      <w:r>
        <w:rPr>
          <w:rFonts w:ascii="Times New Roman" w:eastAsia="Times New Roman" w:hAnsi="Times New Roman" w:cs="Times New Roman"/>
          <w:b/>
          <w:noProof/>
          <w:sz w:val="24"/>
          <w:lang w:eastAsia="en-GB"/>
        </w:rPr>
        <w:instrText xml:space="preserve"> SEQ Table \* ARABIC </w:instrText>
      </w:r>
      <w:r>
        <w:rPr>
          <w:rFonts w:ascii="Times New Roman" w:eastAsia="Times New Roman" w:hAnsi="Times New Roman" w:cs="Times New Roman"/>
          <w:b/>
          <w:noProof/>
          <w:sz w:val="24"/>
          <w:lang w:eastAsia="en-GB"/>
        </w:rPr>
        <w:fldChar w:fldCharType="separate"/>
      </w:r>
      <w:r>
        <w:rPr>
          <w:rFonts w:ascii="Times New Roman" w:eastAsia="Times New Roman" w:hAnsi="Times New Roman" w:cs="Times New Roman"/>
          <w:b/>
          <w:noProof/>
          <w:sz w:val="24"/>
          <w:lang w:eastAsia="en-GB"/>
        </w:rPr>
        <w:t>1</w:t>
      </w:r>
      <w:r>
        <w:rPr>
          <w:rFonts w:ascii="Times New Roman" w:eastAsia="Times New Roman" w:hAnsi="Times New Roman" w:cs="Times New Roman"/>
          <w:b/>
          <w:noProof/>
          <w:sz w:val="24"/>
          <w:lang w:eastAsia="en-GB"/>
        </w:rPr>
        <w:fldChar w:fldCharType="end"/>
      </w:r>
      <w:r>
        <w:rPr>
          <w:rFonts w:ascii="Times New Roman" w:eastAsia="Times New Roman" w:hAnsi="Times New Roman" w:cs="Times New Roman"/>
          <w:b/>
          <w:noProof/>
          <w:sz w:val="24"/>
          <w:lang w:eastAsia="en-GB"/>
        </w:rPr>
        <w:t>. General government deficit and debt (% of GDP)</w:t>
      </w:r>
      <w:r>
        <w:rPr>
          <w:rFonts w:ascii="Times New Roman" w:eastAsia="Times New Roman" w:hAnsi="Times New Roman" w:cs="Calibri"/>
          <w:noProof/>
          <w:sz w:val="24"/>
          <w:lang w:eastAsia="en-GB"/>
        </w:rPr>
        <w:t xml:space="preserve">  </w:t>
      </w:r>
    </w:p>
    <w:tbl>
      <w:tblPr>
        <w:tblStyle w:val="TableGrid"/>
        <w:tblW w:w="0" w:type="auto"/>
        <w:tblLook w:val="04A0" w:firstRow="1" w:lastRow="0" w:firstColumn="1" w:lastColumn="0" w:noHBand="0" w:noVBand="1"/>
      </w:tblPr>
      <w:tblGrid>
        <w:gridCol w:w="1154"/>
        <w:gridCol w:w="1172"/>
        <w:gridCol w:w="1152"/>
        <w:gridCol w:w="1152"/>
        <w:gridCol w:w="1152"/>
        <w:gridCol w:w="1152"/>
        <w:gridCol w:w="1154"/>
        <w:gridCol w:w="1154"/>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2016</w:t>
            </w:r>
          </w:p>
        </w:tc>
        <w:tc>
          <w:tcPr>
            <w:tcW w:w="1152"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2017</w:t>
            </w:r>
          </w:p>
        </w:tc>
        <w:tc>
          <w:tcPr>
            <w:tcW w:w="1152"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2018</w:t>
            </w:r>
          </w:p>
        </w:tc>
        <w:tc>
          <w:tcPr>
            <w:tcW w:w="1152"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2019</w:t>
            </w:r>
          </w:p>
        </w:tc>
        <w:tc>
          <w:tcPr>
            <w:tcW w:w="1154"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2020</w:t>
            </w:r>
          </w:p>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COM</w:t>
            </w:r>
          </w:p>
        </w:tc>
        <w:tc>
          <w:tcPr>
            <w:tcW w:w="1154"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2021</w:t>
            </w:r>
          </w:p>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COM</w:t>
            </w:r>
          </w:p>
        </w:tc>
      </w:tr>
      <w:tr>
        <w:tc>
          <w:tcPr>
            <w:tcW w:w="1154"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Deficit criterion</w:t>
            </w:r>
          </w:p>
        </w:tc>
        <w:tc>
          <w:tcPr>
            <w:tcW w:w="1172"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General government balance</w:t>
            </w:r>
          </w:p>
        </w:tc>
        <w:tc>
          <w:tcPr>
            <w:tcW w:w="1152"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1.2</w:t>
            </w:r>
          </w:p>
        </w:tc>
        <w:tc>
          <w:tcPr>
            <w:tcW w:w="1152"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1.2</w:t>
            </w:r>
          </w:p>
        </w:tc>
        <w:tc>
          <w:tcPr>
            <w:tcW w:w="1152"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1.9</w:t>
            </w:r>
          </w:p>
        </w:tc>
        <w:tc>
          <w:tcPr>
            <w:tcW w:w="1152" w:type="dxa"/>
            <w:shd w:val="clear" w:color="auto" w:fill="auto"/>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1.4</w:t>
            </w:r>
          </w:p>
        </w:tc>
        <w:tc>
          <w:tcPr>
            <w:tcW w:w="1154" w:type="dxa"/>
            <w:shd w:val="clear" w:color="auto" w:fill="auto"/>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-7.0</w:t>
            </w:r>
          </w:p>
        </w:tc>
        <w:tc>
          <w:tcPr>
            <w:tcW w:w="1154" w:type="dxa"/>
            <w:shd w:val="clear" w:color="auto" w:fill="auto"/>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-1.5</w:t>
            </w:r>
          </w:p>
        </w:tc>
      </w:tr>
      <w:tr>
        <w:tc>
          <w:tcPr>
            <w:tcW w:w="1154"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Debt criterion</w:t>
            </w:r>
          </w:p>
        </w:tc>
        <w:tc>
          <w:tcPr>
            <w:tcW w:w="1172"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General government gross debt</w:t>
            </w:r>
          </w:p>
        </w:tc>
        <w:tc>
          <w:tcPr>
            <w:tcW w:w="1152"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69.2</w:t>
            </w:r>
          </w:p>
        </w:tc>
        <w:tc>
          <w:tcPr>
            <w:tcW w:w="1152"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65.3</w:t>
            </w:r>
          </w:p>
        </w:tc>
        <w:tc>
          <w:tcPr>
            <w:tcW w:w="1152" w:type="dxa"/>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61.9</w:t>
            </w:r>
          </w:p>
        </w:tc>
        <w:tc>
          <w:tcPr>
            <w:tcW w:w="1152" w:type="dxa"/>
            <w:shd w:val="clear" w:color="auto" w:fill="auto"/>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59.8</w:t>
            </w:r>
          </w:p>
        </w:tc>
        <w:tc>
          <w:tcPr>
            <w:tcW w:w="1154" w:type="dxa"/>
            <w:shd w:val="clear" w:color="auto" w:fill="auto"/>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75.6</w:t>
            </w:r>
          </w:p>
        </w:tc>
        <w:tc>
          <w:tcPr>
            <w:tcW w:w="1154" w:type="dxa"/>
            <w:shd w:val="clear" w:color="auto" w:fill="auto"/>
          </w:tcPr>
          <w:p>
            <w:pPr>
              <w:keepNext/>
              <w:jc w:val="center"/>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71.8</w:t>
            </w:r>
          </w:p>
        </w:tc>
      </w:tr>
    </w:tbl>
    <w:p>
      <w:pPr>
        <w:keepNext/>
        <w:spacing w:after="0" w:line="240" w:lineRule="auto"/>
        <w:rPr>
          <w:rFonts w:ascii="Times New Roman" w:eastAsia="Times New Roman" w:hAnsi="Times New Roman" w:cs="Calibri"/>
          <w:noProof/>
          <w:sz w:val="20"/>
          <w:szCs w:val="20"/>
          <w:lang w:eastAsia="en-GB"/>
        </w:rPr>
      </w:pPr>
    </w:p>
    <w:p>
      <w:pPr>
        <w:keepNext/>
        <w:spacing w:after="0" w:line="240" w:lineRule="auto"/>
        <w:rPr>
          <w:rFonts w:ascii="Times New Roman" w:eastAsia="Times New Roman" w:hAnsi="Times New Roman" w:cs="Calibri"/>
          <w:noProof/>
          <w:sz w:val="20"/>
          <w:szCs w:val="20"/>
          <w:lang w:eastAsia="en-GB"/>
        </w:rPr>
      </w:pPr>
      <w:r>
        <w:rPr>
          <w:rFonts w:ascii="Times New Roman" w:eastAsia="Times New Roman" w:hAnsi="Times New Roman" w:cs="Calibri"/>
          <w:noProof/>
          <w:sz w:val="20"/>
          <w:szCs w:val="20"/>
          <w:lang w:eastAsia="en-GB"/>
        </w:rPr>
        <w:t>Source: Eurostat, Commission 2020 spring forecast</w:t>
      </w:r>
    </w:p>
    <w:p>
      <w:pPr>
        <w:keepNext/>
        <w:spacing w:after="0" w:line="240" w:lineRule="auto"/>
        <w:rPr>
          <w:rFonts w:ascii="Times New Roman" w:eastAsia="Times New Roman" w:hAnsi="Times New Roman" w:cs="Calibri"/>
          <w:noProof/>
          <w:sz w:val="24"/>
          <w:lang w:eastAsia="en-GB"/>
        </w:rPr>
      </w:pPr>
    </w:p>
    <w:p>
      <w:pPr>
        <w:spacing w:after="0" w:line="240" w:lineRule="auto"/>
        <w:rPr>
          <w:rFonts w:ascii="Times New Roman" w:eastAsia="Times New Roman" w:hAnsi="Times New Roman" w:cs="Calibri"/>
          <w:noProof/>
          <w:sz w:val="24"/>
          <w:lang w:eastAsia="en-GB"/>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lang w:eastAsia="en-GB"/>
        </w:rPr>
      </w:pPr>
      <w:r>
        <w:rPr>
          <w:rFonts w:ascii="Times New Roman" w:eastAsia="Times New Roman" w:hAnsi="Times New Roman" w:cs="Times New Roman"/>
          <w:b/>
          <w:smallCaps/>
          <w:noProof/>
          <w:sz w:val="24"/>
          <w:lang w:eastAsia="en-GB"/>
        </w:rPr>
        <w:t>2.</w:t>
      </w:r>
      <w:r>
        <w:rPr>
          <w:rFonts w:ascii="Times New Roman" w:eastAsia="Times New Roman" w:hAnsi="Times New Roman" w:cs="Times New Roman"/>
          <w:b/>
          <w:smallCaps/>
          <w:noProof/>
          <w:sz w:val="24"/>
          <w:lang w:eastAsia="en-GB"/>
        </w:rPr>
        <w:tab/>
        <w:t>Deficit criterion</w:t>
      </w:r>
    </w:p>
    <w:p>
      <w:pPr>
        <w:spacing w:before="120" w:after="120" w:line="240" w:lineRule="auto"/>
        <w:jc w:val="both"/>
        <w:rPr>
          <w:rFonts w:ascii="Times New Roman" w:eastAsia="Calibri" w:hAnsi="Times New Roman" w:cs="Times New Roman"/>
          <w:noProof/>
          <w:sz w:val="24"/>
          <w:szCs w:val="24"/>
          <w:lang w:eastAsia="en-GB"/>
        </w:rPr>
      </w:pPr>
      <w:r>
        <w:rPr>
          <w:rFonts w:ascii="Times New Roman" w:eastAsia="Calibri" w:hAnsi="Times New Roman" w:cs="Times New Roman"/>
          <w:noProof/>
          <w:sz w:val="24"/>
          <w:szCs w:val="24"/>
          <w:lang w:eastAsia="en-GB"/>
        </w:rPr>
        <w:t xml:space="preserve">Based on the 2020 Stability Programme, Germany’s general government deficit in 2020 is expected to reach 7¼% of GDP, above and not close to the Treaty reference value of 3% of GDP. </w:t>
      </w:r>
    </w:p>
    <w:p>
      <w:pPr>
        <w:spacing w:before="120" w:after="120" w:line="240" w:lineRule="auto"/>
        <w:jc w:val="both"/>
        <w:rPr>
          <w:rFonts w:ascii="Times New Roman" w:eastAsia="Calibri" w:hAnsi="Times New Roman" w:cs="Times New Roman"/>
          <w:noProof/>
          <w:sz w:val="24"/>
          <w:szCs w:val="24"/>
          <w:lang w:eastAsia="en-GB"/>
        </w:rPr>
      </w:pPr>
      <w:r>
        <w:rPr>
          <w:rFonts w:ascii="Times New Roman" w:eastAsia="Calibri" w:hAnsi="Times New Roman" w:cs="Times New Roman"/>
          <w:noProof/>
          <w:sz w:val="24"/>
          <w:szCs w:val="24"/>
          <w:lang w:eastAsia="en-GB"/>
        </w:rPr>
        <w:t>The planned excess over the Treaty reference value in 2020 is exceptional, as it results from a severe economic downturn. Taking into account the impact of the COVID-19 pandemic, the Commission 2020 spring forecast projects a contraction of real GDP in 2020 by 6.5%.</w:t>
      </w:r>
    </w:p>
    <w:p>
      <w:pPr>
        <w:spacing w:before="120" w:after="120" w:line="240" w:lineRule="auto"/>
        <w:jc w:val="both"/>
        <w:rPr>
          <w:rFonts w:ascii="Times New Roman" w:eastAsia="Calibri" w:hAnsi="Times New Roman" w:cs="Times New Roman"/>
          <w:noProof/>
          <w:sz w:val="24"/>
          <w:szCs w:val="24"/>
          <w:lang w:eastAsia="en-GB"/>
        </w:rPr>
      </w:pPr>
      <w:r>
        <w:rPr>
          <w:rFonts w:ascii="Times New Roman" w:eastAsia="Calibri" w:hAnsi="Times New Roman" w:cs="Times New Roman"/>
          <w:noProof/>
          <w:sz w:val="24"/>
          <w:szCs w:val="24"/>
          <w:lang w:eastAsia="en-GB"/>
        </w:rPr>
        <w:t>The planned excess over the Treaty reference value would be temporary based on the Commission 2020 spring forecast, which projects the general government deficit to fall under 3% of GDP in 2021. However, those projections are surrounded by an exceptionally high degree of uncertainty.</w:t>
      </w:r>
    </w:p>
    <w:p>
      <w:pPr>
        <w:spacing w:before="120" w:after="120" w:line="240" w:lineRule="auto"/>
        <w:jc w:val="both"/>
        <w:rPr>
          <w:rFonts w:ascii="Times New Roman" w:eastAsia="Calibri" w:hAnsi="Times New Roman" w:cs="Times New Roman"/>
          <w:noProof/>
          <w:sz w:val="24"/>
          <w:szCs w:val="24"/>
          <w:lang w:eastAsia="en-GB"/>
        </w:rPr>
      </w:pPr>
      <w:r>
        <w:rPr>
          <w:rFonts w:ascii="Times New Roman" w:eastAsia="Calibri" w:hAnsi="Times New Roman" w:cs="Times New Roman"/>
          <w:noProof/>
          <w:sz w:val="24"/>
          <w:szCs w:val="24"/>
          <w:lang w:eastAsia="en-GB"/>
        </w:rPr>
        <w:t xml:space="preserve">In sum, the planned deficit for 2020 is above and not close to the 3%-of-GDP Treaty reference value. The planned excess is considered to be exceptional as defined by the Treaty and the Stability and Growth Pact, </w:t>
      </w:r>
      <w:r>
        <w:rPr>
          <w:rFonts w:ascii="Times New Roman" w:eastAsia="Times New Roman" w:hAnsi="Times New Roman" w:cs="Calibri"/>
          <w:bCs/>
          <w:noProof/>
          <w:sz w:val="24"/>
          <w:lang w:eastAsia="en-GB"/>
        </w:rPr>
        <w:t>while the nature of the excess is currently considered temporary</w:t>
      </w:r>
      <w:r>
        <w:rPr>
          <w:rFonts w:ascii="Times New Roman" w:eastAsia="Calibri" w:hAnsi="Times New Roman" w:cs="Times New Roman"/>
          <w:noProof/>
          <w:sz w:val="24"/>
          <w:szCs w:val="24"/>
          <w:lang w:eastAsia="en-GB"/>
        </w:rPr>
        <w:t xml:space="preserve">. Hence, the analysis suggests that </w:t>
      </w:r>
      <w:r>
        <w:rPr>
          <w:rFonts w:ascii="Times New Roman" w:eastAsia="Times New Roman" w:hAnsi="Times New Roman" w:cs="Calibri"/>
          <w:bCs/>
          <w:i/>
          <w:noProof/>
          <w:sz w:val="24"/>
          <w:lang w:eastAsia="en-GB"/>
        </w:rPr>
        <w:t>prima facie</w:t>
      </w:r>
      <w:r>
        <w:rPr>
          <w:rFonts w:ascii="Times New Roman" w:eastAsia="Times New Roman" w:hAnsi="Times New Roman" w:cs="Calibri"/>
          <w:bCs/>
          <w:noProof/>
          <w:sz w:val="24"/>
          <w:lang w:eastAsia="en-GB"/>
        </w:rPr>
        <w:t xml:space="preserve"> </w:t>
      </w:r>
      <w:r>
        <w:rPr>
          <w:rFonts w:ascii="Times New Roman" w:eastAsia="Calibri" w:hAnsi="Times New Roman" w:cs="Times New Roman"/>
          <w:noProof/>
          <w:sz w:val="24"/>
          <w:szCs w:val="24"/>
          <w:lang w:eastAsia="en-GB"/>
        </w:rPr>
        <w:t>the deficit criterion as defined by the Treaty and Regulation (EC) No 1467/97 is not fulfilled.</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outlineLvl w:val="0"/>
        <w:rPr>
          <w:rFonts w:ascii="Times New Roman" w:eastAsia="Times New Roman" w:hAnsi="Times New Roman" w:cs="Times New Roman"/>
          <w:b/>
          <w:smallCaps/>
          <w:noProof/>
          <w:sz w:val="24"/>
          <w:lang w:eastAsia="en-GB"/>
        </w:rPr>
      </w:pPr>
      <w:r>
        <w:rPr>
          <w:rFonts w:ascii="Times New Roman" w:eastAsia="Times New Roman" w:hAnsi="Times New Roman" w:cs="Times New Roman"/>
          <w:b/>
          <w:smallCaps/>
          <w:noProof/>
          <w:sz w:val="24"/>
          <w:lang w:eastAsia="en-GB"/>
        </w:rPr>
        <w:t>3.</w:t>
      </w:r>
      <w:r>
        <w:rPr>
          <w:rFonts w:ascii="Times New Roman" w:eastAsia="Times New Roman" w:hAnsi="Times New Roman" w:cs="Times New Roman"/>
          <w:b/>
          <w:smallCaps/>
          <w:noProof/>
          <w:sz w:val="24"/>
          <w:lang w:eastAsia="en-GB"/>
        </w:rPr>
        <w:tab/>
        <w:t xml:space="preserve">Relevant factors </w:t>
      </w:r>
    </w:p>
    <w:p>
      <w:pPr>
        <w:spacing w:before="120" w:after="120" w:line="240" w:lineRule="auto"/>
        <w:jc w:val="both"/>
        <w:rPr>
          <w:rFonts w:ascii="Times New Roman" w:eastAsia="Times New Roman" w:hAnsi="Times New Roman" w:cs="Times New Roman"/>
          <w:noProof/>
          <w:sz w:val="24"/>
          <w:lang w:eastAsia="en-GB"/>
        </w:rPr>
      </w:pPr>
      <w:r>
        <w:rPr>
          <w:rFonts w:ascii="Times New Roman" w:eastAsia="Times New Roman" w:hAnsi="Times New Roman" w:cs="Times New Roman"/>
          <w:noProof/>
          <w:sz w:val="24"/>
          <w:lang w:eastAsia="en-GB"/>
        </w:rPr>
        <w:t xml:space="preserve">Article 126(3) of the Treaty provides that, if a Member State does not fulfil the requirements under one or both of those criteria, the Commission has to prepare a report. That report must also “take into account whether the government deficit exceeds government investment expenditure and take into account all other relevant factors, including the medium-term economic and budgetary position of the Member State”. </w:t>
      </w:r>
    </w:p>
    <w:p>
      <w:pPr>
        <w:spacing w:before="120" w:after="120" w:line="240" w:lineRule="auto"/>
        <w:jc w:val="both"/>
        <w:rPr>
          <w:rFonts w:ascii="Times New Roman" w:eastAsia="Times New Roman" w:hAnsi="Times New Roman" w:cs="Times New Roman"/>
          <w:noProof/>
          <w:sz w:val="24"/>
          <w:lang w:eastAsia="en-GB"/>
        </w:rPr>
      </w:pPr>
      <w:r>
        <w:rPr>
          <w:rFonts w:ascii="Times New Roman" w:eastAsia="Times New Roman" w:hAnsi="Times New Roman" w:cs="Times New Roman"/>
          <w:noProof/>
          <w:sz w:val="24"/>
          <w:lang w:eastAsia="en-GB"/>
        </w:rPr>
        <w:t>Those factors are further clarified in Article 2(3) of Regulation (EC) No 1467/97, which also provides that “any other factors which, in the opinion of the Member State concerned, are relevant in order to comprehensively assess compliance with the deficit and debt criteria and which the Member State has put forward to the Council and to the Commission” need to be given due consideration.</w:t>
      </w:r>
    </w:p>
    <w:p>
      <w:pPr>
        <w:widowControl w:val="0"/>
        <w:spacing w:before="120" w:after="120" w:line="240" w:lineRule="auto"/>
        <w:jc w:val="both"/>
        <w:rPr>
          <w:rFonts w:ascii="Times New Roman" w:eastAsia="Times New Roman" w:hAnsi="Times New Roman" w:cs="Times New Roman"/>
          <w:noProof/>
          <w:sz w:val="24"/>
          <w:lang w:eastAsia="en-GB"/>
        </w:rPr>
      </w:pPr>
      <w:r>
        <w:rPr>
          <w:rFonts w:ascii="Times New Roman" w:hAnsi="Times New Roman" w:cs="Times New Roman"/>
          <w:noProof/>
          <w:sz w:val="24"/>
          <w:szCs w:val="24"/>
          <w:lang w:eastAsia="en-GB"/>
        </w:rPr>
        <w:t xml:space="preserve">As specified in Article 2(4) of Regulation (EC) No 1467/97, as regards compliance with the deficit criterion in 2020, </w:t>
      </w:r>
      <w:r>
        <w:rPr>
          <w:rFonts w:ascii="Times New Roman" w:eastAsia="Times New Roman" w:hAnsi="Times New Roman" w:cs="Times New Roman"/>
          <w:noProof/>
          <w:sz w:val="24"/>
          <w:lang w:eastAsia="en-GB"/>
        </w:rPr>
        <w:t xml:space="preserve">since the government debt-to-GDP ratio is planned to exceed the 60% reference value in 2020 and the double condition is not met – i.e. that the deficit remains close to the reference value and that its excess over the reference value is temporary – those relevant factors cannot be taken into account in the steps leading to the decision on the existence of an excessive deficit on the basis of the deficit criterion for Germany. </w:t>
      </w:r>
    </w:p>
    <w:p>
      <w:pPr>
        <w:spacing w:before="120" w:after="120" w:line="240" w:lineRule="auto"/>
        <w:jc w:val="both"/>
        <w:rPr>
          <w:rFonts w:ascii="Times New Roman" w:eastAsia="Times New Roman" w:hAnsi="Times New Roman" w:cs="Times New Roman"/>
          <w:noProof/>
          <w:sz w:val="24"/>
          <w:lang w:eastAsia="en-GB"/>
        </w:rPr>
      </w:pPr>
      <w:r>
        <w:rPr>
          <w:rFonts w:ascii="Times New Roman" w:eastAsia="Times New Roman" w:hAnsi="Times New Roman" w:cs="Times New Roman"/>
          <w:noProof/>
          <w:sz w:val="24"/>
          <w:lang w:eastAsia="en-GB"/>
        </w:rPr>
        <w:t xml:space="preserve">In the current situation, a key additional factor to take into consideration regarding 2020  </w:t>
      </w:r>
      <w:r>
        <w:rPr>
          <w:rFonts w:ascii="Times New Roman" w:hAnsi="Times New Roman" w:cs="Times New Roman"/>
          <w:noProof/>
          <w:sz w:val="24"/>
          <w:szCs w:val="24"/>
          <w:lang w:eastAsia="en-GB"/>
        </w:rPr>
        <w:t xml:space="preserve">is the economic impact </w:t>
      </w:r>
      <w:r>
        <w:rPr>
          <w:rFonts w:ascii="Times New Roman" w:eastAsia="Times New Roman" w:hAnsi="Times New Roman" w:cs="Times New Roman"/>
          <w:noProof/>
          <w:sz w:val="24"/>
          <w:lang w:eastAsia="en-GB"/>
        </w:rPr>
        <w:t>of the COVID-19 pandemic, which has a very substantial impact on the budgetary situation and results in a highly uncertain outlook. The pandemic has also led to the activation of the general escape clause.</w:t>
      </w:r>
    </w:p>
    <w:p>
      <w:pPr>
        <w:spacing w:before="120" w:after="120" w:line="240" w:lineRule="auto"/>
        <w:jc w:val="both"/>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lang w:eastAsia="en-GB"/>
        </w:rPr>
      </w:pPr>
      <w:r>
        <w:rPr>
          <w:rFonts w:ascii="Times New Roman" w:eastAsia="Times New Roman" w:hAnsi="Times New Roman" w:cs="Times New Roman"/>
          <w:b/>
          <w:noProof/>
          <w:sz w:val="24"/>
          <w:lang w:eastAsia="en-GB"/>
        </w:rPr>
        <w:t>3.1.</w:t>
      </w:r>
      <w:r>
        <w:rPr>
          <w:rFonts w:ascii="Times New Roman" w:eastAsia="Times New Roman" w:hAnsi="Times New Roman" w:cs="Times New Roman"/>
          <w:b/>
          <w:noProof/>
          <w:sz w:val="24"/>
          <w:lang w:eastAsia="en-GB"/>
        </w:rPr>
        <w:tab/>
      </w:r>
      <w:r>
        <w:rPr>
          <w:rFonts w:ascii="Times New Roman" w:eastAsia="Times New Roman" w:hAnsi="Times New Roman" w:cs="Times New Roman"/>
          <w:b/>
          <w:noProof/>
          <w:sz w:val="24"/>
          <w:lang w:eastAsia="en-GB"/>
        </w:rPr>
        <w:tab/>
        <w:t xml:space="preserve">COVID-19 pandemic </w:t>
      </w:r>
    </w:p>
    <w:p>
      <w:pPr>
        <w:widowControl w:val="0"/>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bCs/>
          <w:noProof/>
          <w:sz w:val="24"/>
          <w:szCs w:val="24"/>
          <w:lang w:eastAsia="en-GB"/>
        </w:rPr>
        <w:t xml:space="preserve">The COVID-19 pandemic has led to a major economic shock that is having a significant negative impact throughout the European Union. The consequences for GDP growth will depend on the duration of both the pandemic and of the measures taken by national authorities and at European and global level to slow its spread, protect production capacities and support aggregate demand. </w:t>
      </w:r>
      <w:r>
        <w:rPr>
          <w:rFonts w:ascii="Times New Roman" w:hAnsi="Times New Roman" w:cs="Times New Roman"/>
          <w:noProof/>
          <w:sz w:val="24"/>
          <w:szCs w:val="24"/>
        </w:rPr>
        <w:t>Member States have already adopted or are adopting budgetary measures to increase the capacity of health systems and provide relief to those individuals and sectors that are particularly affected. Significant liquidity support measures and other guarantees have also been adopted. Subject to more detailed information, the competent statistical authorities are to examine whether those measures entail an immediate impact on the general government balance or not. Together with the fall in economic activity, those measures will contribute to substantially higher government deficit and debt positions.</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3.2</w:t>
      </w:r>
      <w:r>
        <w:rPr>
          <w:rFonts w:ascii="Times New Roman" w:eastAsia="Times New Roman" w:hAnsi="Times New Roman" w:cs="Times New Roman"/>
          <w:b/>
          <w:noProof/>
          <w:sz w:val="24"/>
          <w:szCs w:val="24"/>
          <w:lang w:eastAsia="en-GB"/>
        </w:rPr>
        <w:tab/>
        <w:t xml:space="preserve">Medium-term economic position </w:t>
      </w:r>
    </w:p>
    <w:p>
      <w:pPr>
        <w:widowControl w:val="0"/>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Economic growth reached 0.6% in 2019, mainly supported by the robust performance of domestic demand. However, due to the COVID-19 pandemic, the Commission 2020 spring forecast projects GDP to decline by 6.5% in 2020, reflecting the disruption in economic activity caused by the lockdown measures and an unprecedented fall in external demand in the first half of 2020. Private consumption is projected to be hard-hit due to increased uncertainty of consumers, an increase in unemployment and a sharp drop in wage growth. Business investment is also set to fall strongly in 2020 as uncertainty mounts and expectations of lower demand are likely to have an impact on firm’s investment plans. Moreover, the macroeconomic outlook is subject to exceptional uncertainty related to the duration of the COVID-19 pandemic and its economic impact. This a mitigating factor in the assessment of Member State’s compliance with the deficit criterion in 2020.</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3.3</w:t>
      </w:r>
      <w:r>
        <w:rPr>
          <w:rFonts w:ascii="Times New Roman" w:eastAsia="Times New Roman" w:hAnsi="Times New Roman" w:cs="Times New Roman"/>
          <w:b/>
          <w:noProof/>
          <w:sz w:val="24"/>
          <w:szCs w:val="24"/>
          <w:lang w:eastAsia="en-GB"/>
        </w:rPr>
        <w:tab/>
      </w:r>
      <w:r>
        <w:rPr>
          <w:rFonts w:ascii="Times New Roman" w:eastAsia="Times New Roman" w:hAnsi="Times New Roman" w:cs="Times New Roman"/>
          <w:b/>
          <w:noProof/>
          <w:sz w:val="24"/>
          <w:szCs w:val="24"/>
          <w:lang w:eastAsia="en-GB"/>
        </w:rPr>
        <w:tab/>
        <w:t>Medium-term budgetary position</w:t>
      </w:r>
    </w:p>
    <w:p>
      <w:p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Based on outturn data and the Commission 2020 spring forecast, Germany achieved its medium-term budgetary objective  in 2019. </w:t>
      </w:r>
    </w:p>
    <w:p>
      <w:pPr>
        <w:spacing w:before="120" w:after="120" w:line="240" w:lineRule="auto"/>
        <w:jc w:val="both"/>
        <w:rPr>
          <w:rFonts w:ascii="Times New Roman" w:hAnsi="Times New Roman" w:cs="Times New Roman"/>
          <w:noProof/>
          <w:sz w:val="24"/>
          <w:lang w:eastAsia="en-GB"/>
        </w:rPr>
      </w:pPr>
      <w:r>
        <w:rPr>
          <w:rFonts w:ascii="Times New Roman" w:eastAsia="Times New Roman" w:hAnsi="Times New Roman" w:cs="Calibri"/>
          <w:bCs/>
          <w:noProof/>
          <w:sz w:val="24"/>
          <w:lang w:eastAsia="en-GB"/>
        </w:rPr>
        <w:t xml:space="preserve">A supplementary budget for 2020 was adopted by the German Parliament on 25 March 2020, to finance the various and sizeable measures for protecting the economy against the effects of the COVID-19 pandemic as well as to compensate the shortfalls in tax revenues due to the downturn in economic activity. </w:t>
      </w:r>
      <w:r>
        <w:rPr>
          <w:rFonts w:ascii="Times New Roman" w:hAnsi="Times New Roman" w:cs="Times New Roman"/>
          <w:noProof/>
          <w:sz w:val="24"/>
          <w:lang w:eastAsia="en-GB"/>
        </w:rPr>
        <w:t xml:space="preserve">Those measures include support for the healthcare sector and developing a vaccine against the COVID-19 virus, but mainly focus on stabilising the economy by providing liquidity support for companies and grants to small companies and self-employed as well as keeping people employed by using short-time working schemes. </w:t>
      </w:r>
    </w:p>
    <w:p>
      <w:pPr>
        <w:widowControl w:val="0"/>
        <w:spacing w:before="120" w:after="120" w:line="240" w:lineRule="auto"/>
        <w:jc w:val="both"/>
        <w:rPr>
          <w:rFonts w:ascii="Times New Roman" w:hAnsi="Times New Roman" w:cs="Times New Roman"/>
          <w:noProof/>
          <w:sz w:val="24"/>
          <w:lang w:eastAsia="en-GB"/>
        </w:rPr>
      </w:pPr>
      <w:r>
        <w:rPr>
          <w:rFonts w:ascii="Times New Roman" w:hAnsi="Times New Roman" w:cs="Times New Roman"/>
          <w:noProof/>
          <w:sz w:val="24"/>
          <w:lang w:eastAsia="en-GB"/>
        </w:rPr>
        <w:t>The Stability Programme lists the various measures adopted, which amount in total to more than EUR 450 billion (14% of GDP) in direct support measures and EUR 800 billion (25% of GDP) in additional guarantees for loans. The expected budgetary impact including shortfalls in tax revenues due to automatic stabilisers and granted tax deferrals amounts to -7.2% of GDP for 2020. The actual budgetary impact will also depend on the uptake of the support measures and on the calling of guarantees. The fiscal outlook is thus also surrounded by a high degree of uncertainty created by the COVID-19 pandemic.</w:t>
      </w:r>
    </w:p>
    <w:p>
      <w:pPr>
        <w:widowControl w:val="0"/>
        <w:spacing w:before="120" w:after="120" w:line="240" w:lineRule="auto"/>
        <w:jc w:val="both"/>
        <w:rPr>
          <w:rFonts w:ascii="Times New Roman" w:hAnsi="Times New Roman" w:cs="Times New Roman"/>
          <w:noProof/>
          <w:sz w:val="24"/>
          <w:lang w:eastAsia="en-GB"/>
        </w:rPr>
      </w:pPr>
    </w:p>
    <w:p>
      <w:pPr>
        <w:widowControl w:val="0"/>
        <w:spacing w:before="120" w:after="120" w:line="240" w:lineRule="auto"/>
        <w:jc w:val="both"/>
        <w:rPr>
          <w:rFonts w:ascii="Times New Roman" w:hAnsi="Times New Roman" w:cs="Times New Roman"/>
          <w:noProof/>
          <w:sz w:val="24"/>
          <w:lang w:eastAsia="en-GB"/>
        </w:rPr>
      </w:pPr>
    </w:p>
    <w:p>
      <w:pPr>
        <w:spacing w:before="120" w:after="120" w:line="240" w:lineRule="auto"/>
        <w:jc w:val="both"/>
        <w:rPr>
          <w:rFonts w:ascii="Times New Roman" w:eastAsia="Times New Roman" w:hAnsi="Times New Roman" w:cs="Times New Roman"/>
          <w:b/>
          <w:noProof/>
          <w:sz w:val="24"/>
          <w:lang w:eastAsia="en-GB"/>
        </w:rPr>
      </w:pPr>
      <w:r>
        <w:rPr>
          <w:rFonts w:ascii="Times New Roman" w:eastAsia="Times New Roman" w:hAnsi="Times New Roman" w:cs="Times New Roman"/>
          <w:b/>
          <w:noProof/>
          <w:sz w:val="24"/>
          <w:lang w:eastAsia="en-GB"/>
        </w:rPr>
        <w:t>3.4.</w:t>
      </w:r>
      <w:r>
        <w:rPr>
          <w:rFonts w:ascii="Times New Roman" w:eastAsia="Times New Roman" w:hAnsi="Times New Roman" w:cs="Times New Roman"/>
          <w:b/>
          <w:noProof/>
          <w:sz w:val="24"/>
          <w:lang w:eastAsia="en-GB"/>
        </w:rPr>
        <w:tab/>
        <w:t>Medium-term government debt position</w:t>
      </w:r>
    </w:p>
    <w:p>
      <w:pPr>
        <w:spacing w:before="120" w:after="120" w:line="240" w:lineRule="auto"/>
        <w:jc w:val="both"/>
        <w:rPr>
          <w:rFonts w:ascii="Times New Roman" w:eastAsia="Times New Roman" w:hAnsi="Times New Roman" w:cs="Times New Roman"/>
          <w:noProof/>
          <w:sz w:val="24"/>
          <w:lang w:eastAsia="en-GB"/>
        </w:rPr>
      </w:pPr>
      <w:r>
        <w:rPr>
          <w:rFonts w:ascii="Times New Roman" w:eastAsia="Times New Roman" w:hAnsi="Times New Roman" w:cs="Times New Roman"/>
          <w:noProof/>
          <w:sz w:val="24"/>
          <w:lang w:eastAsia="en-GB"/>
        </w:rPr>
        <w:t>According to the Commission 2020 spring forecast, general government debt is expected to rise from 59.8% of GDP in 2019 to 75.6% in 2020.</w:t>
      </w:r>
    </w:p>
    <w:p>
      <w:pPr>
        <w:spacing w:before="120" w:after="120" w:line="240" w:lineRule="auto"/>
        <w:jc w:val="both"/>
        <w:rPr>
          <w:rFonts w:ascii="Times New Roman" w:eastAsia="Times New Roman" w:hAnsi="Times New Roman" w:cs="Times New Roman"/>
          <w:iCs/>
          <w:noProof/>
          <w:sz w:val="24"/>
          <w:lang w:eastAsia="en-GB"/>
        </w:rPr>
      </w:pPr>
      <w:r>
        <w:rPr>
          <w:rFonts w:ascii="Times New Roman" w:eastAsia="Times New Roman" w:hAnsi="Times New Roman" w:cs="Times New Roman"/>
          <w:iCs/>
          <w:noProof/>
          <w:sz w:val="24"/>
          <w:lang w:eastAsia="en-GB"/>
        </w:rPr>
        <w:t xml:space="preserve">The debt sustainability analysis has been updated with the Commission 2020 spring forecast. </w:t>
      </w:r>
      <w:r>
        <w:rPr>
          <w:rFonts w:ascii="Times New Roman" w:hAnsi="Times New Roman" w:cs="Times New Roman"/>
          <w:noProof/>
          <w:sz w:val="24"/>
          <w:szCs w:val="24"/>
        </w:rPr>
        <w:t>Overall, the debt sustainability assessment</w:t>
      </w:r>
      <w:r>
        <w:rPr>
          <w:rFonts w:ascii="Times New Roman" w:eastAsia="Times New Roman" w:hAnsi="Times New Roman" w:cs="Times New Roman"/>
          <w:iCs/>
          <w:noProof/>
          <w:sz w:val="24"/>
          <w:lang w:eastAsia="en-GB"/>
        </w:rPr>
        <w:t xml:space="preserve"> indicates that the debt position remains sustainable over the medium-term, which takes account of important mitigating factors (including the debt profile and status). In particular, while the government debt position has deteriorated as a result of the COVID-19 crisis, the debt-to-GDP ratio in the baseline is expected to be on a sustainable (declining) trajectory over the medium term.</w:t>
      </w:r>
      <w:r>
        <w:rPr>
          <w:rStyle w:val="FootnoteReference"/>
          <w:rFonts w:eastAsiaTheme="minorHAnsi"/>
          <w:iCs/>
          <w:noProof/>
        </w:rPr>
        <w:footnoteReference w:id="3"/>
      </w: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iCs/>
          <w:noProof/>
          <w:sz w:val="24"/>
          <w:lang w:eastAsia="en-GB"/>
        </w:rPr>
      </w:pPr>
      <w:r>
        <w:rPr>
          <w:rFonts w:ascii="Times New Roman" w:eastAsia="Times New Roman" w:hAnsi="Times New Roman" w:cs="Times New Roman"/>
          <w:b/>
          <w:noProof/>
          <w:sz w:val="24"/>
          <w:lang w:eastAsia="en-GB"/>
        </w:rPr>
        <w:t xml:space="preserve">Graph </w:t>
      </w:r>
      <w:r>
        <w:rPr>
          <w:rFonts w:ascii="Times New Roman" w:eastAsia="Times New Roman" w:hAnsi="Times New Roman" w:cs="Times New Roman"/>
          <w:b/>
          <w:noProof/>
          <w:sz w:val="24"/>
          <w:lang w:eastAsia="en-GB"/>
        </w:rPr>
        <w:fldChar w:fldCharType="begin"/>
      </w:r>
      <w:r>
        <w:rPr>
          <w:rFonts w:ascii="Times New Roman" w:eastAsia="Times New Roman" w:hAnsi="Times New Roman" w:cs="Times New Roman"/>
          <w:b/>
          <w:noProof/>
          <w:sz w:val="24"/>
          <w:lang w:eastAsia="en-GB"/>
        </w:rPr>
        <w:instrText xml:space="preserve"> SEQ Table \* ARABIC </w:instrText>
      </w:r>
      <w:r>
        <w:rPr>
          <w:rFonts w:ascii="Times New Roman" w:eastAsia="Times New Roman" w:hAnsi="Times New Roman" w:cs="Times New Roman"/>
          <w:b/>
          <w:noProof/>
          <w:sz w:val="24"/>
          <w:lang w:eastAsia="en-GB"/>
        </w:rPr>
        <w:fldChar w:fldCharType="separate"/>
      </w:r>
      <w:r>
        <w:rPr>
          <w:rFonts w:ascii="Times New Roman" w:eastAsia="Times New Roman" w:hAnsi="Times New Roman" w:cs="Times New Roman"/>
          <w:b/>
          <w:noProof/>
          <w:sz w:val="24"/>
          <w:lang w:eastAsia="en-GB"/>
        </w:rPr>
        <w:t>1</w:t>
      </w:r>
      <w:r>
        <w:rPr>
          <w:rFonts w:ascii="Times New Roman" w:eastAsia="Times New Roman" w:hAnsi="Times New Roman" w:cs="Times New Roman"/>
          <w:b/>
          <w:noProof/>
          <w:sz w:val="24"/>
          <w:lang w:eastAsia="en-GB"/>
        </w:rPr>
        <w:fldChar w:fldCharType="end"/>
      </w:r>
      <w:r>
        <w:rPr>
          <w:rFonts w:ascii="Times New Roman" w:eastAsia="Times New Roman" w:hAnsi="Times New Roman" w:cs="Times New Roman"/>
          <w:b/>
          <w:noProof/>
          <w:sz w:val="24"/>
          <w:lang w:eastAsia="en-GB"/>
        </w:rPr>
        <w:t>: Government debt-to-GDP ratio, Germany, % of GDP</w:t>
      </w:r>
    </w:p>
    <w:p>
      <w:pPr>
        <w:spacing w:before="120" w:after="120" w:line="240" w:lineRule="auto"/>
        <w:jc w:val="center"/>
        <w:rPr>
          <w:rFonts w:ascii="Times New Roman" w:eastAsia="Times New Roman" w:hAnsi="Times New Roman" w:cs="Times New Roman"/>
          <w:iCs/>
          <w:noProof/>
          <w:sz w:val="24"/>
          <w:lang w:eastAsia="en-GB"/>
        </w:rPr>
      </w:pPr>
      <w:r>
        <w:rPr>
          <w:rFonts w:ascii="Times New Roman" w:eastAsia="Times New Roman" w:hAnsi="Times New Roman" w:cs="Times New Roman"/>
          <w:iCs/>
          <w:noProof/>
          <w:sz w:val="24"/>
          <w:lang w:eastAsia="en-GB"/>
        </w:rPr>
        <w:drawing>
          <wp:inline distT="0" distB="0" distL="0" distR="0">
            <wp:extent cx="5731510" cy="277678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776786"/>
                    </a:xfrm>
                    <a:prstGeom prst="rect">
                      <a:avLst/>
                    </a:prstGeom>
                    <a:noFill/>
                    <a:ln>
                      <a:noFill/>
                    </a:ln>
                  </pic:spPr>
                </pic:pic>
              </a:graphicData>
            </a:graphic>
          </wp:inline>
        </w:drawing>
      </w:r>
    </w:p>
    <w:p>
      <w:pPr>
        <w:widowControl w:val="0"/>
        <w:tabs>
          <w:tab w:val="left" w:pos="850"/>
        </w:tabs>
        <w:spacing w:before="360" w:after="120" w:line="240" w:lineRule="auto"/>
        <w:ind w:left="851" w:hanging="851"/>
        <w:jc w:val="both"/>
        <w:outlineLvl w:val="1"/>
        <w:rPr>
          <w:rFonts w:ascii="Times New Roman" w:eastAsia="Times New Roman" w:hAnsi="Times New Roman" w:cs="Times New Roman"/>
          <w:b/>
          <w:noProof/>
          <w:sz w:val="24"/>
          <w:lang w:eastAsia="en-GB"/>
        </w:rPr>
      </w:pPr>
      <w:r>
        <w:rPr>
          <w:rFonts w:ascii="Times New Roman" w:eastAsia="Times New Roman" w:hAnsi="Times New Roman" w:cs="Times New Roman"/>
          <w:b/>
          <w:noProof/>
          <w:sz w:val="24"/>
          <w:lang w:eastAsia="en-GB"/>
        </w:rPr>
        <w:t>Source:</w:t>
      </w:r>
      <w:r>
        <w:rPr>
          <w:rFonts w:ascii="Times New Roman" w:eastAsia="Times New Roman" w:hAnsi="Times New Roman" w:cs="Times New Roman"/>
          <w:noProof/>
          <w:sz w:val="24"/>
          <w:lang w:eastAsia="en-GB"/>
        </w:rPr>
        <w:t xml:space="preserve"> Commission services</w:t>
      </w:r>
    </w:p>
    <w:p>
      <w:pPr>
        <w:widowControl w:val="0"/>
        <w:tabs>
          <w:tab w:val="left" w:pos="850"/>
        </w:tabs>
        <w:spacing w:before="360" w:after="120" w:line="240" w:lineRule="auto"/>
        <w:ind w:left="851" w:hanging="851"/>
        <w:jc w:val="both"/>
        <w:outlineLvl w:val="1"/>
        <w:rPr>
          <w:rFonts w:ascii="Times New Roman" w:eastAsia="Times New Roman" w:hAnsi="Times New Roman" w:cs="Times New Roman"/>
          <w:b/>
          <w:noProof/>
          <w:sz w:val="24"/>
          <w:lang w:eastAsia="en-GB"/>
        </w:rPr>
      </w:pPr>
      <w:r>
        <w:rPr>
          <w:rFonts w:ascii="Times New Roman" w:eastAsia="Times New Roman" w:hAnsi="Times New Roman" w:cs="Times New Roman"/>
          <w:b/>
          <w:noProof/>
          <w:sz w:val="24"/>
          <w:lang w:eastAsia="en-GB"/>
        </w:rPr>
        <w:t>3.5</w:t>
      </w:r>
      <w:r>
        <w:rPr>
          <w:rFonts w:ascii="Times New Roman" w:eastAsia="Times New Roman" w:hAnsi="Times New Roman" w:cs="Times New Roman"/>
          <w:b/>
          <w:noProof/>
          <w:sz w:val="24"/>
          <w:lang w:eastAsia="en-GB"/>
        </w:rPr>
        <w:tab/>
        <w:t>Other factors put forward by the Member State</w:t>
      </w:r>
    </w:p>
    <w:p>
      <w:pPr>
        <w:widowControl w:val="0"/>
        <w:spacing w:before="120" w:after="120" w:line="240" w:lineRule="auto"/>
        <w:jc w:val="both"/>
        <w:rPr>
          <w:rFonts w:ascii="Times New Roman" w:eastAsia="Times New Roman" w:hAnsi="Times New Roman" w:cs="Calibri"/>
          <w:bCs/>
          <w:noProof/>
          <w:sz w:val="24"/>
          <w:lang w:eastAsia="en-GB"/>
        </w:rPr>
      </w:pPr>
      <w:r>
        <w:rPr>
          <w:rFonts w:ascii="Times New Roman" w:eastAsia="Times New Roman" w:hAnsi="Times New Roman" w:cs="Calibri"/>
          <w:bCs/>
          <w:noProof/>
          <w:sz w:val="24"/>
          <w:lang w:eastAsia="en-GB"/>
        </w:rPr>
        <w:t xml:space="preserve">On 19 May 2020, the German authorities transmitted a letter with relevant factors in accordance with Article 2(3) of Regulation (EC) No 1467/97. The analysis presented in the previous sections already broadly covers the key factors put forward by the authorities. </w:t>
      </w:r>
    </w:p>
    <w:p>
      <w:pPr>
        <w:widowControl w:val="0"/>
        <w:spacing w:before="120" w:after="120" w:line="240" w:lineRule="auto"/>
        <w:jc w:val="both"/>
        <w:rPr>
          <w:rFonts w:ascii="Times New Roman" w:eastAsia="Times New Roman" w:hAnsi="Times New Roman" w:cs="Calibri"/>
          <w:bCs/>
          <w:noProof/>
          <w:sz w:val="24"/>
          <w:lang w:eastAsia="en-GB"/>
        </w:rPr>
      </w:pPr>
      <w:r>
        <w:rPr>
          <w:rFonts w:ascii="Times New Roman" w:eastAsia="Times New Roman" w:hAnsi="Times New Roman" w:cs="Calibri"/>
          <w:bCs/>
          <w:noProof/>
          <w:sz w:val="24"/>
          <w:lang w:eastAsia="en-GB"/>
        </w:rPr>
        <w:t xml:space="preserve"> </w:t>
      </w:r>
    </w:p>
    <w:p>
      <w:pPr>
        <w:widowControl w:val="0"/>
        <w:spacing w:before="120" w:after="120" w:line="240" w:lineRule="auto"/>
        <w:jc w:val="both"/>
        <w:rPr>
          <w:rFonts w:ascii="Times New Roman" w:eastAsia="Times New Roman" w:hAnsi="Times New Roman" w:cs="Times New Roman"/>
          <w:b/>
          <w:smallCaps/>
          <w:noProof/>
          <w:sz w:val="24"/>
          <w:lang w:eastAsia="en-GB"/>
        </w:rPr>
      </w:pPr>
      <w:r>
        <w:rPr>
          <w:rFonts w:ascii="Times New Roman" w:eastAsia="Times New Roman" w:hAnsi="Times New Roman" w:cs="Times New Roman"/>
          <w:b/>
          <w:smallCaps/>
          <w:noProof/>
          <w:sz w:val="24"/>
          <w:lang w:eastAsia="en-GB"/>
        </w:rPr>
        <w:t>4.</w:t>
      </w:r>
      <w:r>
        <w:rPr>
          <w:rFonts w:ascii="Times New Roman" w:eastAsia="Times New Roman" w:hAnsi="Times New Roman" w:cs="Times New Roman"/>
          <w:b/>
          <w:smallCaps/>
          <w:noProof/>
          <w:sz w:val="24"/>
          <w:lang w:eastAsia="en-GB"/>
        </w:rPr>
        <w:tab/>
        <w:t>Conclusions</w:t>
      </w:r>
    </w:p>
    <w:p>
      <w:pPr>
        <w:widowControl w:val="0"/>
        <w:spacing w:before="120" w:after="120" w:line="240" w:lineRule="auto"/>
        <w:jc w:val="both"/>
        <w:rPr>
          <w:rFonts w:ascii="Times New Roman" w:eastAsia="Times New Roman" w:hAnsi="Times New Roman" w:cs="Calibri"/>
          <w:bCs/>
          <w:noProof/>
          <w:sz w:val="24"/>
          <w:lang w:eastAsia="en-GB"/>
        </w:rPr>
      </w:pPr>
      <w:r>
        <w:rPr>
          <w:rFonts w:ascii="Times New Roman" w:eastAsia="Times New Roman" w:hAnsi="Times New Roman" w:cs="Calibri"/>
          <w:bCs/>
          <w:noProof/>
          <w:sz w:val="24"/>
          <w:lang w:eastAsia="en-GB"/>
        </w:rPr>
        <w:t>According to the Stability Programme, Germany’s general government deficit in 2020 is planned to reach 7¼% of GDP, thereby exceeding the 3% of GDP Treaty reference value. The planned excess over the reference value is considered to be exceptional and currently considered to be temporary.</w:t>
      </w:r>
    </w:p>
    <w:p>
      <w:pPr>
        <w:widowControl w:val="0"/>
        <w:spacing w:before="120" w:after="120" w:line="240" w:lineRule="auto"/>
        <w:jc w:val="both"/>
        <w:rPr>
          <w:rFonts w:ascii="Times New Roman" w:eastAsia="Times New Roman" w:hAnsi="Times New Roman" w:cs="Calibri"/>
          <w:bCs/>
          <w:noProof/>
          <w:sz w:val="24"/>
          <w:lang w:eastAsia="en-GB"/>
        </w:rPr>
      </w:pPr>
      <w:r>
        <w:rPr>
          <w:rFonts w:ascii="Times New Roman" w:eastAsia="Times New Roman" w:hAnsi="Times New Roman" w:cs="Calibri"/>
          <w:bCs/>
          <w:noProof/>
          <w:sz w:val="24"/>
          <w:lang w:eastAsia="en-GB"/>
        </w:rPr>
        <w:t xml:space="preserve">In line with the Treaty and the Stability and Growth Pact, this report also examined relevant factors. </w:t>
      </w:r>
    </w:p>
    <w:p>
      <w:pPr>
        <w:widowControl w:val="0"/>
        <w:spacing w:before="120" w:after="120" w:line="240" w:lineRule="auto"/>
        <w:jc w:val="both"/>
        <w:rPr>
          <w:rFonts w:ascii="Times New Roman" w:eastAsia="Times New Roman" w:hAnsi="Times New Roman" w:cs="Times New Roman"/>
          <w:noProof/>
          <w:sz w:val="24"/>
          <w:lang w:eastAsia="en-GB"/>
        </w:rPr>
      </w:pPr>
      <w:r>
        <w:rPr>
          <w:rFonts w:ascii="Times New Roman" w:hAnsi="Times New Roman" w:cs="Times New Roman"/>
          <w:noProof/>
          <w:sz w:val="24"/>
          <w:szCs w:val="24"/>
          <w:lang w:eastAsia="en-GB"/>
        </w:rPr>
        <w:t>As</w:t>
      </w:r>
      <w:r>
        <w:rPr>
          <w:noProof/>
        </w:rPr>
        <w:t xml:space="preserve"> </w:t>
      </w:r>
      <w:r>
        <w:rPr>
          <w:rFonts w:ascii="Times New Roman" w:hAnsi="Times New Roman" w:cs="Times New Roman"/>
          <w:noProof/>
          <w:sz w:val="24"/>
          <w:szCs w:val="24"/>
          <w:lang w:eastAsia="en-GB"/>
        </w:rPr>
        <w:t>specified in Article 2(4) of Regulation (EC) No 1467/97, as regards compliance with the deficit criterion in 2020</w:t>
      </w:r>
      <w:r>
        <w:rPr>
          <w:rFonts w:ascii="Times New Roman" w:eastAsia="Times New Roman" w:hAnsi="Times New Roman" w:cs="Times New Roman"/>
          <w:noProof/>
          <w:sz w:val="24"/>
          <w:lang w:eastAsia="en-GB"/>
        </w:rPr>
        <w:t xml:space="preserve">, since the government debt-to-GDP ratio is planned to exceed the 60% reference value in 2020 and the double condition is not met – i.e. that the deficit remains close to the reference value and that its excess over the reference value is temporary – those relevant factors cannot be taken into account in the steps leading to the decision on the existence of an excessive deficit on the basis of the deficit criterion for Germany. </w:t>
      </w:r>
    </w:p>
    <w:p>
      <w:pPr>
        <w:widowControl w:val="0"/>
        <w:spacing w:before="120" w:after="120" w:line="240" w:lineRule="auto"/>
        <w:jc w:val="both"/>
        <w:rPr>
          <w:rFonts w:ascii="Times New Roman" w:eastAsia="Times New Roman" w:hAnsi="Times New Roman" w:cs="Calibri"/>
          <w:bCs/>
          <w:i/>
          <w:noProof/>
          <w:sz w:val="24"/>
          <w:lang w:eastAsia="en-GB"/>
        </w:rPr>
      </w:pPr>
      <w:r>
        <w:rPr>
          <w:rFonts w:ascii="Times New Roman" w:eastAsia="Times New Roman" w:hAnsi="Times New Roman" w:cs="Times New Roman"/>
          <w:noProof/>
          <w:sz w:val="24"/>
          <w:lang w:eastAsia="en-GB"/>
        </w:rPr>
        <w:t>Overall</w:t>
      </w:r>
      <w:r>
        <w:rPr>
          <w:rFonts w:ascii="Times New Roman" w:eastAsia="Times New Roman" w:hAnsi="Times New Roman" w:cs="Calibri"/>
          <w:bCs/>
          <w:noProof/>
          <w:sz w:val="24"/>
          <w:lang w:eastAsia="en-GB"/>
        </w:rPr>
        <w:t>, the analysis suggests that the deficit criterion as defined in the Treaty and in Regulation (EC) No 1467/1997 is not fulfilled</w:t>
      </w:r>
      <w:r>
        <w:rPr>
          <w:rFonts w:ascii="Times New Roman" w:eastAsia="Times New Roman" w:hAnsi="Times New Roman" w:cs="Times New Roman"/>
          <w:noProof/>
          <w:sz w:val="24"/>
          <w:lang w:eastAsia="en-GB"/>
        </w:rPr>
        <w:t xml:space="preserve">. </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r>
        <w:t xml:space="preserve"> </w:t>
      </w:r>
    </w:p>
  </w:footnote>
  <w:footnote w:id="3">
    <w:p>
      <w:pPr>
        <w:pStyle w:val="FootnoteText"/>
        <w:ind w:left="142" w:firstLine="0"/>
      </w:pPr>
      <w:r>
        <w:rPr>
          <w:rStyle w:val="FootnoteReference"/>
        </w:rPr>
        <w:footnoteRef/>
      </w:r>
      <w:r>
        <w:t xml:space="preserve"> The baseline is based on the Commission Spring 2020 forecast. Beyond 2021, a gradual adjustment of fiscal policy is assumed, consistent with the EU economic and fiscal coordination and surveillance frameworks. Real GDP growth is projected according to the so-called EPC/OGWG T+10 methodology. In particular, (real) actual GDP growth is driven by its potential growth and affected by any additional fiscal adjustment considered (through the fiscal multiplier). Inflation is assumed to converge gradually to 2%. Interest rates assumptions are set in line with financial market expectations. Under the adverse scenario, higher interest rates (by 500 bps.) and lower GDP growth (by -0.5 pp.), with respect to the baseline, are assumed (throughout the projection horizon).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DEF1FFF-BF4B-4169-958E-09E4971A93FF"/>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ssels, "/>
    <w:docVar w:name="LW_EMISSION_SUFFIX" w:val=" "/>
    <w:docVar w:name="LW_ID_DOCTYPE_NONLW" w:val="CP-003"/>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5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Germany_x000b__x000b_Report prepared in accordance with Article 126(3) of the Treaty on the Functioning of the European Union"/>
    <w:docVar w:name="LW_TYPE.DOC.CP" w:val="REPORT FROM THE COMMISSIO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0017377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2370865">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573395924">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20617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CB31-FDE3-492B-B1C8-EDAD116B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1792</Words>
  <Characters>9500</Characters>
  <Application>Microsoft Office Word</Application>
  <DocSecurity>0</DocSecurity>
  <Lines>206</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16</cp:revision>
  <cp:lastPrinted>2019-05-13T14:09:00Z</cp:lastPrinted>
  <dcterms:created xsi:type="dcterms:W3CDTF">2020-05-19T13:58:00Z</dcterms:created>
  <dcterms:modified xsi:type="dcterms:W3CDTF">2020-05-19T17:34:00Z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