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2B69C9-34B5-4A7E-9482-842562072444" style="width:451.25pt;height:46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KOHDE</w:t>
      </w:r>
    </w:p>
    <w:p>
      <w:pPr>
        <w:pStyle w:val="ManualHeading1"/>
        <w:ind w:left="0" w:firstLine="0"/>
        <w:rPr>
          <w:b w:val="0"/>
          <w:smallCaps w:val="0"/>
          <w:noProof/>
        </w:rPr>
      </w:pPr>
      <w:r>
        <w:rPr>
          <w:b w:val="0"/>
          <w:smallCaps w:val="0"/>
          <w:noProof/>
        </w:rPr>
        <w:t>Tämä ehdotus koskee päätöstä, jolla vahvistetaan yhdessä Yhdistyneiden kansakuntien puitteissa toimivassa pysyvässä työryhmässä eli Yhdistyneiden kansakuntien Euroopan talouskomission ajoneuvoja koskevien sääntöjen yhdenmukaistamista käsittelevässä maailmanfoorumissa (työryhmä 29 eli WP.29) unionin puolesta otettava kanta. Kanta liittyy siihen, että kyseisen työryhmän on määrä hyväksyä uusia UNECE:n sääntöjä ja muutoksia voimassa oleviin UNECE:n sääntöihin (vuoden 1958 tarkistettuun sopimukseen perustuvat E-säännöt) tai UNECE:n maailmanlaajuisiin teknisiin sääntöihin (rinnakkaissopimukseen perustuvat GTR-säännöt) sekä yhteen vuoden 1958 tarkistettuun sopimukseen perustuvaan päätöslauselmaan.</w:t>
      </w:r>
    </w:p>
    <w:p>
      <w:pPr>
        <w:pStyle w:val="ManualHeading1"/>
        <w:rPr>
          <w:noProof/>
        </w:rPr>
      </w:pPr>
      <w:r>
        <w:rPr>
          <w:noProof/>
        </w:rPr>
        <w:t>2.</w:t>
      </w:r>
      <w:r>
        <w:rPr>
          <w:noProof/>
        </w:rPr>
        <w:tab/>
        <w:t>EHDOTUKSEN TAUSTA</w:t>
      </w:r>
    </w:p>
    <w:p>
      <w:pPr>
        <w:pStyle w:val="ManualHeading1"/>
        <w:rPr>
          <w:noProof/>
        </w:rPr>
      </w:pPr>
      <w:r>
        <w:rPr>
          <w:noProof/>
        </w:rPr>
        <w:t>2.1.</w:t>
      </w:r>
      <w:r>
        <w:rPr>
          <w:noProof/>
        </w:rPr>
        <w:tab/>
      </w:r>
      <w:r>
        <w:rPr>
          <w:smallCaps w:val="0"/>
          <w:noProof/>
        </w:rPr>
        <w:t>Vuoden 1958 sopimus ja vuoden 1998 sopimus</w:t>
      </w:r>
    </w:p>
    <w:p>
      <w:pPr>
        <w:rPr>
          <w:noProof/>
        </w:rPr>
      </w:pPr>
      <w:r>
        <w:rPr>
          <w:noProof/>
        </w:rPr>
        <w:t>Yhdistyneiden kansakuntien Euroopan talouskomission (UNECE) sopimuksella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ja pyörillä varustettuihin ajoneuvoihin ja niihin asennettaviin ja/tai niissä käytettäviin varusteisiin ja osiin sovellettavien maailmanlaajuisten teknisten sääntöjen vahvistamista koskevalla sopimuksella (rinnakkaissopimus) pyritään poistamaan kaupan tekniset esteet UNECE:n sopimuspuolten välisestä moottoriajoneuvojen kaupasta ja varmistamaan tällaisten ajoneuvojen osalta korkeatasoinen turvallisuus ja ympäristönsuojelu. Vuoden 1958 tarkistettu sopimus tuli voimaan EU:ssa 24. maaliskuuta 1998 ja rinnakkaissopimus 15. helmikuuta 2000. Kummankin sopimuksen hallinnoinnista vastaa UNECE:n ajoneuvoja koskevien sääntöjen yhdenmukaistamista käsittelevä maailmanfoorumi (työryhmä 29 eli WP.29).</w:t>
      </w:r>
    </w:p>
    <w:p>
      <w:pPr>
        <w:pStyle w:val="ManualHeading1"/>
        <w:ind w:left="0" w:firstLine="0"/>
        <w:rPr>
          <w:noProof/>
        </w:rPr>
      </w:pPr>
      <w:r>
        <w:rPr>
          <w:noProof/>
        </w:rPr>
        <w:t xml:space="preserve">2.2. </w:t>
      </w:r>
      <w:r>
        <w:rPr>
          <w:noProof/>
        </w:rPr>
        <w:tab/>
      </w:r>
      <w:r>
        <w:rPr>
          <w:smallCaps w:val="0"/>
          <w:noProof/>
        </w:rPr>
        <w:t>Yhdistyneiden kansakuntien Euroopan talouskomission (UNECE) ajoneuvoja koskevien sääntöjen yhdenmukaistamista käsittelevä maailmanfoorumi (työryhmä 29 eli WP.29)</w:t>
      </w:r>
    </w:p>
    <w:p>
      <w:pPr>
        <w:rPr>
          <w:noProof/>
        </w:rPr>
      </w:pPr>
      <w:r>
        <w:rPr>
          <w:noProof/>
        </w:rPr>
        <w:t>WP.29 tarjoaa yhtenäiset puitteet ajoneuvoja koskeville maailmanlaajuisesti yhdenmukaistetuille säännöille. WP.29 on Yhdistyneiden kansakuntien puitteissa toimiva pysyvä työryhmä, jolla on erityinen toimeksianto ja oma työjärjestys. Se toimii maailmanlaajuisena foorumina, jolla voidaan käydä avoimia keskusteluja moottoriajoneuvoja koskevista säännöistä ja jolla keskustellaan vuoden 1958 tarkistetun sopimuksen ja rinnakkaissopimuksen täytäntöönpanosta. Kaikki Yhdistyneiden kansakuntien jäsenmaat ja kaikki Yhdistyneiden kansakuntien jäsenmaiden perustamat alueelliset taloudelliset yhdentymisjärjestöt voivat osallistua täysimääräisesti WP.29:n toimintaan ja liittyä WP.29:n hallinnoimien ajoneuvoja koskevien sopimusten sopimuspuoliksi. Euroopan unioni on näiden sopimusten sopimuspuoli.</w:t>
      </w:r>
      <w:r>
        <w:rPr>
          <w:rStyle w:val="FootnoteReference"/>
          <w:noProof/>
        </w:rPr>
        <w:footnoteReference w:id="1"/>
      </w:r>
      <w:r>
        <w:rPr>
          <w:noProof/>
        </w:rPr>
        <w:t xml:space="preserve"> </w:t>
      </w:r>
    </w:p>
    <w:p>
      <w:pPr>
        <w:rPr>
          <w:noProof/>
        </w:rPr>
      </w:pPr>
    </w:p>
    <w:p>
      <w:pPr>
        <w:rPr>
          <w:noProof/>
        </w:rPr>
      </w:pPr>
      <w:r>
        <w:rPr>
          <w:noProof/>
        </w:rPr>
        <w:t>UNECE WP.29:n kokoukset pidetään kolme kertaa vuodessa eli maalis-, kesä- ja marraskuussa. Kussakin kokouksessa vahvistetaan uusia E-sääntöjä, uusia UNECE:n maailmanlaajuisia teknisiä sääntöjä (GTR-sääntöjä), muutoksia voimassa oleviin vuoden 1958 tarkistettuun sopimukseen perustuviin E-sääntöihin ja päätöslauselmiin ja muutoksia rinnakkaissopimukseen perustuviin GTR-sääntöihin ja päätöslauselmiin tekniikan kehityksen ottamiseksi huomioon. Muutoksista käydään ennen kutakin WP.29:n kokousta tekniset keskustelut asianomaisissa WP.29:n apuelimissä.</w:t>
      </w:r>
    </w:p>
    <w:p>
      <w:pPr>
        <w:rPr>
          <w:noProof/>
        </w:rPr>
      </w:pPr>
      <w:r>
        <w:rPr>
          <w:noProof/>
        </w:rPr>
        <w:t xml:space="preserve">Sen jälkeen niistä äänestetään WP.29:ssä (vuoden 1958 tarkistettuun sopimukseen perustuvista ehdotuksista läsnä olevien ja äänestykseen osallistuvien sopimuspuolten määräenemmistöllä ja rinnakkaissopimukseen perustuvista ehdotuksista läsnä olevien ja äänestykseen osallistuvien sopimuspuolten yksimielisellä päätöksellä). </w:t>
      </w:r>
    </w:p>
    <w:p>
      <w:pPr>
        <w:rPr>
          <w:noProof/>
        </w:rPr>
      </w:pPr>
      <w:r>
        <w:rPr>
          <w:noProof/>
        </w:rPr>
        <w:t xml:space="preserve">Unionin puolesta otettava kanta, joka koskee uusia E- ja GTR-sääntöjä sekä niiden muutoksia, täydennyksiä ja oikaisuja, vahvistetaan ennen kutakin WP.29:n kokousta annettavalla SEUT-sopimuksen 218 artiklan 9 kohtaan perustuvalla neuvoston päätöksellä. </w:t>
      </w:r>
    </w:p>
    <w:p>
      <w:pPr>
        <w:pStyle w:val="ManualHeading1"/>
        <w:rPr>
          <w:smallCaps w:val="0"/>
          <w:noProof/>
        </w:rPr>
      </w:pPr>
      <w:r>
        <w:rPr>
          <w:smallCaps w:val="0"/>
          <w:noProof/>
        </w:rPr>
        <w:t xml:space="preserve">2.3. </w:t>
      </w:r>
      <w:r>
        <w:rPr>
          <w:noProof/>
        </w:rPr>
        <w:tab/>
      </w:r>
      <w:r>
        <w:rPr>
          <w:smallCaps w:val="0"/>
          <w:noProof/>
        </w:rPr>
        <w:t>Suunniteltu WP.29:n säädös</w:t>
      </w:r>
    </w:p>
    <w:p>
      <w:pPr>
        <w:rPr>
          <w:noProof/>
        </w:rPr>
      </w:pPr>
      <w:r>
        <w:rPr>
          <w:noProof/>
        </w:rPr>
        <w:t>WP.29 voi 23. kesäkuuta 2020 pidettävässä 181. kokouksessaan hyväksyä ehdotukset muutoksiksi E-sääntöihin nro 13, 14, 16, 22, 30, 41, 42, 44, 78, 79, 83, 93, 94, 95, 101, 108, 109, 117, 129, 137, 138, 140 ja 152, ehdotuksen uudeksi E-säännöksi, joka koskee ajoneuvojen hyväksyntää siltä osin kuin kyse on polttoainejärjestelmän eheydestä ja sähköisen voimalaitteen turvallisuudesta peräänajotilanteessa, ehdotuksen yhdenmukaistettua kevyiden hyötyajoneuvojen kansainvälistä testimenetelmää koskevaksi uudeksi E-säännöksi ja siihen tehtäväksi muutokseksi, ehdotuksen uudeksi E-säännöksi yhdenmukaisista vaatimuksista, jotka koskevat ajoneuvojen hyväksyntää kyberturvallisuuden ja sen hallintajärjestelmän osalta, ehdotuksen uudeksi E-säännöksi yhdenmukaisista vaatimuksista, jotka koskevat ajoneuvojen hyväksyntää ohjelmistopäivityksen ja sen hallintajärjestelmän osalta, ehdotuksen uudeksi E-säännöksi yhdenmukaisista vaatimuksista, jotka koskevat ajoneuvojen hyväksyntää automaattisen kaistanpitojärjestelmän osalta, ehdotukset muutoksiksi maailmanlaajuisiin teknisiin sääntöihin (GTR-säännöt) nro 3, 6, 7, 16 ja 19 sekä ehdotuksen muutoksiksi ajoneuvojen rakennetta koskevaan konsolidoituun päätöslauselmaan R.E.3.</w:t>
      </w:r>
    </w:p>
    <w:p>
      <w:pPr>
        <w:rPr>
          <w:noProof/>
        </w:rPr>
      </w:pPr>
    </w:p>
    <w:p>
      <w:pPr>
        <w:pStyle w:val="ManualHeading1"/>
        <w:rPr>
          <w:noProof/>
        </w:rPr>
      </w:pPr>
      <w:r>
        <w:rPr>
          <w:noProof/>
        </w:rPr>
        <w:t xml:space="preserve">3. </w:t>
      </w:r>
      <w:r>
        <w:rPr>
          <w:noProof/>
        </w:rPr>
        <w:tab/>
        <w:t>UNIONIN PUOLESTA OTETTAVA KANTA</w:t>
      </w:r>
    </w:p>
    <w:p>
      <w:pPr>
        <w:rPr>
          <w:noProof/>
        </w:rPr>
      </w:pPr>
      <w:r>
        <w:rPr>
          <w:noProof/>
        </w:rPr>
        <w:t xml:space="preserve">WP.29-järjestelmä vahvistaa ajoneuvostandardien kansainvälistä yhdenmukaistamista. Vuoden 1958 sopimus on tässä suhteessa olennainen, sillä sen ansiosta EU:n valmistajat voivat toimia yhteisten tyyppihyväksyntäsääntöjen pohjalta ja tietävät, että sopimuspuolet hyväksyvät niiden tuotteet kansallisen lainsäädäntönsä mukaisina. Järjestelmän ansiosta on esimerkiksi pystytty moottoriajoneuvojen yleisestä turvallisuudesta annetulla asetuksella (EY) </w:t>
      </w:r>
      <w:r>
        <w:rPr>
          <w:noProof/>
        </w:rPr>
        <w:lastRenderedPageBreak/>
        <w:t>N:o 661/2009 kumoamaan yli 50 EU-direktiiviä ja korvaamaan ne vuoden 1958 sopimuksen puitteissa laadituilla vastaavilla säännöillä.</w:t>
      </w:r>
    </w:p>
    <w:p>
      <w:pPr>
        <w:rPr>
          <w:noProof/>
        </w:rPr>
      </w:pPr>
      <w:r>
        <w:rPr>
          <w:noProof/>
        </w:rPr>
        <w:t>Vastaavaa mallia sovellettiin myös direktiiviin 2007/46/EY, jolla korvattiin jäsenvaltioiden hyväksymisjärjestelmät unionin hyväksymisjärjestelmällä ja vahvistettiin yhdenmukaiset puitteet, jotka sisältävät ne hallinnolliset määräykset ja yleiset tekniset vaatimukset, joita sovelletaan kaikkiin uusiin ajoneuvoihin, järjestelmiin, komponentteihin ja erillisiin teknisiin yksiköihin. Tuolla direktiivillä sisällytettiin E-säännöt EU-tyyppihyväksyntäjärjestelmään joko tyyppihyväksyntää koskevina vaatimuksina tai unionin lainsäädännön vaihtoehtoina. Kyseisen direktiivin antamisen jälkeen E-sääntöjä on yhä enemmän sisällytetty EU-tyyppihyväksyntää koskevaan unionin lainsäädäntöön.</w:t>
      </w:r>
    </w:p>
    <w:p>
      <w:pPr>
        <w:rPr>
          <w:noProof/>
        </w:rPr>
      </w:pPr>
      <w:r>
        <w:rPr>
          <w:noProof/>
        </w:rPr>
        <w:t xml:space="preserve">Kuuden kuukauden kuluttua siitä, kun WP.29 on hyväksynyt ehdotukset E-sääntöihin tehtäviksi muutoksiksi tai uusiksi E-säännöiksi ja kun UNECE:n pääsihteeri on antanut nämä säädökset tiedoksi sopimuspuolille, ne voivat, elleivät määrävähemmistön muodostavat sopimuspuolet ole esittäneet vastalauseita, tulla voimaan ja ne voidaan saattaa osaksi kunkin sopimuspuolen asianomaisia kansallisia sääntöjä. EU:ssa osaksi lainsäädäntöä saattaminen saadaan päätökseen, kun säädökset on julkaistu EU:n virallisessa lehdessä. </w:t>
      </w:r>
    </w:p>
    <w:p>
      <w:pPr>
        <w:pStyle w:val="ManualHeading1"/>
        <w:rPr>
          <w:b w:val="0"/>
          <w:smallCaps w:val="0"/>
          <w:noProof/>
        </w:rPr>
      </w:pPr>
      <w:r>
        <w:rPr>
          <w:b w:val="0"/>
          <w:smallCaps w:val="0"/>
          <w:noProof/>
        </w:rPr>
        <w:t>Sen vuoksi on syytä vahvistaa unionin kanta</w:t>
      </w:r>
    </w:p>
    <w:p>
      <w:pPr>
        <w:pStyle w:val="Tiret0"/>
        <w:numPr>
          <w:ilvl w:val="0"/>
          <w:numId w:val="10"/>
        </w:numPr>
        <w:rPr>
          <w:noProof/>
        </w:rPr>
      </w:pPr>
      <w:r>
        <w:rPr>
          <w:noProof/>
        </w:rPr>
        <w:t xml:space="preserve">ehdotuksista muutoksiksi UNECE:n sääntöihin nro 13, 14, 16, 22, 30, 41, 78, 79, 83, 94, 95, 101, 108, 109, 117, 129, 137, 138, 140 ja 152, </w:t>
      </w:r>
    </w:p>
    <w:p>
      <w:pPr>
        <w:pStyle w:val="Tiret0"/>
        <w:numPr>
          <w:ilvl w:val="0"/>
          <w:numId w:val="10"/>
        </w:numPr>
        <w:rPr>
          <w:noProof/>
        </w:rPr>
      </w:pPr>
      <w:r>
        <w:rPr>
          <w:noProof/>
        </w:rPr>
        <w:t>ehdotukseen uudeksi E-säännöksi, joka koskee ajoneuvojen hyväksyntää siltä osin kuin kyse on polttoainejärjestelmän eheydestä ja sähköisen voimalaitteen turvallisuudesta peräänajotilanteessa,</w:t>
      </w:r>
    </w:p>
    <w:p>
      <w:pPr>
        <w:pStyle w:val="Tiret0"/>
        <w:numPr>
          <w:ilvl w:val="0"/>
          <w:numId w:val="10"/>
        </w:numPr>
        <w:rPr>
          <w:noProof/>
        </w:rPr>
      </w:pPr>
      <w:r>
        <w:rPr>
          <w:noProof/>
        </w:rPr>
        <w:t>ehdotukseen yhdenmukaistettua kevyiden hyötyajoneuvojen kansainvälistä testimenetelmää koskevaksi uudeksi E-säännöksi ja siihen tehtäväksi muutokseksi,</w:t>
      </w:r>
    </w:p>
    <w:p>
      <w:pPr>
        <w:pStyle w:val="Tiret0"/>
        <w:numPr>
          <w:ilvl w:val="0"/>
          <w:numId w:val="10"/>
        </w:numPr>
        <w:rPr>
          <w:noProof/>
        </w:rPr>
      </w:pPr>
      <w:r>
        <w:rPr>
          <w:noProof/>
        </w:rPr>
        <w:t>ehdotukseen uudeksi E-säännöksi yhdenmukaisista vaatimuksista, jotka koskevat ajoneuvojen hyväksyntää kyberturvallisuuden ja sen hallintajärjestelmän osalta,</w:t>
      </w:r>
    </w:p>
    <w:p>
      <w:pPr>
        <w:pStyle w:val="Tiret0"/>
        <w:numPr>
          <w:ilvl w:val="0"/>
          <w:numId w:val="10"/>
        </w:numPr>
        <w:rPr>
          <w:noProof/>
        </w:rPr>
      </w:pPr>
      <w:r>
        <w:rPr>
          <w:noProof/>
        </w:rPr>
        <w:t xml:space="preserve">ehdotukseen uudeksi E-säännöksi yhdenmukaisista vaatimuksista, jotka koskevat ajoneuvojen hyväksyntää ohjelmistopäivityksen ja sen hallintajärjestelmän osalta, </w:t>
      </w:r>
    </w:p>
    <w:p>
      <w:pPr>
        <w:pStyle w:val="Tiret0"/>
        <w:numPr>
          <w:ilvl w:val="0"/>
          <w:numId w:val="10"/>
        </w:numPr>
        <w:rPr>
          <w:noProof/>
        </w:rPr>
      </w:pPr>
      <w:r>
        <w:rPr>
          <w:noProof/>
        </w:rPr>
        <w:t xml:space="preserve">ehdotukseen uudeksi E-säännöksi yhdenmukaisista vaatimuksista, jotka koskevat ajoneuvojen hyväksyntää automaattisen kaistanpitojärjestelmän osalta, </w:t>
      </w:r>
    </w:p>
    <w:p>
      <w:pPr>
        <w:pStyle w:val="Tiret0"/>
        <w:numPr>
          <w:ilvl w:val="0"/>
          <w:numId w:val="10"/>
        </w:numPr>
        <w:rPr>
          <w:noProof/>
        </w:rPr>
      </w:pPr>
      <w:r>
        <w:rPr>
          <w:noProof/>
        </w:rPr>
        <w:t>ehdotuksiin muutoksiksi maailmanlaajuisiin teknisiin sääntöihin (GTR) nro 3, 6, 7, 16 ja 19 ja</w:t>
      </w:r>
    </w:p>
    <w:p>
      <w:pPr>
        <w:pStyle w:val="Tiret0"/>
        <w:numPr>
          <w:ilvl w:val="0"/>
          <w:numId w:val="10"/>
        </w:numPr>
        <w:rPr>
          <w:noProof/>
        </w:rPr>
      </w:pPr>
      <w:r>
        <w:rPr>
          <w:noProof/>
        </w:rPr>
        <w:t xml:space="preserve"> ehdotukseen muutoksiksi ajoneuvojen rakennetta koskevaan konsolidoituun päätöslauselmaan R.E.3,</w:t>
      </w:r>
    </w:p>
    <w:p>
      <w:pPr>
        <w:rPr>
          <w:noProof/>
        </w:rPr>
      </w:pPr>
      <w:r>
        <w:rPr>
          <w:noProof/>
        </w:rPr>
        <w:t>jotka on toimitettu äänestettäväksi 23. kesäkuuta 2020 pidettävään WP.29:n kokoukseen. Lisäksi on syytä vahvistaa unionin kanta</w:t>
      </w:r>
    </w:p>
    <w:p>
      <w:pPr>
        <w:pStyle w:val="Tiret0"/>
        <w:rPr>
          <w:noProof/>
        </w:rPr>
      </w:pPr>
      <w:r>
        <w:rPr>
          <w:noProof/>
        </w:rPr>
        <w:t>ehdotuksiin luviksi, jotka koskevat muutoksen laatimista GTR-sääntöön nro 8 ja ajoneuvon sisäisen akun kestävyydestä annettavan uuden GTR-säännön laatimista, ja</w:t>
      </w:r>
    </w:p>
    <w:p>
      <w:pPr>
        <w:pStyle w:val="Tiret0"/>
        <w:rPr>
          <w:noProof/>
        </w:rPr>
      </w:pPr>
      <w:r>
        <w:rPr>
          <w:noProof/>
        </w:rPr>
        <w:t xml:space="preserve">pyyntöön GTR-sääntöä nro 9 (jalankulkijoiden turvallisuus) koskevan toimeksiannon pidentämiseksi. </w:t>
      </w:r>
    </w:p>
    <w:p>
      <w:pPr>
        <w:rPr>
          <w:noProof/>
        </w:rPr>
      </w:pPr>
      <w:r>
        <w:rPr>
          <w:noProof/>
        </w:rPr>
        <w:t xml:space="preserve">Unionin olisi tuettava edellä mainittuja säädöksiä, koska ne ovat täysin unionin sisämarkkinapolitiikan mukaisia siltä osin kuin kyse on autoteollisuudesta ja yhdenmukaisia suhteessa unionin liikenne-, ilmasto- ja energiapolitiikkaan. Näillä säädöksillä on erittäin </w:t>
      </w:r>
      <w:r>
        <w:rPr>
          <w:noProof/>
        </w:rPr>
        <w:lastRenderedPageBreak/>
        <w:t xml:space="preserve">myönteinen vaikutus EU:n autoteollisuuden kilpailukykyyn ja kansainväliseen kauppaan. Äänestämällä näiden säädösten puolesta edistetään teknistä kehitystä, saadaan mittakaavaetuja, estetään sisämarkkinoiden hajanaistuminen ja varmistetaan yhtäläiset ympäristö- ja turvallisuusstandardit kaikkialla EU:ssa. </w:t>
      </w:r>
    </w:p>
    <w:p>
      <w:pPr>
        <w:rPr>
          <w:noProof/>
        </w:rPr>
      </w:pPr>
      <w:r>
        <w:rPr>
          <w:noProof/>
        </w:rPr>
        <w:t>Koska unioni ei sovella E-säännön nro 42 yhtenäisiä vaatimuksia, ei kuitenkaan ole tarpeen vahvistaa unionin kantaa WP.29:n tarkasteltavana olevaan ehdotukseen E-sääntöön nro 42 tehtäviksi muutoksiksi.</w:t>
      </w:r>
    </w:p>
    <w:p>
      <w:pPr>
        <w:rPr>
          <w:noProof/>
        </w:rPr>
      </w:pPr>
      <w:r>
        <w:rPr>
          <w:noProof/>
        </w:rPr>
        <w:t>E-sääntöön nro 44 (lasten turvajärjestelmät)</w:t>
      </w:r>
      <w:r>
        <w:rPr>
          <w:rStyle w:val="FootnoteReference"/>
          <w:noProof/>
        </w:rPr>
        <w:footnoteReference w:id="2"/>
      </w:r>
      <w:r>
        <w:rPr>
          <w:noProof/>
        </w:rPr>
        <w:t xml:space="preserve"> ja 93 (etualleajosuojat)</w:t>
      </w:r>
      <w:r>
        <w:rPr>
          <w:rStyle w:val="FootnoteReference"/>
          <w:noProof/>
        </w:rPr>
        <w:footnoteReference w:id="3"/>
      </w:r>
      <w:r>
        <w:rPr>
          <w:noProof/>
        </w:rPr>
        <w:t xml:space="preserve"> tehtäviä muutoksia koskevat ehdotukset eivät vielä ole valmiita äänestettäväksi kesäkuussa 2020 pidettävässä WP.29:n kokouksessa, vaan niiden käsittelyä jatketaan asianomaisissa WP.29:n apuelimissä.</w:t>
      </w:r>
    </w:p>
    <w:p>
      <w:pPr>
        <w:rPr>
          <w:noProof/>
        </w:rPr>
      </w:pPr>
      <w:r>
        <w:rPr>
          <w:noProof/>
        </w:rPr>
        <w:t>Ulkopuolista asiantuntemusta ei tarvittu tämän ehdotuksen yhteydessä. Moottoriajoneuvoja käsittelevä tekninen komitea kuitenkin tarkastelee sitä.</w:t>
      </w:r>
    </w:p>
    <w:p>
      <w:pPr>
        <w:rPr>
          <w:noProof/>
        </w:rPr>
      </w:pPr>
    </w:p>
    <w:p>
      <w:pPr>
        <w:pStyle w:val="ManualHeading1"/>
        <w:rPr>
          <w:noProof/>
        </w:rPr>
      </w:pPr>
      <w:r>
        <w:rPr>
          <w:noProof/>
        </w:rPr>
        <w:t>4.</w:t>
      </w:r>
      <w:r>
        <w:rPr>
          <w:noProof/>
        </w:rPr>
        <w:tab/>
        <w:t>OIKEUSPERUSTA</w:t>
      </w:r>
    </w:p>
    <w:p>
      <w:pPr>
        <w:pStyle w:val="Text1"/>
        <w:ind w:left="0"/>
        <w:rPr>
          <w:noProof/>
        </w:rPr>
      </w:pPr>
    </w:p>
    <w:p>
      <w:pPr>
        <w:pStyle w:val="Text1"/>
        <w:ind w:left="0"/>
        <w:rPr>
          <w:b/>
          <w:noProof/>
        </w:rPr>
      </w:pPr>
      <w:r>
        <w:rPr>
          <w:b/>
          <w:noProof/>
        </w:rPr>
        <w:t xml:space="preserve">4.1. </w:t>
      </w:r>
      <w:r>
        <w:rPr>
          <w:noProof/>
        </w:rPr>
        <w:tab/>
      </w:r>
      <w:r>
        <w:rPr>
          <w:b/>
          <w:noProof/>
        </w:rPr>
        <w:t xml:space="preserve">Menettelyllinen oikeusperusta </w:t>
      </w:r>
    </w:p>
    <w:p>
      <w:pPr>
        <w:pStyle w:val="Text1"/>
        <w:ind w:left="0"/>
        <w:rPr>
          <w:i/>
          <w:noProof/>
        </w:rPr>
      </w:pPr>
      <w:r>
        <w:rPr>
          <w:i/>
          <w:noProof/>
        </w:rPr>
        <w:t xml:space="preserve">4.1.1. </w:t>
      </w:r>
      <w:r>
        <w:rPr>
          <w:noProof/>
        </w:rPr>
        <w:tab/>
      </w:r>
      <w:r>
        <w:rPr>
          <w:i/>
          <w:noProof/>
        </w:rPr>
        <w:t xml:space="preserve">Periaatteet </w:t>
      </w:r>
    </w:p>
    <w:p>
      <w:pPr>
        <w:pStyle w:val="Text1"/>
        <w:ind w:left="0"/>
        <w:rPr>
          <w:noProof/>
        </w:rPr>
      </w:pPr>
      <w:r>
        <w:rPr>
          <w:noProof/>
        </w:rPr>
        <w:t xml:space="preserve">Euroopan unionin toiminnasta tehdyn sopimuksen, jäljempänä ’SEUT-sopimus’, 218 artiklan 9 kohdassa määrätään päätöksistä ”sopimuksella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 </w:t>
      </w:r>
    </w:p>
    <w:p>
      <w:pPr>
        <w:pStyle w:val="Text1"/>
        <w:ind w:left="0"/>
        <w:rPr>
          <w:noProof/>
        </w:rPr>
      </w:pPr>
      <w:r>
        <w:rPr>
          <w:noProof/>
        </w:rPr>
        <w:t>Ilmaisu ”säädökset, joilla on oikeusvaikutuksia” käsittää myös sellaiset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4"/>
      </w:r>
    </w:p>
    <w:p>
      <w:pPr>
        <w:pStyle w:val="Text1"/>
        <w:ind w:left="0"/>
        <w:rPr>
          <w:noProof/>
        </w:rPr>
      </w:pPr>
    </w:p>
    <w:p>
      <w:pPr>
        <w:pStyle w:val="Text1"/>
        <w:ind w:left="0"/>
        <w:rPr>
          <w:i/>
          <w:noProof/>
        </w:rPr>
      </w:pPr>
      <w:r>
        <w:rPr>
          <w:i/>
          <w:noProof/>
        </w:rPr>
        <w:t xml:space="preserve">4.1.2. </w:t>
      </w:r>
      <w:r>
        <w:rPr>
          <w:noProof/>
        </w:rPr>
        <w:tab/>
      </w:r>
      <w:r>
        <w:rPr>
          <w:i/>
          <w:noProof/>
        </w:rPr>
        <w:t xml:space="preserve">Soveltaminen tässä asiassa </w:t>
      </w:r>
    </w:p>
    <w:p>
      <w:pPr>
        <w:pStyle w:val="Text1"/>
        <w:ind w:left="0"/>
        <w:rPr>
          <w:noProof/>
        </w:rPr>
      </w:pPr>
      <w:r>
        <w:rPr>
          <w:noProof/>
        </w:rPr>
        <w:t xml:space="preserve">WP.29 on elin, jossa keskustellaan vuoden 1958 tarkistetun sopimuksen ja rinnakkaissopimuksen täytäntöönpanosta.  </w:t>
      </w:r>
    </w:p>
    <w:p>
      <w:pPr>
        <w:pStyle w:val="Text1"/>
        <w:ind w:left="0"/>
        <w:rPr>
          <w:noProof/>
        </w:rPr>
      </w:pPr>
      <w:r>
        <w:rPr>
          <w:noProof/>
        </w:rPr>
        <w:t xml:space="preserve">Säädökset, jotka WP.29:n on määrä hyväksyä, ovat säädöksiä, joilla on oikeusvaikutuksia. </w:t>
      </w:r>
    </w:p>
    <w:p>
      <w:pPr>
        <w:pStyle w:val="Text1"/>
        <w:ind w:left="0"/>
        <w:rPr>
          <w:noProof/>
        </w:rPr>
      </w:pPr>
      <w:r>
        <w:rPr>
          <w:noProof/>
        </w:rPr>
        <w:t>Suunniteltuun säädökseen sisältyvät E-säännöt sitovat unionia ja voivat yhdessä GTR-sääntöjen ja UNECE:n päätöslauselmien kanssa vaikuttaa ratkaisevasti ajoneuvojen tyyppihyväksyntää koskevan unionin lainsäädännön sisältöön. Euroopan parlamentin ja neuvoston direktiivillä 2007/46/EY</w:t>
      </w:r>
      <w:r>
        <w:rPr>
          <w:rStyle w:val="FootnoteReference"/>
          <w:noProof/>
        </w:rPr>
        <w:footnoteReference w:id="5"/>
      </w:r>
      <w:r>
        <w:rPr>
          <w:noProof/>
        </w:rPr>
        <w:t xml:space="preserve"> korvattiin jäsenvaltioiden hyväksymisjärjestelmät </w:t>
      </w:r>
      <w:r>
        <w:rPr>
          <w:noProof/>
        </w:rPr>
        <w:lastRenderedPageBreak/>
        <w:t xml:space="preserve">unionin hyväksymisjärjestelmällä ja vahvistettiin yhdenmukaiset puitteet, jotka sisältävät ne hallinnolliset määräykset ja yleiset tekniset vaatimukset, joita sovelletaan kaikkiin uusiin ajoneuvoihin, järjestelmiin, komponentteihin ja erillisiin teknisiin yksiköihin. Tuolla direktiivillä sisällytettiin vuoden 1958 tarkistetun sopimuksen nojalla vahvistetut säännöt eli E-säännöt EU-tyyppihyväksyntäjärjestelmään joko tyyppihyväksyntää koskevina vaatimuksina tai unionin lainsäädännön vaihtoehtoina. Direktiivin 2007/46/EU antamisen jälkeen E-sääntöjä on yhä enemmän sisällytetty unionin lainsäädäntöön. </w:t>
      </w:r>
    </w:p>
    <w:p>
      <w:pPr>
        <w:pStyle w:val="Text1"/>
        <w:ind w:left="0"/>
        <w:rPr>
          <w:noProof/>
        </w:rPr>
      </w:pPr>
      <w:r>
        <w:rPr>
          <w:noProof/>
        </w:rPr>
        <w:t xml:space="preserve">Suunnitelluilla säädöksillä ei täydennetä eikä muuteta sopimuksen institutionaalisia rakenteita. </w:t>
      </w:r>
    </w:p>
    <w:p>
      <w:pPr>
        <w:pStyle w:val="Text1"/>
        <w:ind w:left="0"/>
        <w:rPr>
          <w:noProof/>
        </w:rPr>
      </w:pPr>
      <w:r>
        <w:rPr>
          <w:noProof/>
        </w:rPr>
        <w:t>Ehdotetun päätöksen menettelyllinen oikeusperusta on sen vuoksi SEUT-sopimuksen 218 artiklan 9 kohta.</w:t>
      </w:r>
    </w:p>
    <w:p>
      <w:pPr>
        <w:pStyle w:val="Text1"/>
        <w:ind w:left="0"/>
        <w:rPr>
          <w:noProof/>
        </w:rPr>
      </w:pPr>
    </w:p>
    <w:p>
      <w:pPr>
        <w:pStyle w:val="Text1"/>
        <w:ind w:left="0"/>
        <w:rPr>
          <w:b/>
          <w:noProof/>
        </w:rPr>
      </w:pPr>
      <w:r>
        <w:rPr>
          <w:b/>
          <w:noProof/>
        </w:rPr>
        <w:t xml:space="preserve">4.2. </w:t>
      </w:r>
      <w:r>
        <w:rPr>
          <w:noProof/>
        </w:rPr>
        <w:tab/>
      </w:r>
      <w:r>
        <w:rPr>
          <w:b/>
          <w:noProof/>
        </w:rPr>
        <w:t xml:space="preserve">Aineellinen oikeusperusta </w:t>
      </w:r>
    </w:p>
    <w:p>
      <w:pPr>
        <w:pStyle w:val="Text1"/>
        <w:ind w:left="0"/>
        <w:rPr>
          <w:i/>
          <w:noProof/>
        </w:rPr>
      </w:pPr>
      <w:r>
        <w:rPr>
          <w:i/>
          <w:noProof/>
        </w:rPr>
        <w:t xml:space="preserve">4.2.1. </w:t>
      </w:r>
      <w:r>
        <w:rPr>
          <w:noProof/>
        </w:rPr>
        <w:tab/>
      </w:r>
      <w:r>
        <w:rPr>
          <w:i/>
          <w:noProof/>
        </w:rPr>
        <w:t xml:space="preserve">Periaatteet </w:t>
      </w:r>
    </w:p>
    <w:p>
      <w:pPr>
        <w:pStyle w:val="Text1"/>
        <w:ind w:left="0"/>
        <w:rPr>
          <w:noProof/>
        </w:rPr>
      </w:pPr>
      <w:r>
        <w:rPr>
          <w:noProof/>
        </w:rPr>
        <w:t xml:space="preserve">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 </w:t>
      </w:r>
    </w:p>
    <w:p>
      <w:pPr>
        <w:pStyle w:val="Text1"/>
        <w:ind w:left="0"/>
        <w:rPr>
          <w:noProof/>
        </w:rPr>
      </w:pPr>
    </w:p>
    <w:p>
      <w:pPr>
        <w:pStyle w:val="Text1"/>
        <w:ind w:left="0"/>
        <w:rPr>
          <w:i/>
          <w:noProof/>
        </w:rPr>
      </w:pPr>
      <w:r>
        <w:rPr>
          <w:i/>
          <w:noProof/>
        </w:rPr>
        <w:t xml:space="preserve">4.2.2. Soveltaminen tässä asiassa </w:t>
      </w:r>
    </w:p>
    <w:p>
      <w:pPr>
        <w:pStyle w:val="Text1"/>
        <w:ind w:left="0"/>
        <w:rPr>
          <w:noProof/>
        </w:rPr>
      </w:pPr>
      <w:r>
        <w:rPr>
          <w:noProof/>
        </w:rPr>
        <w:t xml:space="preserve">Suunniteltujen säädösten pääasiallinen tarkoitus ja sisältö liittyvät lainsäädännön lähentämiseen. Ehdotetun päätöksen aineellinen oikeusperusta on sen vuoksi SEUT-sopimuksen 114 artikla. </w:t>
      </w:r>
    </w:p>
    <w:p>
      <w:pPr>
        <w:pStyle w:val="Text1"/>
        <w:ind w:left="0"/>
        <w:rPr>
          <w:i/>
          <w:noProof/>
        </w:rPr>
      </w:pPr>
    </w:p>
    <w:p>
      <w:pPr>
        <w:pStyle w:val="Text1"/>
        <w:ind w:left="0"/>
        <w:rPr>
          <w:i/>
          <w:noProof/>
        </w:rPr>
      </w:pPr>
      <w:r>
        <w:rPr>
          <w:i/>
          <w:noProof/>
        </w:rPr>
        <w:t xml:space="preserve">4.3. </w:t>
      </w:r>
      <w:r>
        <w:rPr>
          <w:noProof/>
        </w:rPr>
        <w:tab/>
      </w:r>
      <w:r>
        <w:rPr>
          <w:i/>
          <w:noProof/>
        </w:rPr>
        <w:t xml:space="preserve">Päätelmät </w:t>
      </w:r>
    </w:p>
    <w:p>
      <w:pPr>
        <w:pStyle w:val="Text1"/>
        <w:ind w:left="0"/>
        <w:rPr>
          <w:noProof/>
        </w:rPr>
      </w:pPr>
      <w:r>
        <w:rPr>
          <w:noProof/>
        </w:rPr>
        <w:t>Ehdotetun päätöksen oikeusperustana tulisi olla SEUT-sopimuksen 114 artikla luettuna yhdessä SEUT-sopimuksen 218 artiklan 9 kohdan kanssa.</w:t>
      </w:r>
    </w:p>
    <w:p>
      <w:pPr>
        <w:pStyle w:val="Text1"/>
        <w:ind w:left="0"/>
        <w:rPr>
          <w:noProof/>
        </w:rPr>
      </w:pPr>
    </w:p>
    <w:p>
      <w:pPr>
        <w:spacing w:before="0" w:after="200" w:line="276" w:lineRule="auto"/>
        <w:jc w:val="cente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2020/0092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Yhdistyneiden kansakuntien Euroopan talouskomission (UNECE) ajoneuvoja koskevien sääntöjen yhdenmukaistamista käsittelevässä maailmanfoorumissa Euroopan unionin puolesta otettavasta kannasta siltä osin kuin on kyse ehdotuksista muutoksiksi E-sääntöihin nro 13, 14, 16, 22, 30, 41, 78, 79, 83, 94, 95, 101, 108, 109, 117, 129, 137, 138, 140 ja 152, ehdotuksista muutoksiksi maailmanlaajuisiin teknisiin sääntöihin (GTR) nro 3, 6, 7, 16 ja 19, ehdotuksesta muutokseksi keskinäiseen päätöslauselmaan R.E.3 ja ehdotuksista viideksi moottoriajoneuvojen turvallisuuteen, päästöihin ja automaatioon liittyväksi uudeksi E-säännöksi  </w:t>
      </w:r>
      <w:r>
        <w:rPr>
          <w:noProof/>
        </w:rPr>
        <w:br/>
        <w:t xml:space="preserve"> </w:t>
      </w:r>
      <w:r>
        <w:rPr>
          <w:noProof/>
        </w:rPr>
        <w:br/>
      </w:r>
    </w:p>
    <w:p>
      <w:pPr>
        <w:pStyle w:val="Institutionquiagit"/>
        <w:rPr>
          <w:noProof/>
        </w:rPr>
      </w:pPr>
      <w:r>
        <w:rPr>
          <w:noProof/>
        </w:rPr>
        <w:t>EUROOPAN UNIONIN NEUVOSTO, joka</w:t>
      </w:r>
    </w:p>
    <w:p>
      <w:pPr>
        <w:rPr>
          <w:noProof/>
        </w:rPr>
      </w:pPr>
      <w:r>
        <w:rPr>
          <w:noProof/>
        </w:rPr>
        <w:t>ottaa huomioon Euroopan unionin toiminnasta tehdyn sopimuksen ja erityisesti sen 114 artiklan luettuna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Unioni on neuvoston päätöksellä 97/836/EY</w:t>
      </w:r>
      <w:r>
        <w:rPr>
          <w:rStyle w:val="FootnoteReference"/>
          <w:noProof/>
        </w:rPr>
        <w:footnoteReference w:id="6"/>
      </w:r>
      <w:r>
        <w:rPr>
          <w:noProof/>
        </w:rPr>
        <w:t xml:space="preserve"> liittynyt Yhdistyneiden kansakuntien Euroopan talouskomission, jäljempänä ’UNECE’,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jäljempänä ’vuoden 1958 tarkistettu sopimus’. Vuoden 1958 tarkistettu sopimus tuli voimaan 24 päivänä maaliskuuta 1998.</w:t>
      </w:r>
    </w:p>
    <w:p>
      <w:pPr>
        <w:pStyle w:val="ManualConsidrant"/>
        <w:rPr>
          <w:noProof/>
        </w:rPr>
      </w:pPr>
      <w:r>
        <w:t>(2)</w:t>
      </w:r>
      <w:r>
        <w:tab/>
      </w:r>
      <w:r>
        <w:rPr>
          <w:noProof/>
        </w:rPr>
        <w:t>Unioni on neuvoston päätöksellä 2000/125/EY</w:t>
      </w:r>
      <w:r>
        <w:rPr>
          <w:rStyle w:val="FootnoteReference"/>
          <w:noProof/>
        </w:rPr>
        <w:footnoteReference w:id="7"/>
      </w:r>
      <w:r>
        <w:rPr>
          <w:noProof/>
        </w:rPr>
        <w:t xml:space="preserve"> liittynyt sopimukseen pyörillä varustettuihin ajoneuvoihin ja niihin asennettaviin ja/tai niissä käytettäviin varusteisiin ja osiin sovellettavien maailmanlaajuisten teknisten sääntöjen vahvistamisesta, jäljempänä ’rinnakkaissopimus’. Rinnakkaissopimus tuli voimaan 15 päivänä helmikuuta 2000.</w:t>
      </w:r>
    </w:p>
    <w:p>
      <w:pPr>
        <w:pStyle w:val="ManualConsidrant"/>
        <w:rPr>
          <w:noProof/>
        </w:rPr>
      </w:pPr>
      <w:r>
        <w:lastRenderedPageBreak/>
        <w:t>(3)</w:t>
      </w:r>
      <w:r>
        <w:tab/>
      </w:r>
      <w:r>
        <w:rPr>
          <w:noProof/>
        </w:rPr>
        <w:t>Euroopan parlamentin ja neuvoston direktiivillä 2007/46/EY</w:t>
      </w:r>
      <w:r>
        <w:rPr>
          <w:rStyle w:val="FootnoteReference"/>
          <w:noProof/>
        </w:rPr>
        <w:footnoteReference w:id="8"/>
      </w:r>
      <w:r>
        <w:rPr>
          <w:noProof/>
        </w:rPr>
        <w:t xml:space="preserve"> korvattiin jäsenvaltioiden hyväksymisjärjestelmät unionin hyväksymisjärjestelmällä ja vahvistettiin yhdenmukaiset puitteet, jotka sisältävät ne hallinnolliset määräykset ja yleiset tekniset vaatimukset, joita sovelletaan kaikkiin uusiin ajoneuvoihin, järjestelmiin, komponentteihin ja erillisiin teknisiin yksiköihin. Tuolla direktiivillä sisällytettiin vuoden 1958 tarkistetun sopimuksen nojalla vahvistetut säännöt eli E-säännöt EU-tyyppihyväksyntäjärjestelmään joko tyyppihyväksyntää koskevina vaatimuksina tai unionin lainsäädännön vaihtoehtoina. Direktiivin 2007/46/EU antamisen jälkeen E-sääntöjä on yhä enemmän sisällytetty unionin lainsäädäntöön.  </w:t>
      </w:r>
    </w:p>
    <w:p>
      <w:pPr>
        <w:pStyle w:val="ManualConsidrant"/>
        <w:rPr>
          <w:noProof/>
        </w:rPr>
      </w:pPr>
      <w:r>
        <w:t>(4)</w:t>
      </w:r>
      <w:r>
        <w:tab/>
      </w:r>
      <w:r>
        <w:rPr>
          <w:noProof/>
        </w:rPr>
        <w:t>UNECE:n ajoneuvoja koskevien sääntöjen yhdenmukaistamista käsittelevä maailmanfoorumi, jäljempänä ’WP.29’, voi vuoden 1958 tarkistetun sopimuksen 1 artiklan ja rinnakkaissopimuksen 6 artiklan nojalla hyväksyä ehdotukset muutoksiksi E-sääntöihin, UNECE:n maailmanlaajuisiin teknisiin sääntöihin (GTR-säännöt) ja UNECE:n päätöslauselmiin samoin kuin ehdotukset uusiksi E-säännöiksi, GTR-säännöiksi ja UNECE:n päätöslauselmiksi, jotka koskevat ajoneuvojen hyväksyntää. Näiden määräysten nojalla WP.29 voi lisäksi hyväksyä ehdotuksia luviksi laatia muutoksia GTR-sääntöihin ja ehdotuksia GTR-sääntöihin liittyvien toimeksiantojen pidentämiseksi.</w:t>
      </w:r>
    </w:p>
    <w:p>
      <w:pPr>
        <w:pStyle w:val="ManualConsidrant"/>
        <w:rPr>
          <w:noProof/>
        </w:rPr>
      </w:pPr>
      <w:r>
        <w:t>(5)</w:t>
      </w:r>
      <w:r>
        <w:tab/>
      </w:r>
      <w:r>
        <w:rPr>
          <w:noProof/>
        </w:rPr>
        <w:t>WP.29 voi 23 päivänä kesäkuuta 2020 pidettävässä 181. kokouksessaan hyväksyä ehdotukset muutoksiksi E-sääntöihin nro 13, 14, 16, 22, 30, 41, 78, 79, 83, 94, 95, 101, 108, 109, 117, 129, 137, 138, 140 ja 152, ehdotuksen uudeksi E-säännöksi, joka koskee ajoneuvojen hyväksyntää siltä osin kuin kyse on polttoainejärjestelmän eheydestä ja sähköisen voimalaitteen turvallisuudesta peräänajotilanteessa, ehdotuksen yhdenmukaistettua kevyiden hyötyajoneuvojen kansainvälistä testimenetelmää koskevaksi uudeksi E-säännöksi ja siihen tehtäväksi muutokseksi, ehdotuksen uudeksi E-säännöksi yhdenmukaisista vaatimuksista, jotka koskevat ajoneuvojen hyväksyntää kyberturvallisuuden ja sen hallintajärjestelmän osalta, ehdotuksen uudeksi E-säännöksi yhdenmukaisista vaatimuksista, jotka koskevat ajoneuvojen hyväksyntää ohjelmistopäivityksen ja sen hallintajärjestelmän osalta, ehdotuksen uudeksi E-säännöksi yhdenmukaisista vaatimuksista, jotka koskevat ajoneuvojen hyväksyntää automaattisen kaistanpitojärjestelmän osalta, ehdotukset muutoksiksi maailmanlaajuisiin teknisiin sääntöihin (GTR-säännöt) nro 3, 6, 7, 16 ja 19 sekä ehdotuksen muutoksiksi ajoneuvojen rakennetta koskevaan konsolidoituun päätöslauselmaan R.E.3. WP.29:n on lisäksi määrä hyväksyä ehdotuksen GTR-sääntöä nro 9 koskevan toimeksiannon pidentämiseksi ja ehdotukset luviksi, jotka koskevat muutoksen laatimista GTR-sääntöön nro 8 ja ajoneuvon sisäisen akun kestävyydestä annettavan uuden GTR-säännön laatimista.</w:t>
      </w:r>
    </w:p>
    <w:p>
      <w:pPr>
        <w:pStyle w:val="ManualConsidrant"/>
        <w:rPr>
          <w:noProof/>
        </w:rPr>
      </w:pPr>
      <w:r>
        <w:t>(6)</w:t>
      </w:r>
      <w:r>
        <w:tab/>
      </w:r>
      <w:r>
        <w:rPr>
          <w:noProof/>
        </w:rPr>
        <w:t>On aiheellista vahvistaa kanta, joka otetaan unionin puolesta WP.29:ssä siltä osin kuin on kyse näiden ehdotusten hyväksymisestä, sillä E-säännöistä tulee unionia sitovia ja ne voivat yhdessä UNECE:n GTR-sääntöjen ja päätöslauselmien kanssa vaikuttaa ratkaisevasti ajoneuvojen tyyppihyväksyntää koskevan unionin lainsäädännön sisältöön.</w:t>
      </w:r>
    </w:p>
    <w:p>
      <w:pPr>
        <w:pStyle w:val="ManualConsidrant"/>
        <w:rPr>
          <w:i/>
          <w:noProof/>
        </w:rPr>
      </w:pPr>
      <w:r>
        <w:t>(7)</w:t>
      </w:r>
      <w:r>
        <w:tab/>
      </w:r>
      <w:r>
        <w:rPr>
          <w:noProof/>
        </w:rPr>
        <w:t xml:space="preserve">Saatujen kokemusten ja tekniikan kehityksen vuoksi olisi mukautettava tai täydennettävä tiettyjä vaatimuksia, jotka liittyvät E-sääntöihin nro 14, 16, 22, 30, 41, </w:t>
      </w:r>
      <w:r>
        <w:rPr>
          <w:noProof/>
        </w:rPr>
        <w:lastRenderedPageBreak/>
        <w:t xml:space="preserve">78, 79, 83, 94, 95, 101, 108, 109, 117, 129, 137, 138, 140 ja 152 ja konsolidoituun päätöslauselmaan R.E.3. </w:t>
      </w:r>
    </w:p>
    <w:p>
      <w:pPr>
        <w:pStyle w:val="ManualConsidrant"/>
        <w:rPr>
          <w:i/>
          <w:noProof/>
        </w:rPr>
      </w:pPr>
      <w:r>
        <w:t>(8)</w:t>
      </w:r>
      <w:r>
        <w:tab/>
      </w:r>
      <w:r>
        <w:rPr>
          <w:noProof/>
        </w:rPr>
        <w:t>Lisäksi on tarpeen muuttaa tiettyjä GTR-sääntöjen nro 3, 6, 7, 16 ja 19 määräyksiä.</w:t>
      </w:r>
    </w:p>
    <w:p>
      <w:pPr>
        <w:pStyle w:val="ManualConsidrant"/>
        <w:rPr>
          <w:i/>
          <w:noProof/>
        </w:rPr>
      </w:pPr>
      <w:r>
        <w:t>(9)</w:t>
      </w:r>
      <w:r>
        <w:tab/>
      </w:r>
      <w:r>
        <w:rPr>
          <w:noProof/>
        </w:rPr>
        <w:t>E-sääntö nro 13 on tarpeen oikaista, joskin muutokset koskevat vain sen venäjänkielistä toisintoa.</w:t>
      </w:r>
    </w:p>
    <w:p>
      <w:pPr>
        <w:pStyle w:val="ManualConsidrant"/>
        <w:rPr>
          <w:noProof/>
        </w:rPr>
      </w:pPr>
      <w:r>
        <w:t>(10)</w:t>
      </w:r>
      <w:r>
        <w:tab/>
      </w:r>
      <w:r>
        <w:rPr>
          <w:noProof/>
        </w:rPr>
        <w:t>Tekniikan kehityksen huomioon ottamiseksi ja ajoneuvojen turvallisuuden ja päästötestausten parantamiseksi on tarpeen hyväksyä viisi uutta E-sääntöä, jotka koskevat polttoainejärjestelmän eheyttä ja sähköisen voimalaitteen turvallisuutta peräänajotilanteessa, yhdenmukaistettua kevyiden hyötyajoneuvojen kansainvälistä testimenetelmää, kyberturvallisuutta ja sen hallintajärjestelmää, ohjelmistopäivitystä ja sen hallintajärjestelmää sekä automaattista kaistanpitojärjestelmää. Samalla olisi hyväksyttävä yhdenmukaistettua kevyiden hyötyajoneuvojen kansainvälistä testimenetelmää koskevaan uuteen E-sääntöön tehtävä muutos, jolla mahdollistetaan erikseen täysi vastavuoroinen tunnustaminen sellaisten sopimuspuolten kesken, jotka päättävät soveltaa uusia vaatimuksia, jotka menevät pitemmälle kuin ainoastaan alueelliset vaatimukset kattava säännön alkuperäinen muutossarja 00.</w:t>
      </w:r>
      <w:r>
        <w:rPr>
          <w:i/>
          <w:noProof/>
        </w:rPr>
        <w:t xml:space="preserve"> </w:t>
      </w:r>
    </w:p>
    <w:p>
      <w:pPr>
        <w:pStyle w:val="ManualConsidrant"/>
        <w:rPr>
          <w:noProof/>
        </w:rPr>
      </w:pPr>
      <w:r>
        <w:t>(11)</w:t>
      </w:r>
      <w:r>
        <w:tab/>
      </w:r>
      <w:r>
        <w:rPr>
          <w:noProof/>
        </w:rPr>
        <w:t xml:space="preserve">Jotta teknisiä vaatimuksia voidaan kehittää edelleen, on tarpeen hyväksyä ehdotukset, jotka koskevat GTR-sääntöä nro 9 koskevan toimeksiannon pidentämistä ja lupia GTR-sääntöön nro 8 liittyvän muutoksen ja ajoneuvon sisäisen akun kestävyydestä annettavan uuden E-säännön laatimiseksi ja jotka perustuvat GTR-sääntöihin liittyvää työtä tukevien UNECE:n sopimuspuolten tai asianomaisten WP.29:n apuelinten esittämiin pyyntöihin. </w:t>
      </w:r>
    </w:p>
    <w:p>
      <w:pPr>
        <w:pStyle w:val="ManualConsidrant"/>
        <w:rPr>
          <w:noProof/>
        </w:rPr>
      </w:pPr>
      <w:r>
        <w:t>(12)</w:t>
      </w:r>
      <w:r>
        <w:tab/>
      </w:r>
      <w:r>
        <w:rPr>
          <w:noProof/>
        </w:rPr>
        <w:t>Neuvosto hyväksyi 27 päivänä helmikuuta 2020 päätöksen (EU) 2020/287</w:t>
      </w:r>
      <w:r>
        <w:rPr>
          <w:rStyle w:val="FootnoteReference"/>
          <w:noProof/>
        </w:rPr>
        <w:footnoteReference w:id="9"/>
      </w:r>
      <w:r>
        <w:rPr>
          <w:noProof/>
        </w:rPr>
        <w:t xml:space="preserve"> WP.29:n 180. kokouksessa otettavasta GTR-sääntöjä nro 3, 6 ja 16 koskevasta kannasta. Kokous pidettiin 10 ja 12 päivän maaliskuuta 2020 välisenä aikana. WP.29 ei kyseisessä kokouksessaan kuitenkaan pystynyt äänestämään kyseisistä ehdotuksista ja päätti, että ne toimitetaan uudelleen äänestettäväksi kesäkuun kokouksessa.</w:t>
      </w:r>
    </w:p>
    <w:p>
      <w:pPr>
        <w:rPr>
          <w:noProof/>
        </w:rPr>
      </w:pP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UNECE:n ajoneuvoja koskevien sääntöjen yhdenmukaistamista käsittelevän maailmanfoorumin 23 päivänä kesäkuuta 2020 pidettävässä 181. kokouksessa unionin puolesta otettava kanta on äänestää tämän päätöksen liitteessä lueteltujen ehdotusten puolesta.</w:t>
      </w:r>
    </w:p>
    <w:p>
      <w:pPr>
        <w:pStyle w:val="Titrearticle"/>
        <w:rPr>
          <w:noProof/>
        </w:rPr>
      </w:pPr>
      <w:r>
        <w:rPr>
          <w:noProof/>
        </w:rPr>
        <w:t>2 artikla</w:t>
      </w:r>
    </w:p>
    <w:p>
      <w:pPr>
        <w:rPr>
          <w:noProof/>
        </w:rPr>
      </w:pPr>
      <w:r>
        <w:rPr>
          <w:noProof/>
        </w:rPr>
        <w:t>Tämä päätös on osoitettu komissiolle.</w:t>
      </w:r>
    </w:p>
    <w:p>
      <w:pPr>
        <w:keepNext/>
        <w:keepLines/>
        <w:rPr>
          <w:noProof/>
        </w:rPr>
      </w:pPr>
    </w:p>
    <w:p>
      <w:pPr>
        <w:pStyle w:val="Fait"/>
        <w:rPr>
          <w:noProof/>
        </w:rPr>
      </w:pPr>
      <w:r>
        <w:t>Tehty Brysselissä</w:t>
      </w:r>
    </w:p>
    <w:p>
      <w:pPr>
        <w:pStyle w:val="Institutionquisigne"/>
        <w:rPr>
          <w:noProof/>
        </w:rPr>
      </w:pPr>
    </w:p>
    <w:p>
      <w:pPr>
        <w:pStyle w:val="Institutionquisigne"/>
        <w:spacing w:before="120"/>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97/836/EY, tehty 27 päivänä marraskuuta 1997, Euroopan yhteisön liittymisestä Yhdistyneiden kansakuntien Euroopan talouskomission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(EYVL L 346, 17.12.1997, s. 78).</w:t>
      </w:r>
    </w:p>
    <w:p>
      <w:pPr>
        <w:pStyle w:val="FootnoteText"/>
        <w:ind w:firstLine="0"/>
      </w:pPr>
      <w:r>
        <w:t>Neuvoston päätös 2000/125/EY, tehty 31 päivänä tammikuuta 2000, pyörillä varustettuihin ajoneuvoihin ja niihin asennettaviin ja/tai niissä käytettäviin varusteisiin ja osiin sovellettavien maailmanlaajuisten teknisten sääntöjen vahvistamista koskevan sopimuksen (”rinnakkaissopimus”) tekemisestä (EYVL L 35, 10.2.2000, s. 12).</w:t>
      </w:r>
    </w:p>
  </w:footnote>
  <w:footnote w:id="2">
    <w:p>
      <w:pPr>
        <w:pStyle w:val="FootnoteText"/>
      </w:pPr>
      <w:r>
        <w:rPr>
          <w:rStyle w:val="FootnoteReference"/>
        </w:rPr>
        <w:footnoteRef/>
      </w:r>
      <w:r>
        <w:tab/>
        <w:t>Ehdotus täydennykseksi 18 muutossarjaan 04, E-sääntö nro 44 (lasten turvajärjestelmät).</w:t>
      </w:r>
    </w:p>
  </w:footnote>
  <w:footnote w:id="3">
    <w:p>
      <w:pPr>
        <w:pStyle w:val="FootnoteText"/>
      </w:pPr>
      <w:r>
        <w:rPr>
          <w:rStyle w:val="FootnoteReference"/>
        </w:rPr>
        <w:footnoteRef/>
      </w:r>
      <w:r>
        <w:tab/>
        <w:t>Ehdotus täydennykseksi 1 E-säännön nro 93 alkuperäiseen versioon (etualleajosuojat).</w:t>
      </w:r>
    </w:p>
  </w:footnote>
  <w:footnote w:id="4">
    <w:p>
      <w:pPr>
        <w:pStyle w:val="FootnoteText"/>
      </w:pPr>
      <w:r>
        <w:rPr>
          <w:rStyle w:val="FootnoteReference"/>
        </w:rPr>
        <w:footnoteRef/>
      </w:r>
      <w:r>
        <w:tab/>
        <w:t xml:space="preserve">Unionin tuomioistuimen tuomio, 7. lokakuuta 2014, Saksa v. neuvosto, C-399/12, ECLI:EU:C:2014:2258, 61–64 kohta.  </w:t>
      </w:r>
    </w:p>
  </w:footnote>
  <w:footnote w:id="5">
    <w:p>
      <w:pPr>
        <w:pStyle w:val="FootnoteText"/>
      </w:pPr>
      <w:r>
        <w:rPr>
          <w:rStyle w:val="FootnoteReference"/>
        </w:rPr>
        <w:footnoteRef/>
      </w:r>
      <w:r>
        <w:tab/>
        <w:t>Euroopan parlamentin ja neuvoston direktiivi 2007/46/EY, annettu 5 päivänä syyskuuta 2007, puitteiden luomisesta moottoriajoneuvojen ja niiden perävaunujen sekä tällaisiin ajoneuvoihin tarkoitettujen järjestelmien, osien ja erillisten teknisten yksiköiden hyväksymiselle (Puitedirektiivi) (EUVL L 263, 9.10.2007, s. 1).</w:t>
      </w:r>
    </w:p>
  </w:footnote>
  <w:footnote w:id="6">
    <w:p>
      <w:pPr>
        <w:pStyle w:val="FootnoteText"/>
      </w:pPr>
      <w:r>
        <w:rPr>
          <w:rStyle w:val="FootnoteReference"/>
        </w:rPr>
        <w:footnoteRef/>
      </w:r>
      <w:r>
        <w:tab/>
        <w:t>Neuvoston päätös 97/836/EY, tehty 27 päivänä marraskuuta 1997, Euroopan yhteisön liittymisestä Yhdistyneiden kansakuntien Euroopan talouskomission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(EYVL L 346, 17.12.1997, s. 78).</w:t>
      </w:r>
    </w:p>
  </w:footnote>
  <w:footnote w:id="7">
    <w:p>
      <w:pPr>
        <w:pStyle w:val="FootnoteText"/>
      </w:pPr>
      <w:r>
        <w:rPr>
          <w:rStyle w:val="FootnoteReference"/>
        </w:rPr>
        <w:footnoteRef/>
      </w:r>
      <w:r>
        <w:tab/>
        <w:t>Neuvoston päätös 2000/125/EY, tehty 31 päivänä tammikuuta 2000, pyörillä varustettuihin ajoneuvoihin ja niihin asennettaviin ja/tai niissä käytettäviin varusteisiin ja osiin sovellettavien maailmanlaajuisten teknisten sääntöjen vahvistamista koskevan sopimuksen (”rinnakkaissopimus”) tekemisestä (EYVL L 35, 10.2.2000, s. 12).</w:t>
      </w:r>
    </w:p>
  </w:footnote>
  <w:footnote w:id="8">
    <w:p>
      <w:pPr>
        <w:pStyle w:val="FootnoteText"/>
      </w:pPr>
      <w:r>
        <w:rPr>
          <w:rStyle w:val="FootnoteReference"/>
        </w:rPr>
        <w:footnoteRef/>
      </w:r>
      <w:r>
        <w:tab/>
        <w:t>Euroopan parlamentin ja neuvoston direktiivi 2007/46/EY, annettu 5 päivänä syyskuuta 2007, puitteiden luomisesta moottoriajoneuvojen ja niiden perävaunujen sekä tällaisiin ajoneuvoihin tarkoitettujen järjestelmien, osien ja erillisten teknisten yksiköiden hyväksymiselle (Puitedirektiivi) (EUVL L 263, 9.10.2007, s. 1).</w:t>
      </w:r>
    </w:p>
  </w:footnote>
  <w:footnote w:id="9">
    <w:p>
      <w:pPr>
        <w:pStyle w:val="FootnoteText"/>
        <w:ind w:left="142" w:hanging="142"/>
      </w:pPr>
      <w:r>
        <w:rPr>
          <w:rStyle w:val="FootnoteReference"/>
        </w:rPr>
        <w:footnoteRef/>
      </w:r>
      <w:r>
        <w:tab/>
        <w:t>Neuvoston päätös (EU) 2020/287, annettu 27 päivänä helmikuuta 2020, Yhdistyneiden kansakuntien Euroopan talouskomission (UN/ECE) asianomaisissa komiteoissa Euroopan unionin puolesta otettavasta kannasta siltä osin kuin on kyse ehdotuksista muutoksiksi UN/ECE:n sääntöihin nro 10, 26, 28, 46, 48, 51, 55, 58, 59, 62, 79, 90, 106, 107, 110, 117, 121, 122, 128, 144, 148, 149, 150, 151 ja 152, ehdotuksista muutoksiksi maailmanlaajuisiin teknisiin sääntöihin (GTR) nro 3, 6 ja 16, ehdotuksesta muutoksiksi konsolidoituun päätöslauselmaan R.E.5 sekä ehdotuksista luviksi, jotka koskevat muutoksen laatimista GTR-sääntöön nro 6 ja sähköajoneuvon tehon määrittämisestä annettavan uuden GTR-säännön laatimista.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oNotTrackFormatting/>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5 08:58: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1"/>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2B69C9-34B5-4A7E-9482-842562072444"/>
    <w:docVar w:name="LW_COVERPAGE_TYPE" w:val="1"/>
    <w:docVar w:name="LW_CROSSREFERENCE" w:val="&lt;UNUSED&gt;"/>
    <w:docVar w:name="LW_DocType" w:val="COM"/>
    <w:docVar w:name="LW_EMISSION" w:val="20.5.2020"/>
    <w:docVar w:name="LW_EMISSION_ISODATE" w:val="2020-05-20"/>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92"/>
    <w:docVar w:name="LW_REF.II.NEW.CP_YEAR" w:val="2020"/>
    <w:docVar w:name="LW_REF.INST.NEW" w:val="COM"/>
    <w:docVar w:name="LW_REF.INST.NEW_ADOPTED" w:val="final"/>
    <w:docVar w:name="LW_REF.INST.NEW_TEXT" w:val="(2020) 2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Ehdotus"/>
    <w:docVar w:name="LW_SUPERTITRE" w:val="&lt;UNUSED&gt;"/>
    <w:docVar w:name="LW_TITRE.OBJ.CP" w:val="Yhdistyneiden kansakuntien Euroopan talouskomission (UNECE) ajoneuvoja koskevien sääntöjen yhdenmukaistamista käsittelevässä maailmanfoorumissa Euroopan unionin puolesta otettavasta kannasta siltä osin kuin on kyse ehdotuksista muutoksiksi E-sääntöihin nro 13, 14, 16, 22, 30, 41, 78, 79, 83, 94, 95, 101, 108, 109, 117, 129, 137, 138, 140 ja 152, ehdotuksista muutoksiksi maailmanlaajuisiin teknisiin sääntöihin (GTR) nro 3, 6, 7, 16 ja 19, ehdotuksesta muutokseksi keskinäiseen päätöslauselmaan R.E.3 ja ehdotuksista viideksi moottoriajoneuvojen turvallisuuteen, päästöihin ja automaatioon liittyväksi uudeksi E-säännöksi  _x000b_ _x000b_"/>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5417">
      <w:bodyDiv w:val="1"/>
      <w:marLeft w:val="0"/>
      <w:marRight w:val="0"/>
      <w:marTop w:val="0"/>
      <w:marBottom w:val="0"/>
      <w:divBdr>
        <w:top w:val="none" w:sz="0" w:space="0" w:color="auto"/>
        <w:left w:val="none" w:sz="0" w:space="0" w:color="auto"/>
        <w:bottom w:val="none" w:sz="0" w:space="0" w:color="auto"/>
        <w:right w:val="none" w:sz="0" w:space="0" w:color="auto"/>
      </w:divBdr>
    </w:div>
    <w:div w:id="292757757">
      <w:bodyDiv w:val="1"/>
      <w:marLeft w:val="0"/>
      <w:marRight w:val="0"/>
      <w:marTop w:val="0"/>
      <w:marBottom w:val="0"/>
      <w:divBdr>
        <w:top w:val="none" w:sz="0" w:space="0" w:color="auto"/>
        <w:left w:val="none" w:sz="0" w:space="0" w:color="auto"/>
        <w:bottom w:val="none" w:sz="0" w:space="0" w:color="auto"/>
        <w:right w:val="none" w:sz="0" w:space="0" w:color="auto"/>
      </w:divBdr>
    </w:div>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 w:id="20280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803B-5499-410C-9F00-7483B079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2213</Words>
  <Characters>18531</Characters>
  <Application>Microsoft Office Word</Application>
  <DocSecurity>0</DocSecurity>
  <Lines>308</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2019-09-23T08:48:00Z</cp:lastPrinted>
  <dcterms:created xsi:type="dcterms:W3CDTF">2020-05-18T07:56:00Z</dcterms:created>
  <dcterms:modified xsi:type="dcterms:W3CDTF">2020-05-25T06:58:00Z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