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47B66C7B-CC79-4D67-B48F-CDFCD144EE2F" style="width:450.8pt;height:351.8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Raġunijiet u għanijiet tal-proposta</w:t>
      </w:r>
    </w:p>
    <w:p>
      <w:pPr>
        <w:rPr>
          <w:b/>
          <w:noProof/>
        </w:rPr>
      </w:pPr>
      <w:r>
        <w:rPr>
          <w:noProof/>
        </w:rPr>
        <w:t>L-għan tal-proposta huwa li jiġi adattat l-ammont ta’ riżorsi disponibbli għall-koeżjoni ekonomika, soċjali u territorjali stipulati fl-Artikolu 91(1) tar-Regolament (UE) Nru 1303/2013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u l-ammont ta’ riżorsi għall-allokazzjoni speċifika għall-Inizjattiva favur l-Impjieg taż-Żgħażagħ (“YEI”) stipulata fl-Artikolu 92(5) ta’ dak ir-Regolament u d-diżaggregazzjoni annwali tal-approprjazzjonijiet ta’ impenn riflessi fl-Anness VI ta’ dak ir-Regolament biex jirriflettu ż-żieda tar-riżorsi tal-allokazzjoni speċifika għall-YEI. B’mod aktar speċifiku, f’konformità mal-baġit adottat għall-2020, l-approprjazzjonijiet ta’ impenn għall-allokazzjoni speċifika għall-YEI għall-2020 jenħtieġ li jiżdiedu bl-ammont ta’ EUR 28 333 334 fi prezzijiet kurrenti, li jtella’ l-ammont totali għall-2020 għal EUR 145 miljun. </w:t>
      </w:r>
    </w:p>
    <w:p>
      <w:pPr>
        <w:rPr>
          <w:b/>
          <w:noProof/>
        </w:rPr>
      </w:pPr>
      <w:r>
        <w:rPr>
          <w:noProof/>
        </w:rPr>
        <w:t xml:space="preserve">Barra minn hekk, il-proposta tiċċara li d-dispożizzjonijiet rilevanti li ġew introdotti sabiex jiffaċilitaw il-programmazzjoni ta’ riżorsi addizzjonali tal-YEI fl-2019, se japplikaw ukoll għar-riżorsi addizzjonali tal-YEI fl-2020.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Konsistenza mad-dispożizzjonijiet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Din il-proposta hija r-riżultat tal-baġit tal-Unjoni tal-2020.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Il-proposta hija konsistenti ma’ proposti u inizjattivi oħra adottati mill-Kummissjoni Ewropea.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Ir-rieżami jirrifletti ż-żieda tar-riżorsi għall-allokazzjoni speċifika għall-Inizjattiva favur l-Impjieg taż-Żgħażagħ (YEI) fil-baġit tal-UE tal-2020.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Il-proposta hija konformi mal-prinċipju tas-sussidjarjetà.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Proporzjonalità</w:t>
      </w:r>
    </w:p>
    <w:p>
      <w:pPr>
        <w:rPr>
          <w:noProof/>
        </w:rPr>
      </w:pPr>
      <w:r>
        <w:rPr>
          <w:noProof/>
        </w:rPr>
        <w:t xml:space="preserve">Il-proposta hija proporzjonata. Tinkludi l-aġġustamenti tekniċi meħtieġa wara l-adozzjoni tal-baġit tal-2020 li jżid ir-riżorsi tal-allokazzjoni speċifika tal-YEI.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L-istrument propost: emenda tar-regolament attwali.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Il-Kummissjoni esplorat il-lok għall-flessibbiltà previst mill-qafas legali u tqis li huwa neċessarju li tipproponi emendi għar-Regolament (UE) Nru 1303/2013.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iCs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Evalwazzjonijiet </w:t>
      </w:r>
      <w:r>
        <w:rPr>
          <w:i/>
          <w:iCs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Minħabba ċ-ċirkostanzi speċifiċi ta’ din il-proposta, ma kien hemm l-ebda valutazzjoni </w:t>
      </w:r>
      <w:r>
        <w:rPr>
          <w:i/>
          <w:iCs/>
          <w:noProof/>
        </w:rPr>
        <w:t>ex post</w:t>
      </w:r>
      <w:r>
        <w:rPr>
          <w:noProof/>
        </w:rPr>
        <w:t>/jew kontrolli tal-idoneità tal-leġiżlazzjoni eżistenti.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Minħabba ċ-ċirkostanzi speċifiċi ta’ din il-proposta, ma kien hemm l-ebda konsultazzjoni mal-partijiet ikkonċernati esterni.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Ġbir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L-użu ta’ għarfien espert estern ma kienx meħtieġ.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Idoneità regolatorja u simplifikazzjoni</w:t>
      </w:r>
    </w:p>
    <w:p>
      <w:pPr>
        <w:rPr>
          <w:noProof/>
        </w:rPr>
      </w:pPr>
      <w:r>
        <w:rPr>
          <w:noProof/>
        </w:rPr>
        <w:t>Din mhijiex inizjattiva fi ħdan il-Programm dwar l-Idoneità u l-Prestazzjoni tar-Regolamentazzjoni (REFIT).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ma għandhiex konsegwenzi għall-protezzjoni tad-drittijiet fundamentali.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L-approprjazzjonijiet ta’ impenn għall-2020 tal-allokazzjoni speċifika għall-YEI jenħtieġ li jiżdiedu b’EUR 28 333 334 għal EUR 145 miljun fi prezzijiet kurrenti.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L-emenda proposta hija stmata li tirriżulta f’pagamenti addizzjonali ta’ EUR 3 miljun fl-2020.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Dokumenti ta’ spjegazzjoni (għad-direttivi)</w:t>
      </w:r>
    </w:p>
    <w:p>
      <w:pPr>
        <w:rPr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L-għan tal-proposta huwa li jiġu adattati l-ammonti tar-riżorsi disponibbli għall-koeżjoni ekonomika, soċjali u territorjali u għall-allokazzjoni speċifika għall-YEI stabbiliti fl-Artikolu 91(1) u fl-Artikolu 92(5) tar-Regolament (UE) Nru 1303/2013 u d-diżaggregazzjoni annwali tal-approprjazzjonijiet ta’ impenn riflessi fl-Anness VI sabiex ikunu jirriflettu r-riżorsi </w:t>
      </w:r>
      <w:r>
        <w:rPr>
          <w:noProof/>
        </w:rPr>
        <w:lastRenderedPageBreak/>
        <w:t xml:space="preserve">addizzjonali għall-allokazzjoni speċifika għall-YEI. Għaldaqstant, f’konformità mal-baġit adottat għall-2020, jenħtieġ li l-approprjazzjonijiet ta’ impenn għall-allokazzjoni speċifika għall-YEI jiżdiedu bl-ammont ta’ EUR 28 333 334 fi prezzijiet kurrenti, li jwassal l-ammont totali għall-2020 għal EUR 145 miljun fi prezzijiet kurrenti.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2020/0086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(UE) Nru 1303/2013 fir-rigward tar-riżorsi għall-allokazzjoni speċifika għall-Inizjattiva favur l-Impjieg taż-Żgħażagħ</w:t>
      </w:r>
    </w:p>
    <w:p>
      <w:pPr>
        <w:pStyle w:val="Institutionquiagit"/>
        <w:rPr>
          <w:noProof/>
          <w:szCs w:val="24"/>
        </w:rPr>
      </w:pPr>
      <w:r>
        <w:rPr>
          <w:noProof/>
        </w:rPr>
        <w:t>IL-PARLAMENT EWROPEW U L-KUNSILL TAL-UNJONI EWROPEA,</w:t>
      </w:r>
    </w:p>
    <w:p>
      <w:pPr>
        <w:rPr>
          <w:noProof/>
          <w:szCs w:val="24"/>
        </w:rPr>
      </w:pPr>
      <w:r>
        <w:rPr>
          <w:noProof/>
        </w:rPr>
        <w:t xml:space="preserve">Wara li kkunsidraw it-Trattat dwar il-Funzjonament tal-Unjoni Ewropea, u b’mod partikolari l-Artikolu 177 tiegħu, </w:t>
      </w:r>
    </w:p>
    <w:p>
      <w:pPr>
        <w:rPr>
          <w:noProof/>
          <w:szCs w:val="24"/>
        </w:rPr>
      </w:pPr>
      <w:r>
        <w:rPr>
          <w:noProof/>
        </w:rPr>
        <w:t>Wara li kkunsidraw il-proposta tal-Kummissjoni Ewropea,</w:t>
      </w:r>
    </w:p>
    <w:p>
      <w:pPr>
        <w:rPr>
          <w:noProof/>
          <w:szCs w:val="24"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  <w:szCs w:val="24"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2"/>
      </w:r>
      <w:r>
        <w:rPr>
          <w:noProof/>
        </w:rPr>
        <w:t>,</w:t>
      </w:r>
    </w:p>
    <w:p>
      <w:pPr>
        <w:rPr>
          <w:noProof/>
          <w:szCs w:val="24"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</w:t>
      </w:r>
    </w:p>
    <w:p>
      <w:pPr>
        <w:rPr>
          <w:noProof/>
          <w:szCs w:val="24"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  <w:szCs w:val="24"/>
        </w:rPr>
      </w:pPr>
      <w:r>
        <w:rPr>
          <w:noProof/>
        </w:rPr>
        <w:t>Billi:</w:t>
      </w:r>
    </w:p>
    <w:p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noProof/>
        </w:rPr>
        <w:t>Ir-Regolament (UE) Nru 1303/2013 tal-Parlament Ewropew u tal-Kunsill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jistabbilixxi d-dispożizzjonijiet komuni u ġenerali applikabbli għall-Fondi Strutturali u ta’ Investiment Ewropej. </w:t>
      </w:r>
    </w:p>
    <w:p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Il-baġit ġenerali tal-Unjoni Ewropea għas-sena finanzjarja 2020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emenda l-ammont totali tar-riżorsi għall-Inizjattiva favur l-Impjieg taż-Żgħażagħ (“YEI”) billi żied l-approprjazzjonijiet ta’ impenn għall-allokazzjoni speċifika għall-YEI fl-2020 bl-ammont ta’ EUR 28 333 334 fi prezzijiet kurrenti u b’hekk ġab l-ammont totali ta’ approprjazzjonijiet ta’ impenn tal-allokazzjoni speċifika għall-YEI għall-perjodu ta’ programmazzjoni kollu għal EUR 4 556 215 406 fi prezzijiet kurrenti. </w:t>
      </w:r>
    </w:p>
    <w:p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>Għall-2020, ir-riżorsi addizzjonali ta’ EUR 23,7 fi prezzijiet tal-2011 huma ffinanzjati mill-Marġni Globali għall-Impenji fil-marġni tal-qafas finanzjarju pluriennali għas-snin 2014-2020.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Peress li huwa urġenti li qabel tmiem l-2020 il-programmi li jappoġġaw lill-YEI jiġu emendati biex ikunu jinkludu r-riżorsi addizzjonali għall-allokazzjoni speċifika għall-YEI, jenħtieġ li dan ir-Regolament jidħol fis-seħħ fil-jum wara dak tal-pubblikazzjoni tiegħu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>.</w:t>
      </w:r>
    </w:p>
    <w:p>
      <w:pPr>
        <w:pStyle w:val="ManualConsidrant"/>
        <w:rPr>
          <w:noProof/>
          <w:szCs w:val="24"/>
        </w:rPr>
      </w:pPr>
      <w:r>
        <w:lastRenderedPageBreak/>
        <w:t>(5)</w:t>
      </w:r>
      <w:r>
        <w:tab/>
      </w:r>
      <w:r>
        <w:rPr>
          <w:noProof/>
        </w:rPr>
        <w:t>Għaldaqstant, jenħtieġ li r-Regolament (UE) Nru 1303/2013 jiġi emendat skont dan.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Ir-Regolament (UE) Nru 1303/2013 huwa emendat kif ġej: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fl-Artikolu 91, il-paragrafu 1 hu sostitwit b’dan li ġej:</w:t>
      </w:r>
    </w:p>
    <w:p>
      <w:pPr>
        <w:pStyle w:val="Text1"/>
        <w:rPr>
          <w:noProof/>
        </w:rPr>
      </w:pPr>
      <w:r>
        <w:rPr>
          <w:noProof/>
        </w:rPr>
        <w:t>“1. Ir-riżorsi għall-koeżjoni ekonomika, soċjali u territorjali disponibbli għall-impenn baġitarju għall-perjodu 2014-2020 għandhom ikunu EUR 330 105 627 309 fi prezzijiet tal-2011, f’konformità mad-diżaggregazzjoni annwali stabbilita fl-Anness VI, li minnhom EUR 325 938 694 233 jirrappreżentaw ir-riżorsi globali allokati għall-FEŻR, għall-FSE u għall-Fond ta’ Koeżjoni u EUR 4 166 933 076 jirrappreżentaw allokazzjoni speċifika għall-YEI. Għall-finijiet tal-programmazzjoni u tal-inklużjoni sussegwenti fil-baġit tal-Unjoni, l-ammont tar-riżorsi għall-koeżjoni ekonomika, soċjali u territorjali għandu jkun indiċjat għal 2 % kull sena.”;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fl-Artikolu 92, il-paragrafu 5 hu sostitwit b’dan li ġej:</w:t>
      </w:r>
    </w:p>
    <w:p>
      <w:pPr>
        <w:pStyle w:val="Text1"/>
        <w:rPr>
          <w:noProof/>
        </w:rPr>
      </w:pPr>
      <w:r>
        <w:rPr>
          <w:noProof/>
        </w:rPr>
        <w:t>“5. Ir-riżorsi għall-YEI għandhom jammontaw għal EUR 4 166 933 076, li minnhom EUR 23,7 miljun jikkostitwixxu r-riżorsi addizzjonali għall-2020. Dawn għandhom jiġu kkomplementati mill-investiment immirat tal-FSE b’konformità mal-Artikolu 22 tar-Regolament (UE) Nru 1304/2013.</w:t>
      </w:r>
    </w:p>
    <w:p>
      <w:pPr>
        <w:pStyle w:val="Text1"/>
        <w:rPr>
          <w:noProof/>
        </w:rPr>
      </w:pPr>
      <w:r>
        <w:rPr>
          <w:noProof/>
        </w:rPr>
        <w:t>L-Istati Membri li jibbenefikaw mir-riżorsi addizzjonali għall-allokazzjoni speċifika għall-YEI jistgħu jitolbu t-trasferiment sa 50 % tar-riżorsi addizzjonali għall-allokazzjoni speċifika għall-YEI biex jikkostitwixxu l-investiment immirat korrespondenti tal-FSE kif meħtieġ mill-Artikolu 22(1) tar-Regolament (UE) Nru 1304/2013. Tali trasferiment għandu jsir għall-kategoriji rispettivi tar-reġjun li jikkorrispondu għall-kategorizzazzjoni tar-reġjuni eliġibbli għaż-żieda tal-allokazzjoni speċifika għall-YEI. L-Istati Membri għandhom jitolbu t-trasferiment fit-talba għal emenda tal-programm f’konformità mal-Artikolu 30(1) ta’ dan ir-Regolament. Ir-riżorsi allokati għal snin li għaddew ma jistgħux jiġu trasferiti.</w:t>
      </w:r>
    </w:p>
    <w:p>
      <w:pPr>
        <w:pStyle w:val="Text1"/>
        <w:rPr>
          <w:noProof/>
        </w:rPr>
      </w:pPr>
      <w:r>
        <w:rPr>
          <w:noProof/>
        </w:rPr>
        <w:t>It-tieni subparagrafu għandu japplika għal kwalunkwe riżorsi addizzjonali għall-allokazzjoni speċifika għall-YEI allokata fl-2019 u l-2020.”.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L-Anness VI jiġi sostitwit bit-test stabbilit fl-Anness ta' dan ir-Regolament.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Dan ir-Regolament għandu jidħol fis-seħħ l-għada tal-jum tal-pubblikazzjoni tiegħu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lastRenderedPageBreak/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TAL-PROPOSTA/INIZJATTIVA </w:t>
      </w:r>
    </w:p>
    <w:p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 xml:space="preserve">Titolu tal-proposta/inizjattiva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Proposta għal Regolament tal-Parlament Ewropew u tal-Kunsill li jemenda r-Regolament (UE) Nru 1303/2013 fir-rigward tar-riżorsi għall-allokazzjoni speċifika għall-Inizjattiva favur l-Impjieg taż-Żgħażagħ</w:t>
      </w:r>
    </w:p>
    <w:p>
      <w:pPr>
        <w:pStyle w:val="ManualHeading2"/>
        <w:rPr>
          <w:noProof/>
          <w:szCs w:val="24"/>
        </w:rPr>
      </w:pPr>
      <w:r>
        <w:rPr>
          <w:noProof/>
        </w:rPr>
        <w:t>1.2.</w:t>
      </w:r>
      <w:r>
        <w:rPr>
          <w:noProof/>
        </w:rPr>
        <w:tab/>
        <w:t>Qasam/oqsma ta’ politika kkonċernat(i) fl-istruttura ABM/ABB</w:t>
      </w:r>
      <w:r>
        <w:rPr>
          <w:rStyle w:val="FootnoteReference"/>
          <w:bCs/>
          <w:noProof/>
        </w:rPr>
        <w:footnoteReference w:id="6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4 Impjiegi, affarijiet soċjali u inklużjoni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04 02 64 – Inizjattiva favur l-Impjieg taż-Żgħażagħ (YEI)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1.3.</w:t>
      </w:r>
      <w:r>
        <w:rPr>
          <w:noProof/>
        </w:rPr>
        <w:tab/>
        <w:t xml:space="preserve">Natura tal-proposta/inizjattiva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Il-proposta/l-inizjattiva hija dwar </w:t>
      </w:r>
      <w:r>
        <w:rPr>
          <w:b/>
          <w:bCs/>
          <w:noProof/>
        </w:rPr>
        <w:t>azzjoni ġdida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Il-proposta/l-inizjattiva hija dwar </w:t>
      </w:r>
      <w:r>
        <w:rPr>
          <w:b/>
          <w:bCs/>
          <w:noProof/>
        </w:rPr>
        <w:t>azzjoni ġdida b'segwitu għal proġett pilota/azzjoni preparatorja</w:t>
      </w:r>
      <w:r>
        <w:rPr>
          <w:rStyle w:val="FootnoteReference"/>
          <w:b/>
          <w:noProof/>
        </w:rPr>
        <w:footnoteReference w:id="7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7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Il-proposta/l-inizjattiva hija dwar </w:t>
      </w:r>
      <w:r>
        <w:rPr>
          <w:b/>
          <w:bCs/>
          <w:noProof/>
        </w:rPr>
        <w:t>l-estensjoni ta’ azzjoni eżistenti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Il-proposta/l-inizjattiva hija dwar </w:t>
      </w:r>
      <w:r>
        <w:rPr>
          <w:b/>
          <w:bCs/>
          <w:noProof/>
        </w:rPr>
        <w:t>azzjoni diretta mill-ġdid lejn azzjoni ġdida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1.4.</w:t>
      </w:r>
      <w:r>
        <w:rPr>
          <w:noProof/>
        </w:rPr>
        <w:tab/>
        <w:t>Għan(ijiet)</w:t>
      </w:r>
    </w:p>
    <w:p>
      <w:pPr>
        <w:pStyle w:val="ManualHeading3"/>
        <w:rPr>
          <w:noProof/>
        </w:rPr>
      </w:pPr>
      <w:r>
        <w:rPr>
          <w:noProof/>
        </w:rPr>
        <w:t>1.4.1.</w:t>
      </w:r>
      <w:r>
        <w:rPr>
          <w:noProof/>
        </w:rPr>
        <w:tab/>
        <w:t xml:space="preserve">L-għan(ijiet) strateġiku/ċi pluriennali tal-Kummissjoni fil-mira tal-proposta/tal-inizjattiva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1.4.2.</w:t>
      </w:r>
      <w:r>
        <w:rPr>
          <w:noProof/>
        </w:rPr>
        <w:tab/>
        <w:t xml:space="preserve">Għan(ijiet) speċifiku/ċi u l-attività/ajiet ABM/ABB ikkonċernat(i)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Għan speċifiku Nru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Attività/attivitajiet ABM/ABB ikkonċernata/i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1.4.3.</w:t>
      </w:r>
      <w:r>
        <w:rPr>
          <w:noProof/>
        </w:rPr>
        <w:tab/>
        <w:t>Ir-riżultat(i) u l-impatt mistennija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l-effetti li l-proposta/l-inizjattiva jenħtieġ li jkollha fuq il-benefiċjarji/il-gruppi fil-mira.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1.4.4.</w:t>
      </w:r>
      <w:r>
        <w:rPr>
          <w:noProof/>
        </w:rPr>
        <w:tab/>
        <w:t xml:space="preserve">Indikaturi tar-riżultati u l-impatt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l-indikaturi għall-monitoraġġ tal-implimentazzjoni tal-proposta/inizjattiva.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1.5.</w:t>
      </w:r>
      <w:r>
        <w:rPr>
          <w:noProof/>
        </w:rPr>
        <w:tab/>
        <w:t xml:space="preserve">Raġunijiet għall-proposta/għall-inizjattiva </w:t>
      </w:r>
    </w:p>
    <w:p>
      <w:pPr>
        <w:pStyle w:val="ManualHeading3"/>
        <w:rPr>
          <w:noProof/>
        </w:rPr>
      </w:pPr>
      <w:r>
        <w:rPr>
          <w:noProof/>
        </w:rPr>
        <w:t>1.5.1.</w:t>
      </w:r>
      <w:r>
        <w:rPr>
          <w:noProof/>
        </w:rPr>
        <w:tab/>
        <w:t xml:space="preserve">Rekwiżit(i) li jrid(u) jiġi/u ssodisfat(i) fuq terminu qasir jew twil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1.5.2.</w:t>
      </w:r>
      <w:r>
        <w:rPr>
          <w:noProof/>
        </w:rPr>
        <w:tab/>
        <w:t>Valur miżjud tal-involviment tal-UE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1.5.3.</w:t>
      </w:r>
      <w:r>
        <w:rPr>
          <w:noProof/>
        </w:rPr>
        <w:tab/>
        <w:t>Tagħlimiet meħuda minn esperjenzi simili fl-imgħoddi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1.5.4.</w:t>
      </w:r>
      <w:r>
        <w:rPr>
          <w:noProof/>
        </w:rPr>
        <w:tab/>
        <w:t>Kompatibbiltà u sinerġija possibbli ma’ strumenti xierqa oħra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1.6.</w:t>
      </w:r>
      <w:r>
        <w:rPr>
          <w:noProof/>
        </w:rPr>
        <w:tab/>
        <w:t xml:space="preserve">Durata u impatt finanzjarju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Proposta/inizjattiva ta’ </w:t>
      </w:r>
      <w:r>
        <w:rPr>
          <w:b/>
          <w:bCs/>
          <w:noProof/>
        </w:rPr>
        <w:t>durata limitata</w:t>
      </w:r>
      <w:r>
        <w:rPr>
          <w:b/>
          <w:noProof/>
        </w:rPr>
        <w:t xml:space="preserve"> 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Proposta/inizjattiva fis-seħħ mill-01/01/2017 sal-31/12/2023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Impatt finanzjarju fl-2017 - 2020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Proposta/inizjattiva ta’ </w:t>
      </w:r>
      <w:r>
        <w:rPr>
          <w:b/>
          <w:bCs/>
          <w:noProof/>
        </w:rPr>
        <w:t>durata mhux limitata</w:t>
      </w:r>
    </w:p>
    <w:p>
      <w:pPr>
        <w:pStyle w:val="ListDash1"/>
        <w:rPr>
          <w:noProof/>
        </w:rPr>
      </w:pPr>
      <w:r>
        <w:rPr>
          <w:noProof/>
        </w:rPr>
        <w:t>Implimentazzjoni b’perjodu ta’ tnedija minn SSSS sa SSSS,</w:t>
      </w:r>
    </w:p>
    <w:p>
      <w:pPr>
        <w:pStyle w:val="ListDash1"/>
        <w:rPr>
          <w:noProof/>
        </w:rPr>
      </w:pPr>
      <w:r>
        <w:rPr>
          <w:noProof/>
        </w:rPr>
        <w:t>segwita minn operazzjoni fuq skala sħiħa.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1.7.</w:t>
      </w:r>
      <w:r>
        <w:rPr>
          <w:noProof/>
        </w:rPr>
        <w:tab/>
        <w:t>Mod(i) ta’ ġestjoni ppjanat(i)</w:t>
      </w:r>
      <w:r>
        <w:rPr>
          <w:rStyle w:val="FootnoteReference"/>
          <w:bCs/>
          <w:noProof/>
        </w:rPr>
        <w:footnoteReference w:id="8"/>
      </w:r>
      <w:r>
        <w:rPr>
          <w:rStyle w:val="FootnoteReference"/>
          <w:noProof/>
        </w:rPr>
        <w:t xml:space="preserve"> 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bCs/>
          <w:noProof/>
        </w:rPr>
        <w:t>Ġestjoni diretta</w:t>
      </w:r>
      <w:r>
        <w:rPr>
          <w:noProof/>
        </w:rPr>
        <w:t xml:space="preserve"> mill-Kummissjoni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mid-dipartimenti tagħha, inkluż mill-persunal tagħha fid-delegazzjonijiet tal-Unjoni;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mill-aġenziji eżekuttivi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b/>
          <w:bCs/>
          <w:noProof/>
        </w:rPr>
        <w:t>Ġestjoni kondiviża</w:t>
      </w:r>
      <w:r>
        <w:rPr>
          <w:noProof/>
        </w:rPr>
        <w:t xml:space="preserve"> mal-Istati Membri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bCs/>
          <w:noProof/>
        </w:rPr>
        <w:t>Ġestjoni indiretta</w:t>
      </w:r>
      <w:r>
        <w:rPr>
          <w:noProof/>
        </w:rPr>
        <w:t xml:space="preserve"> billi jiġu fdati kompiti ta’ implimentazzjoni baġitarja: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lill-pajjiżi terzi jew lill-korpi nnominati minnhom;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lill-organizzazzjonijiet internazzjonali u lill-aġenziji tagħhom (iridu jiġu speċifikati);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lill-BEI u lill-Fond Ewropew tal-Investiment;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lill-korpi msemmija fl-Artikoli 208 u 209 tar-Regolament Finanzjarju;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lill-korpi tal-liġi pubblika;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lill-korpi rregolati mil-liġi privata b’missjoni ta’ servizz pubbliku sakemm dawn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lill-korpi rregolati mil-liġi privata ta’ Stat Membru li jkunu fdati bl-implimentazzjoni ta’ sħubija pubblika-privata u li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lill-persuni fdati bl-implimentazzjoni ta’ azzjonijiet speċifiċi fil-PESK skont it-Titolu V tat-TUE, u identifikati fl-att bażiku rilevanti.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Jekk jiġi indikat iżjed minn mod ta’ ġestjoni wieħed, jekk jogħġbok ipprovdi d-dettalji fit-taqsima "Kummenti".</w:t>
      </w:r>
    </w:p>
    <w:p>
      <w:pPr>
        <w:rPr>
          <w:noProof/>
        </w:rPr>
      </w:pPr>
      <w:r>
        <w:rPr>
          <w:noProof/>
        </w:rPr>
        <w:t xml:space="preserve">Kummenti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 xml:space="preserve">Regoli ta’ monitoraġġ u ta’ rapportar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Speċifika l-frekwenza u l-kundizzjonijiet.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2.2.</w:t>
      </w:r>
      <w:r>
        <w:rPr>
          <w:noProof/>
        </w:rPr>
        <w:tab/>
        <w:t xml:space="preserve">Sistema ta' ġestjoni u kontroll </w:t>
      </w:r>
    </w:p>
    <w:p>
      <w:pPr>
        <w:pStyle w:val="ManualHeading3"/>
        <w:rPr>
          <w:noProof/>
        </w:rPr>
      </w:pPr>
      <w:r>
        <w:rPr>
          <w:noProof/>
        </w:rPr>
        <w:t>2.2.1.</w:t>
      </w:r>
      <w:r>
        <w:rPr>
          <w:noProof/>
        </w:rPr>
        <w:tab/>
        <w:t xml:space="preserve">Riskju/i identifikat(i)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2.2.2.</w:t>
      </w:r>
      <w:r>
        <w:rPr>
          <w:noProof/>
        </w:rPr>
        <w:tab/>
        <w:t>Informazzjoni dwar is-sistema ta’ kontroll intern li ġiet stabbilita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noProof/>
        </w:rPr>
      </w:pPr>
      <w:r>
        <w:rPr>
          <w:noProof/>
        </w:rPr>
        <w:t>2.2.3.</w:t>
      </w:r>
      <w:r>
        <w:rPr>
          <w:noProof/>
        </w:rPr>
        <w:tab/>
        <w:t xml:space="preserve">Stima tal-kostijiet u tal-benefiċċji tal-kontrolli u valutazzjoni tal-livell mistenni ta’ riskju ta’ errur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2.3.</w:t>
      </w:r>
      <w:r>
        <w:rPr>
          <w:noProof/>
        </w:rPr>
        <w:tab/>
        <w:t xml:space="preserve">Miżuri għall-prevenzjoni ta’ frodi u ta’ irregolaritajiet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l-miżuri ta’ prevenzjoni u ta’ protezzjoni eżistenti jew previsti.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IMPATT FINANZJARJU STMAT TAL-PROPOSTA/TAL-INIZJATTIVA 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 xml:space="preserve">Intestatura/i tal-qafas finanzjarju pluriennali u l-linja/i baġitarja tan-nefqa affettwati </w:t>
      </w:r>
    </w:p>
    <w:p>
      <w:pPr>
        <w:pStyle w:val="ListBullet1"/>
        <w:rPr>
          <w:noProof/>
        </w:rPr>
      </w:pPr>
      <w:r>
        <w:rPr>
          <w:noProof/>
        </w:rPr>
        <w:t xml:space="preserve">Linji baġitarji eżistenti </w:t>
      </w:r>
    </w:p>
    <w:p>
      <w:pPr>
        <w:pStyle w:val="Text1"/>
        <w:rPr>
          <w:noProof/>
        </w:rPr>
      </w:pPr>
      <w:r>
        <w:rPr>
          <w:noProof/>
          <w:u w:val="single"/>
        </w:rPr>
        <w:t>Skont l-ordni</w:t>
      </w:r>
      <w:r>
        <w:rPr>
          <w:noProof/>
        </w:rPr>
        <w:t xml:space="preserve"> tal-intestaturi tal-qafas finanzjarju pluriennali u tal-linji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Tip ta’ 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Numru 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[Intestatura………………………...……………]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  <w:r>
              <w:rPr>
                <w:rStyle w:val="FootnoteReference"/>
                <w:noProof/>
                <w:sz w:val="18"/>
              </w:rPr>
              <w:footnoteReference w:id="9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mill-pajjiżi tal-EFTA</w:t>
            </w:r>
            <w:r>
              <w:rPr>
                <w:rStyle w:val="FootnoteReference"/>
                <w:noProof/>
                <w:sz w:val="18"/>
              </w:rPr>
              <w:footnoteReference w:id="10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minn pajjiżi kandidati</w:t>
            </w:r>
            <w:r>
              <w:rPr>
                <w:rStyle w:val="FootnoteReference"/>
                <w:noProof/>
                <w:sz w:val="18"/>
              </w:rPr>
              <w:footnoteReference w:id="11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skont it-tifsira tal-Artikolu 21(2)(b) tar-Regolament Finanzjarju </w:t>
            </w:r>
          </w:p>
        </w:tc>
      </w:tr>
      <w:tr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1 Tkabbir Intelliġenti u Inklużiv</w:t>
            </w:r>
          </w:p>
        </w:tc>
        <w:tc>
          <w:tcPr>
            <w:tcW w:w="3960" w:type="dxa"/>
            <w:vAlign w:val="center"/>
          </w:tcPr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60 – Fond Soċjali Ewropew – Reġjuni anqas żviluppati – Investiment għall-mira tat-tkabbir u l-impjiegi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61 – Fond Soċjali Ewropew – Reġjuni fi tranżizzjoni – Investiment għall-mira tat-tkabbir u l-impjiegi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62 – Fond Soċjali Ewropew – Reġjuni aktar żviluppati – Investiment għall-mira tat-tkabbir u l-impjiegi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64 – Inizjattiva favur l-Impjieg taż-Żgħażagħ (YEI)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LE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LE</w:t>
            </w:r>
          </w:p>
        </w:tc>
      </w:tr>
    </w:tbl>
    <w:p>
      <w:pPr>
        <w:rPr>
          <w:noProof/>
        </w:rPr>
      </w:pPr>
    </w:p>
    <w:p>
      <w:pPr>
        <w:pStyle w:val="ListBullet1"/>
        <w:rPr>
          <w:noProof/>
        </w:rPr>
      </w:pPr>
      <w:r>
        <w:rPr>
          <w:noProof/>
        </w:rPr>
        <w:t xml:space="preserve">Linji baġitarji ġodda mitluba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>Skont l-ordni</w:t>
      </w:r>
      <w:r>
        <w:rPr>
          <w:i/>
          <w:noProof/>
        </w:rPr>
        <w:t xml:space="preserve"> tal-intestaturi tal-qafas finanzjarju pluriennali u tal-linji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Tip ta’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Numru 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[Intestatura………………………………………]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mill-pajjiżi tal-EFTA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mill-pajjiżi kandidati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skont it-tifsira tal-Artikolu 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[XX.YY.YY.YY]</w:t>
            </w:r>
          </w:p>
          <w:p>
            <w:pPr>
              <w:spacing w:after="60"/>
              <w:rPr>
                <w:noProof/>
                <w:color w:val="0000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IVA/LE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IVA/LE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IVA/LE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IVA/LE</w:t>
            </w:r>
          </w:p>
        </w:tc>
      </w:tr>
    </w:tbl>
    <w:p>
      <w:pPr>
        <w:pStyle w:val="Institutionquisigne"/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3.2.</w:t>
      </w:r>
      <w:r>
        <w:rPr>
          <w:noProof/>
        </w:rPr>
        <w:tab/>
        <w:t xml:space="preserve">Impatt stmat fuq in-nefqa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Jenħtieġ li l-approprjazzjonijiet ta’ impenn għall-allokazzjoni speċifika għall-YEI għall-2020 jiżdiedu b’EUR 28 333 334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fi prezzijiet kurrenti. L-emenda proposta hija stmata li tirriżulta f’pagamenti addizzjonali ta’ EUR 3 miljun fl-2020.</w:t>
      </w:r>
    </w:p>
    <w:p>
      <w:pPr>
        <w:pStyle w:val="ManualHeading3"/>
        <w:rPr>
          <w:noProof/>
          <w:u w:val="single"/>
        </w:rPr>
      </w:pPr>
      <w:r>
        <w:rPr>
          <w:noProof/>
        </w:rPr>
        <w:t>3.2.1.</w:t>
      </w:r>
      <w:r>
        <w:rPr>
          <w:noProof/>
        </w:rPr>
        <w:tab/>
        <w:t xml:space="preserve">Sommarju tal-impatt stmat fuq in-nefqa </w:t>
      </w:r>
    </w:p>
    <w:p>
      <w:pPr>
        <w:spacing w:before="0" w:after="200" w:line="276" w:lineRule="auto"/>
        <w:jc w:val="left"/>
        <w:rPr>
          <w:noProof/>
          <w:sz w:val="20"/>
        </w:rPr>
      </w:pPr>
      <w:r>
        <w:rPr>
          <w:noProof/>
        </w:rPr>
        <w:br w:type="page"/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miljuni ta’ EUR fi prezzijiet kurrenti (aġġustati ’l fuq għal tliet pożizzjonijiet deċimali)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1080"/>
        <w:gridCol w:w="7817"/>
      </w:tblGrid>
      <w:tr>
        <w:trPr>
          <w:jc w:val="center"/>
        </w:trPr>
        <w:tc>
          <w:tcPr>
            <w:tcW w:w="5351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Intestatura tal-qafas finanzjarju 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Numru</w:t>
            </w:r>
          </w:p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1b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Tkabbir Intelliġenti u Inklużiv</w:t>
            </w:r>
          </w:p>
        </w:tc>
      </w:tr>
    </w:tbl>
    <w:p>
      <w:pPr>
        <w:rPr>
          <w:noProof/>
          <w:sz w:val="16"/>
        </w:rPr>
      </w:pPr>
    </w:p>
    <w:tbl>
      <w:tblPr>
        <w:tblW w:w="14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425"/>
        <w:gridCol w:w="709"/>
        <w:gridCol w:w="708"/>
        <w:gridCol w:w="709"/>
        <w:gridCol w:w="1276"/>
        <w:gridCol w:w="1276"/>
        <w:gridCol w:w="1275"/>
        <w:gridCol w:w="1276"/>
        <w:gridCol w:w="1518"/>
      </w:tblGrid>
      <w:tr>
        <w:tc>
          <w:tcPr>
            <w:tcW w:w="2203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DĠ: </w:t>
            </w:r>
            <w:r>
              <w:rPr>
                <w:noProof/>
              </w:rPr>
              <w:t xml:space="preserve">EMPL, REGIO </w:t>
            </w:r>
          </w:p>
        </w:tc>
        <w:tc>
          <w:tcPr>
            <w:tcW w:w="3119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2014</w:t>
            </w:r>
          </w:p>
        </w:tc>
        <w:tc>
          <w:tcPr>
            <w:tcW w:w="70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2017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2018</w:t>
            </w:r>
          </w:p>
        </w:tc>
        <w:tc>
          <w:tcPr>
            <w:tcW w:w="127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213"/>
        </w:trPr>
        <w:tc>
          <w:tcPr>
            <w:tcW w:w="5747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Approprjazzjonijiet operazzjonali </w:t>
            </w:r>
          </w:p>
        </w:tc>
        <w:tc>
          <w:tcPr>
            <w:tcW w:w="70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2203" w:type="dxa"/>
            <w:vAlign w:val="center"/>
          </w:tcPr>
          <w:p>
            <w:pPr>
              <w:spacing w:before="60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1b: Koeżjoni ekonomika, soċjali u territorjali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  <w:sz w:val="21"/>
              </w:rPr>
              <w:t>Il-Fond Ewropew għall-Iżvilupp Reġjonali, il-Fond Soċjali Ewropew, il-Fond ta’ Koeżjoni</w:t>
            </w:r>
          </w:p>
        </w:tc>
        <w:tc>
          <w:tcPr>
            <w:tcW w:w="3119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Impenji 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64 – Inizjattiva favur l-Impjieg taż-Żgħażagħ (YEI)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28, 333</w:t>
            </w:r>
          </w:p>
        </w:tc>
        <w:tc>
          <w:tcPr>
            <w:tcW w:w="1518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28, 333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rPr>
          <w:noProof/>
        </w:rPr>
      </w:pPr>
    </w:p>
    <w:tbl>
      <w:tblPr>
        <w:tblW w:w="14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78"/>
        <w:gridCol w:w="347"/>
        <w:gridCol w:w="709"/>
        <w:gridCol w:w="708"/>
        <w:gridCol w:w="709"/>
        <w:gridCol w:w="1276"/>
        <w:gridCol w:w="1276"/>
        <w:gridCol w:w="1275"/>
        <w:gridCol w:w="1276"/>
        <w:gridCol w:w="1518"/>
      </w:tblGrid>
      <w:tr>
        <w:trPr>
          <w:trHeight w:val="85"/>
        </w:trPr>
        <w:tc>
          <w:tcPr>
            <w:tcW w:w="2203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</w:p>
        </w:tc>
        <w:tc>
          <w:tcPr>
            <w:tcW w:w="3119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Pagamenti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64 – Inizjattiva favur l-Impjieg taż-Żgħażagħ (YEI)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3,000</w:t>
            </w:r>
          </w:p>
        </w:tc>
        <w:tc>
          <w:tcPr>
            <w:tcW w:w="1518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3,000</w:t>
            </w:r>
          </w:p>
        </w:tc>
      </w:tr>
      <w:tr>
        <w:trPr>
          <w:trHeight w:val="231"/>
        </w:trPr>
        <w:tc>
          <w:tcPr>
            <w:tcW w:w="5747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Approprjazzjonijiet ta’ natura amministrattiva ffinanzjati mill-pakkett għall-programmi speċifiċi</w:t>
            </w:r>
            <w:r>
              <w:rPr>
                <w:rStyle w:val="FootnoteReference"/>
                <w:noProof/>
                <w:sz w:val="21"/>
              </w:rPr>
              <w:footnoteReference w:id="13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2203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Mhux applikabbli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709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203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br/>
            </w:r>
            <w:r>
              <w:rPr>
                <w:b/>
                <w:bCs/>
                <w:noProof/>
              </w:rPr>
              <w:t>għad-DĠ</w:t>
            </w:r>
            <w:r>
              <w:rPr>
                <w:noProof/>
              </w:rPr>
              <w:t xml:space="preserve"> EMPL, REGIO 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28,333</w:t>
            </w:r>
          </w:p>
        </w:tc>
        <w:tc>
          <w:tcPr>
            <w:tcW w:w="151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28,333</w:t>
            </w:r>
          </w:p>
        </w:tc>
      </w:tr>
      <w:tr>
        <w:tc>
          <w:tcPr>
            <w:tcW w:w="2203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3197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3,000</w:t>
            </w:r>
          </w:p>
        </w:tc>
        <w:tc>
          <w:tcPr>
            <w:tcW w:w="151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3,000</w:t>
            </w:r>
          </w:p>
        </w:tc>
      </w:tr>
    </w:tbl>
    <w:p>
      <w:pPr>
        <w:rPr>
          <w:noProof/>
          <w:sz w:val="16"/>
        </w:rPr>
      </w:pPr>
    </w:p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347"/>
        <w:gridCol w:w="709"/>
        <w:gridCol w:w="708"/>
        <w:gridCol w:w="709"/>
        <w:gridCol w:w="1276"/>
        <w:gridCol w:w="1276"/>
        <w:gridCol w:w="1275"/>
        <w:gridCol w:w="1276"/>
        <w:gridCol w:w="1448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TOTAL tal-approprjazzjonijiet operazzjonali</w:t>
            </w:r>
            <w:r>
              <w:rPr>
                <w:noProof/>
                <w:sz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347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28,333</w:t>
            </w: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28,333</w:t>
            </w:r>
          </w:p>
        </w:tc>
      </w:tr>
      <w:tr>
        <w:trPr>
          <w:trHeight w:val="414"/>
        </w:trP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347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3,000</w:t>
            </w:r>
          </w:p>
        </w:tc>
        <w:tc>
          <w:tcPr>
            <w:tcW w:w="1448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3,000</w:t>
            </w: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TOTAL ta’ approprjazzjonijiet ta’ natura amministrattiva ffinanzjati mill-pakkett għal programmi speċifiċi</w:t>
            </w:r>
            <w:r>
              <w:rPr>
                <w:noProof/>
                <w:sz w:val="21"/>
              </w:rPr>
              <w:t xml:space="preserve"> </w:t>
            </w:r>
          </w:p>
        </w:tc>
        <w:tc>
          <w:tcPr>
            <w:tcW w:w="347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0,000</w:t>
            </w: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0,000</w:t>
            </w: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Approprjazzjonijiet TOTALI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taħt l-INTESTATURA 1b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28,333</w:t>
            </w: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28,333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3,000</w:t>
            </w: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3,000</w:t>
            </w:r>
          </w:p>
        </w:tc>
      </w:tr>
      <w:tr>
        <w:tc>
          <w:tcPr>
            <w:tcW w:w="3960" w:type="dxa"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  <w:sz w:val="16"/>
        </w:rPr>
      </w:pPr>
    </w:p>
    <w:p>
      <w:pPr>
        <w:rPr>
          <w:noProof/>
        </w:rPr>
      </w:pPr>
    </w:p>
    <w:p>
      <w:pPr>
        <w:rPr>
          <w:b/>
          <w:noProof/>
          <w:sz w:val="22"/>
          <w:u w:val="single"/>
        </w:rPr>
      </w:pPr>
      <w:r>
        <w:rPr>
          <w:noProof/>
        </w:rPr>
        <w:br/>
      </w:r>
    </w:p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Jekk il-proposta/l-inizjattiva taffettwa iżjed minn intestatura waħda: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386"/>
        <w:gridCol w:w="960"/>
        <w:gridCol w:w="840"/>
        <w:gridCol w:w="840"/>
        <w:gridCol w:w="720"/>
        <w:gridCol w:w="720"/>
        <w:gridCol w:w="960"/>
        <w:gridCol w:w="142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TOTAL tal-approprjazzjonijiet operazzjonali</w:t>
            </w:r>
            <w:r>
              <w:rPr>
                <w:noProof/>
                <w:sz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TOTAL ta’ approprjazzjonijiet ta’ natura amministrattiva ffinanzjati mill-pakkett għal programmi speċifiċi</w:t>
            </w:r>
            <w:r>
              <w:rPr>
                <w:noProof/>
                <w:sz w:val="21"/>
              </w:rPr>
              <w:t xml:space="preserve"> 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Approprjazzjonijiet TOTALI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taħt l-INTESTATURI 1 sa 4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(Ammont ta’ referenza)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</w:tbl>
    <w:p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</w:rPr>
              <w:t xml:space="preserve">Intestatura tal-qafas finanzjarju 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pluriennali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“Nefqa amministrattiva”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Miljuni ta’ EUR (aġġustati ’l fuq għal tliet pożizzjonijiet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Daħħal is-snin kollha li hemm bżonn biex turi d-durata tal-impatt (ara l-punt 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DĠ: </w:t>
            </w:r>
            <w:r>
              <w:rPr>
                <w:noProof/>
              </w:rPr>
              <w:t>&lt;…….&gt;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Riżorsi umani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ab/>
              <w:t>Nefqa amministrattiva oħra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TOTAL TAD-DĠ</w:t>
            </w:r>
            <w:r>
              <w:rPr>
                <w:noProof/>
              </w:rPr>
              <w:t xml:space="preserve"> &lt;…….&gt;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Approprjazzjonijiet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taħt l-INTESTATURA 5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(Total ta’ impenji = Total ta’ pagamenti)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Miljuni ta’ EUR (aġġustati ’l fuq għal tliet pożizzjonijiet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14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is-snin kollha li hemm bżonn biex turi d-durata tal-impatt (ara l-punt 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Approprjazzjonijiet TOTALI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taħt l-INTESTATURI 1 sa 5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3.2.2.</w:t>
      </w:r>
      <w:r>
        <w:rPr>
          <w:noProof/>
        </w:rPr>
        <w:tab/>
        <w:t xml:space="preserve">Impatt stmat fuq l-approprjazzjonijiet operazzjonali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Il-proposta/l-inizjattiva ma teħtieġx l-użu ta’ approprjazzjonijiet operazzjonali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Il-proposta/l-inizjattiva teħtieġ l-użu ta’ approprjazzjonijiet operazzjonali, kif spjegat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ta’ impenn f’miljuni ta’ EUR (aġġustati ’l fuq għal tliet pożizzjonijiet deċimali)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Indika l-għanijiet u l-outputs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Daħħal is-snin kollha li hemm bżonn biex turi d-durata tal-impatt (ara l-punt 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TOTAL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OUTPUTS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Tip</w:t>
            </w:r>
            <w:r>
              <w:rPr>
                <w:rStyle w:val="FootnoteReference"/>
                <w:noProof/>
                <w:sz w:val="18"/>
              </w:rPr>
              <w:footnoteReference w:id="15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 medju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 totali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 totali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GĦAN SPEĊIFIKU Nru 1</w:t>
            </w:r>
            <w:r>
              <w:rPr>
                <w:rStyle w:val="FootnoteReference"/>
                <w:noProof/>
                <w:sz w:val="18"/>
              </w:rPr>
              <w:footnoteReference w:id="16"/>
            </w:r>
            <w:r>
              <w:rPr>
                <w:noProof/>
                <w:sz w:val="18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tal-għan speċifiku Nru 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GĦAN SPEĊIFIKU Nru 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tal-għan speċifiku Nru 2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KOST TOTALI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3.2.3.</w:t>
      </w:r>
      <w:r>
        <w:rPr>
          <w:noProof/>
        </w:rPr>
        <w:tab/>
        <w:t>Impatt stmat fuq l-approprjazzjonijiet ta’ natura amministrattiva</w:t>
      </w:r>
    </w:p>
    <w:p>
      <w:pPr>
        <w:pStyle w:val="ManualHeading4"/>
        <w:rPr>
          <w:noProof/>
        </w:rPr>
      </w:pPr>
      <w:r>
        <w:rPr>
          <w:noProof/>
        </w:rPr>
        <w:t>3.2.3.1.</w:t>
      </w:r>
      <w:r>
        <w:rPr>
          <w:noProof/>
        </w:rPr>
        <w:tab/>
        <w:t xml:space="preserve">Sommarju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Il-proposta/l-inizjattiva ma teħtieġx l-użu ta’ approprjazzjonijiet ta’ natura amministrattiva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l-użu ta’ approprjazzjonijiet ta’ natura amministrattiva, kif spjegat hawn taħt:</w:t>
      </w:r>
    </w:p>
    <w:p>
      <w:pPr>
        <w:rPr>
          <w:noProof/>
          <w:sz w:val="20"/>
        </w:rPr>
      </w:pPr>
      <w:r>
        <w:rPr>
          <w:noProof/>
          <w:sz w:val="20"/>
        </w:rPr>
        <w:t>Miljuni ta’ EUR (aġġustati ’l fuq għal tliet pożizzjonijiet deċimali)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</w:t>
            </w:r>
            <w:r>
              <w:rPr>
                <w:rStyle w:val="FootnoteReference"/>
                <w:b/>
                <w:noProof/>
                <w:sz w:val="16"/>
              </w:rPr>
              <w:footnoteReference w:id="17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is-snin kollha li hemm bżonn biex turi d-durata tal-impatt (ara l-punt 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INTESTATURA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tal-qafas finanzjarju pluriennali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amministrattiva oħra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Subtotal tal-INTESTATURA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</w:rPr>
              <w:t>Barra mill-INTESTATURA 5</w:t>
            </w:r>
            <w:r>
              <w:rPr>
                <w:rStyle w:val="FootnoteReference"/>
                <w:b/>
                <w:noProof/>
              </w:rPr>
              <w:footnoteReference w:id="18"/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of the multiannual financial framework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oħra </w:t>
            </w:r>
            <w:r>
              <w:rPr>
                <w:noProof/>
              </w:rPr>
              <w:br/>
            </w:r>
            <w:r>
              <w:rPr>
                <w:noProof/>
                <w:sz w:val="16"/>
              </w:rPr>
              <w:t>ta’ natura amministrattiva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barra mill-INTESTATURA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  <w:sectPr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L-approprjazzjonijiet meħtieġa għar-riżorsi umani u għal nefqa oħra ta’ natura amministrattiva se jiġu koperti mill-approprjazzjonijiet tad-DĠ li diġà jkunu assenjati għall-ġestjoni tal-azzjoni u/jew li diġà jkunu ġew riassenjati fid-DĠ, flimkien, jekk ikun meħtieġ, ma’ kwalunkwe allokazzjoni addizzjonali li tista’ tingħata lid-DĠ tal-ġestjoni skont il-proċedura annwali ta’ allokazzjoni u fid-dawl tal-limitazzjonijiet baġitarji.</w:t>
      </w:r>
      <w:r>
        <w:rPr>
          <w:noProof/>
          <w:sz w:val="18"/>
        </w:rPr>
        <w:tab/>
      </w:r>
    </w:p>
    <w:p>
      <w:pPr>
        <w:pStyle w:val="ManualHeading4"/>
        <w:rPr>
          <w:bCs/>
          <w:noProof/>
          <w:szCs w:val="24"/>
        </w:rPr>
      </w:pPr>
      <w:r>
        <w:rPr>
          <w:noProof/>
        </w:rPr>
        <w:t>3.2.3.2.</w:t>
      </w:r>
      <w:r>
        <w:rPr>
          <w:noProof/>
        </w:rPr>
        <w:tab/>
        <w:t>Rekwiżiti stmati ta’ riżorsi umani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Il-proposta/l-inizjattiva ma teħtieġx l-użu ta’ riżorsi umani.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l-użu ta’ riżorsi umani, kif spjegat hawn taħt: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L-istima trid tiġi espressa f’unitajiet ekwivalenti għall-full-time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952"/>
        <w:gridCol w:w="1954"/>
        <w:gridCol w:w="655"/>
        <w:gridCol w:w="655"/>
        <w:gridCol w:w="3894"/>
        <w:gridCol w:w="465"/>
        <w:gridCol w:w="237"/>
        <w:gridCol w:w="237"/>
        <w:gridCol w:w="236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Sena </w:t>
            </w:r>
            <w:r>
              <w:rPr>
                <w:b/>
                <w:bCs/>
                <w:noProof/>
                <w:sz w:val="16"/>
                <w:szCs w:val="16"/>
              </w:rPr>
              <w:t>N+2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Sena </w:t>
            </w:r>
            <w:r>
              <w:rPr>
                <w:b/>
                <w:bCs/>
                <w:noProof/>
                <w:sz w:val="16"/>
                <w:szCs w:val="16"/>
              </w:rPr>
              <w:t>N+3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is-snin kollha li hemm bżonn biex turi d-durata tal-impatt (ara l-punt 1.6)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4424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Pożizzjonijiet fil-pjan ta' stabbiliment (uffiċjali u aġenti temporanji)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(Kwartieri Ġenerali u Uffiċċji tar-Rappreżentanza tal-Kummissjoni)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(Delegazzjonijiet)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 01 05 01 (Riċerka indiretta)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(Riċerka 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4"/>
          <w:wAfter w:w="570" w:type="pct"/>
          <w:trHeight w:val="248"/>
          <w:jc w:val="center"/>
        </w:trPr>
        <w:tc>
          <w:tcPr>
            <w:tcW w:w="4430" w:type="pct"/>
            <w:gridSpan w:val="6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Persunal estern (f’unità Ekwivalenti għall-Full-Time: FTE)</w:t>
            </w:r>
            <w:r>
              <w:rPr>
                <w:rStyle w:val="FootnoteReference"/>
                <w:b/>
                <w:noProof/>
              </w:rPr>
              <w:footnoteReference w:id="19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END, INT mill-"pakkett globali")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END, INT u JED fid-delegazzjonijiet)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01 04 </w:t>
            </w:r>
            <w:r>
              <w:rPr>
                <w:b/>
                <w:noProof/>
                <w:sz w:val="16"/>
                <w:szCs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0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05 02 (AC, END, INT - Riċerka indiretta)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END, INT - Riċerka 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Linji baġitarji oħrajn (speċifika)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XX</w:t>
      </w:r>
      <w:r>
        <w:rPr>
          <w:noProof/>
          <w:sz w:val="18"/>
          <w:szCs w:val="18"/>
        </w:rPr>
        <w:t xml:space="preserve"> huwa l-qasam ta’ politika jew it-titolu baġitarju kkonċernat.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Ir-riżorsi umani meħtieġa se jiġu koperti mill-persunal tad-DĠ li diġà jkun assenjat għall-ġestjoni tal-azzjoni u/jew li diġà jkun ġie riassenjat fid-DĠ, flimkien, jekk ikun meħtieġ, ma’ kwalunkwe allokazzjoni addizzjonali li tista’ tingħata lid-DĠ tal-ġestjoni skont il-proċedura annwali ta’ allokazzjoni u fid-dawl tal-limitazzjonijiet baġitarji.</w:t>
      </w:r>
    </w:p>
    <w:p>
      <w:pPr>
        <w:rPr>
          <w:noProof/>
          <w:sz w:val="20"/>
        </w:rPr>
      </w:pPr>
      <w:r>
        <w:rPr>
          <w:noProof/>
          <w:sz w:val="20"/>
        </w:rPr>
        <w:t>Deskrizzjoni tal-kompiti li jridu jitwettqu: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u aġenti temporanji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estern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3.2.4.</w:t>
      </w:r>
      <w:r>
        <w:rPr>
          <w:noProof/>
        </w:rPr>
        <w:tab/>
        <w:t xml:space="preserve">Kompatibbiltà mal-qafas finanzjarju pluriennali attwali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Il-proposta/l-inizjattiva hija kompatibbli mal-qafas finanzjarju pluriennali attwali.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se tkun tinvolvi riprogrammazzjoni tal-intestatura rilevanti fil-qafas finanzjarju pluriennali.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liema riprogrammazzjoni hija meħtieġa, filwaqt li tispeċifika l-linji baġitarji kkonċernati u l-ammonti korrispondenti.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l-applikazzjoni tal-istrument ta’ flessibbiltà jew ir-reviżjoni tal-qafas finanzjarju pluriennali.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x’inhu meħtieġ, filwaqt li tispeċifika l-intestaturi u l-linji baġitarji kkonċernati u l-ammonti korrispondenti.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3.2.5.</w:t>
      </w:r>
      <w:r>
        <w:rPr>
          <w:noProof/>
        </w:rPr>
        <w:tab/>
        <w:t xml:space="preserve">Kontribuzzjonijiet ta’ partijiet terzi </w:t>
      </w:r>
    </w:p>
    <w:p>
      <w:pPr>
        <w:pStyle w:val="ListDash1"/>
        <w:rPr>
          <w:noProof/>
        </w:rPr>
      </w:pPr>
      <w:r>
        <w:rPr>
          <w:noProof/>
        </w:rPr>
        <w:t xml:space="preserve">Il-proposta/l-inizjattiva ma tipprevedix kofinanzjament minn partijiet terzi. </w:t>
      </w:r>
    </w:p>
    <w:p>
      <w:pPr>
        <w:pStyle w:val="ListDash1"/>
        <w:rPr>
          <w:noProof/>
        </w:rPr>
      </w:pPr>
      <w:r>
        <w:rPr>
          <w:noProof/>
        </w:rPr>
        <w:t>Il-proposta/l-inizjattiva tipprevedi l-kofinanzjament stmat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f’miljuni ta’ EUR (aġġustati ’l fuq għal tliet pożizzjonijiet deċimali)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Daħħal is-snin kollha li hemm bżonn biex turi d-durata tal-impatt (ara l-punt 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Speċifika l-korp ta’ kofinanzjament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TOTAL tal-approprjazzjonijiet kofinanzjati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pStyle w:val="ManualHeading2"/>
        <w:rPr>
          <w:bCs/>
          <w:noProof/>
          <w:szCs w:val="24"/>
        </w:rPr>
      </w:pPr>
      <w:r>
        <w:rPr>
          <w:noProof/>
        </w:rPr>
        <w:t>3.3.</w:t>
      </w:r>
      <w:r>
        <w:rPr>
          <w:noProof/>
        </w:rPr>
        <w:tab/>
        <w:t xml:space="preserve">Impatt stmat fuq id-dħul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Il-proposta/l-inizjattiva ma għandha l-ebda impatt finanzjarju fuq id-dħul.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għandha l-impatt finanzjarju li ġej: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ir-riżorsi proprji 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id-dħul mixxellanju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Miljuni ta’ EUR (aġġustati ’l fuq għal tliet pożizzjonijiet deċimali)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baġitarja tad-dħul: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Approprjazzjonijiet disponibbli għas-sena finanzjarja attwali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Impatt tal-proposta/tal-inizjattiva</w:t>
            </w:r>
            <w:r>
              <w:rPr>
                <w:rStyle w:val="FootnoteReference"/>
                <w:noProof/>
                <w:sz w:val="18"/>
              </w:rPr>
              <w:footnoteReference w:id="21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is-snin kollha li hemm bżonn biex turi d-durata tal-impatt (ara l-punt 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Artikolu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Għad-dħul "assenjat" mixxellanju, speċifika l-linja baġitarja tan-nefqa affettwata.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</w:rPr>
      </w:pPr>
      <w:r>
        <w:rPr>
          <w:noProof/>
          <w:sz w:val="20"/>
        </w:rPr>
        <w:t>Speċifika l-metodu biex jiġi kkalkolat l-impatt fuq id-dħul.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1303/2013 tal-Parlament Ewropew u tal-Kunsill tas-17 ta’ Diċembru 2013 li jistabbilixxi dispożizzjonijiet komuni dwar il-Fond Ewropew għall-Iżvilupp Reġjonali, il-Fond Soċjali Ewropew, il-Fond ta’ Koeżjoni, il-Fond Agrikolu Ewropew għall-Iżvilupp Rurali u l-Fond Marittimu u tas-Sajd Ewropew u li jistabbilixxi d-dispożizzjonijiet ġenerali dwar il-Fond Ewropew għall-Iżvilupp Reġjonali, il-Fond Soċjali Ewropew, il-Fond ta’ Koeżjoni u l-Fond Ewropew għall-Affarijiet Marittimi u s-Sajd u li jħassar ir-Regolament tal-Kunsill (KE) Nru 1083/2006 (ĠU L 347 20.12.2013, p. 320), kif emendat l-aħħar bir-Regolament (UE) 2019/711 tal-Parlament Ewropew u tal-Kunsill tas-17 ta’ April 2019 li jemenda r-Regolament (UE) Nru 1303/2013 fir-rigward tar-riżorsi għall-allokazzjoni speċifika għall-Inizjattiva favur l-Impjieg taż-Żgħażagħ (ĠU L 123, 10.5.2019, p. 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1303/2013 tal-Parlament Ewropew u tal-Kunsill tas-17 ta' Diċembru 2013 li jistabbilixxi dispożizzjonijiet komuni dwar il-Fond Ewropew għall-Iżvilupp Reġjonali, il-Fond Soċjali Ewropew, il-Fond ta' Koeżjoni, il-Fond Agrikolu Ewropew għall-Iżvilupp Rurali u l-Fond Ewropew għall-Affarijiet Marittimi u s-Sajd u li jistabbilixxi d-dispożizzjonijiet ġenerali dwar il-Fond Ewropew għall-Iżvilupp Reġjonali, il-Fond Soċjali Ewropew, il-Fond ta' Koeżjoni u l-Fond Ewropew għall-Affarijiet Marittimi u s-Sajd u li jħassar ir-Regolament tal-Kunsill (KE) Nru 1083/2006 (ĠU L 347 20.12.2013, p. 320).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ġestjoni bbażata fuq l-attività; ABB: ibbaġitjar ibbażat fuq l-attività.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Kif imsemmi fl-Artikolu 54(2)(a) jew (b) tar-Regolament Finanzjarju.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Dettalji tal-modi ta’ ġestjoni u referenzi għar-Regolament Finanzjarju jistgħu jinstabu fuq is-sit BudgWeb: </w:t>
      </w:r>
      <w:hyperlink r:id="rId1" w:history="1">
        <w:r>
          <w:rPr>
            <w:rStyle w:val="Hyperlink"/>
            <w:sz w:val="18"/>
          </w:rPr>
          <w:t>http://www.cc.cec/budg/man/budgmanag/budgmanag_en.html</w:t>
        </w:r>
      </w:hyperlink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Diff. = Approprjazzjonijiet differenzjati / Mhux diff. = Approprjazzjonijiet mhux differenzjati.</w:t>
      </w:r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L-EFTA: Assoċjazzjoni Ewropea tal-Kummerċ Ħieles. 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Pajjiżi kandidati u, meta jkun applikabbli, pajjiżi kandidati potenzjali mill-Balkani tal-Punent.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Dawn ir-riżorsi addizzjonali huma ffinanzjati mill-Marġini Globali għall-Impenji (GMC) fil-marġni tal-limitu massimu tal-QFP 2014-2020.</w:t>
      </w:r>
    </w:p>
  </w:footnote>
  <w:footnote w:id="1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Assistenza teknika u/jew amministrattiva u nefqa li jappoġġaw l-implimentazzjoni ta’ programmi u/jew ta’ azzjonijiet tal-UE (li qabel kienu l-linji "BA"), riċerka indiretta u riċerka diretta.</w:t>
      </w:r>
    </w:p>
  </w:footnote>
  <w:footnote w:id="1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Is-Sena N hija s-sena li fiha tibda l-implimentazzjoni tal-proposta/tal-inizjattiva.</w:t>
      </w:r>
    </w:p>
  </w:footnote>
  <w:footnote w:id="1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L-outputs huma l-prodotti u s-servizzi li jridu jiġu pprovduti (pereż.: l-għadd ta’ skambji ta’ studenti ffinanzjati, l-għadd ta’ km ta’ toroq mibnija, eċċ.).</w:t>
      </w:r>
    </w:p>
  </w:footnote>
  <w:footnote w:id="1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Kif deskritt fil-punt 1.4.2. “Għan(ijiet) speċifiku/speċifiċi…” 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Is-Sena N hija s-sena li fiha tibda l-implimentazzjoni tal-proposta/tal-inizjattiva.</w:t>
      </w:r>
    </w:p>
  </w:footnote>
  <w:footnote w:id="1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Assistenza teknika u/jew amministrattiva u nefqa li jappoġġaw l-implimentazzjoni ta’ programmi u/jew ta’ azzjonijiet tal-UE (li qabel kienu l-linji "BA"), riċerka indiretta u riċerka diretta.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AC = Persunal Kuntrattwali; AL = Persunal Lokali; ENS = Espert Nazzjonali Sekondat; INT = Persunal tal-aġenzija; JED = Esperti Subalterni fid-Delegazzjonijiet. </w:t>
      </w:r>
    </w:p>
  </w:footnote>
  <w:footnote w:id="2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Sottolimitu għall-persunal estern kopert minn approprjazzjonijiet operazzjonali (li qabel kienu l-linji "BA").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Fir-rigward tar-riżorsi proprji tradizzjonali (id-dazji doganali, l-imposti fuq iz-zokkor), l-ammonti indikati jridu jkunu ammonti netti, jiġifieri ammonti grossi wara t-tnaqqis ta’ 25 % tal-kostijiet tal-ġbir.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EB60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AA4FD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7828F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86F2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7FA20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5EE5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C00D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F6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8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8"/>
  </w:num>
  <w:num w:numId="11">
    <w:abstractNumId w:val="17"/>
  </w:num>
  <w:num w:numId="12">
    <w:abstractNumId w:val="13"/>
  </w:num>
  <w:num w:numId="13">
    <w:abstractNumId w:val="25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2"/>
  </w:num>
  <w:num w:numId="17">
    <w:abstractNumId w:val="14"/>
  </w:num>
  <w:num w:numId="18">
    <w:abstractNumId w:val="24"/>
  </w:num>
  <w:num w:numId="19">
    <w:abstractNumId w:val="12"/>
  </w:num>
  <w:num w:numId="20">
    <w:abstractNumId w:val="15"/>
  </w:num>
  <w:num w:numId="21">
    <w:abstractNumId w:val="10"/>
  </w:num>
  <w:num w:numId="22">
    <w:abstractNumId w:val="23"/>
  </w:num>
  <w:num w:numId="23">
    <w:abstractNumId w:val="9"/>
  </w:num>
  <w:num w:numId="24">
    <w:abstractNumId w:val="16"/>
  </w:num>
  <w:num w:numId="25">
    <w:abstractNumId w:val="20"/>
  </w:num>
  <w:num w:numId="26">
    <w:abstractNumId w:val="21"/>
  </w:num>
  <w:num w:numId="27">
    <w:abstractNumId w:val="11"/>
  </w:num>
  <w:num w:numId="28">
    <w:abstractNumId w:val="19"/>
  </w:num>
  <w:num w:numId="29">
    <w:abstractNumId w:val="25"/>
  </w:num>
  <w:num w:numId="30">
    <w:abstractNumId w:val="22"/>
  </w:num>
  <w:num w:numId="31">
    <w:abstractNumId w:val="14"/>
  </w:num>
  <w:num w:numId="32">
    <w:abstractNumId w:val="24"/>
  </w:num>
  <w:num w:numId="33">
    <w:abstractNumId w:val="12"/>
  </w:num>
  <w:num w:numId="34">
    <w:abstractNumId w:val="15"/>
  </w:num>
  <w:num w:numId="35">
    <w:abstractNumId w:val="10"/>
  </w:num>
  <w:num w:numId="36">
    <w:abstractNumId w:val="23"/>
  </w:num>
  <w:num w:numId="37">
    <w:abstractNumId w:val="9"/>
  </w:num>
  <w:num w:numId="38">
    <w:abstractNumId w:val="16"/>
  </w:num>
  <w:num w:numId="39">
    <w:abstractNumId w:val="20"/>
  </w:num>
  <w:num w:numId="40">
    <w:abstractNumId w:val="21"/>
  </w:num>
  <w:num w:numId="41">
    <w:abstractNumId w:val="11"/>
  </w:num>
  <w:num w:numId="42">
    <w:abstractNumId w:val="19"/>
  </w:num>
  <w:num w:numId="4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5-12 09:27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7B66C7B-CC79-4D67-B48F-CDFCD144EE2F"/>
    <w:docVar w:name="LW_COVERPAGE_TYPE" w:val="1"/>
    <w:docVar w:name="LW_CROSSREFERENCE" w:val="&lt;UNUSED&gt;"/>
    <w:docVar w:name="LW_DocType" w:val="COM"/>
    <w:docVar w:name="LW_EMISSION" w:val="25.5.2020"/>
    <w:docVar w:name="LW_EMISSION_ISODATE" w:val="2020-05-25"/>
    <w:docVar w:name="LW_EMISSION_LOCATION" w:val="BRX"/>
    <w:docVar w:name="LW_EMISSION_PREFIX" w:val="Brussell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86"/>
    <w:docVar w:name="LW_REF.II.NEW.CP_YEAR" w:val="2020"/>
    <w:docVar w:name="LW_REF.INST.NEW" w:val="COM"/>
    <w:docVar w:name="LW_REF.INST.NEW_ADOPTED" w:val="final"/>
    <w:docVar w:name="LW_REF.INST.NEW_TEXT" w:val="(2020) 20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 (UE) Nru 1303/2013 fir-rigward tar-ri\u380?orsi g\u295?all-allokazzjoni spe\u267?ifika g\u295?all-Inizjattiva favur l-Impjieg ta\u380?-\u379?g\u295?a\u380?ag\u295?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  <w:lang w:eastAsia="de-D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lang w:eastAsia="en-GB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lang w:eastAsia="en-GB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  <w:lang w:eastAsia="en-GB"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  <w:szCs w:val="20"/>
      <w:lang w:eastAsia="en-GB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  <w:lang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0" w:after="150"/>
      <w:jc w:val="left"/>
    </w:pPr>
    <w:rPr>
      <w:rFonts w:eastAsia="Times New Roman"/>
      <w:szCs w:val="24"/>
      <w:lang w:eastAsia="en-GB"/>
    </w:rPr>
  </w:style>
  <w:style w:type="paragraph" w:customStyle="1" w:styleId="hidden">
    <w:name w:val="hidden"/>
    <w:basedOn w:val="Normal"/>
    <w:pPr>
      <w:spacing w:before="0" w:after="150"/>
      <w:jc w:val="left"/>
    </w:pPr>
    <w:rPr>
      <w:rFonts w:eastAsia="Times New Roman"/>
      <w:vanish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  <w:lang w:eastAsia="de-D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lang w:eastAsia="en-GB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lang w:eastAsia="en-GB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  <w:lang w:eastAsia="en-GB"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  <w:szCs w:val="20"/>
      <w:lang w:eastAsia="en-GB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  <w:lang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0" w:after="150"/>
      <w:jc w:val="left"/>
    </w:pPr>
    <w:rPr>
      <w:rFonts w:eastAsia="Times New Roman"/>
      <w:szCs w:val="24"/>
      <w:lang w:eastAsia="en-GB"/>
    </w:rPr>
  </w:style>
  <w:style w:type="paragraph" w:customStyle="1" w:styleId="hidden">
    <w:name w:val="hidden"/>
    <w:basedOn w:val="Normal"/>
    <w:pPr>
      <w:spacing w:before="0" w:after="150"/>
      <w:jc w:val="left"/>
    </w:pPr>
    <w:rPr>
      <w:rFonts w:eastAsia="Times New Roman"/>
      <w:vanish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8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372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1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F835-9985-4278-8A4F-82735D9E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20</Pages>
  <Words>2711</Words>
  <Characters>20176</Characters>
  <Application>Microsoft Office Word</Application>
  <DocSecurity>0</DocSecurity>
  <Lines>1441</Lines>
  <Paragraphs>486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19</cp:revision>
  <cp:lastPrinted>2019-01-07T11:00:00Z</cp:lastPrinted>
  <dcterms:created xsi:type="dcterms:W3CDTF">2020-05-07T14:37:00Z</dcterms:created>
  <dcterms:modified xsi:type="dcterms:W3CDTF">2020-05-12T07:27:00Z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