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951201A-2F99-42E9-A4C1-28099467F9F6"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rFonts w:eastAsia="Arial Unicode MS"/>
          <w:noProof/>
        </w:rPr>
      </w:pPr>
      <w:r>
        <w:rPr>
          <w:noProof/>
        </w:rPr>
        <w:t>2010 m. rugsėjo 10 d. Taryba įgaliojo pradėti derybas</w:t>
      </w:r>
      <w:r>
        <w:rPr>
          <w:rStyle w:val="FootnoteReference"/>
          <w:rFonts w:eastAsia="Arial Unicode MS"/>
          <w:noProof/>
        </w:rPr>
        <w:footnoteReference w:id="1"/>
      </w:r>
      <w:r>
        <w:rPr>
          <w:noProof/>
        </w:rPr>
        <w:t xml:space="preserve"> dėl susitarimo su Kinija, kad būtų užtikrinta kuo aukštesnio lygio geografinių nuorodų, patenkančių į susitarimo taikymo sritį, apsauga ir numatytos kovos su apgaulinga praktika ir netinkamu geografinių nuorodų naudojimu priemonės. </w:t>
      </w:r>
    </w:p>
    <w:p>
      <w:pPr>
        <w:rPr>
          <w:rFonts w:eastAsia="Arial Unicode MS"/>
          <w:noProof/>
        </w:rPr>
      </w:pPr>
      <w:r>
        <w:rPr>
          <w:noProof/>
        </w:rPr>
        <w:t>Remdamasi šiais nurodymais, Komisija derėjosi su Kinijos Liaudies Respublika dėl plataus užmojo ir išsamaus susitarimo dėl bendradarbiavimo  geografinių nuorodų srityje ir geografinių nuorodų apsaugos.</w:t>
      </w:r>
    </w:p>
    <w:p>
      <w:pPr>
        <w:rPr>
          <w:noProof/>
        </w:rPr>
      </w:pPr>
      <w:r>
        <w:rPr>
          <w:noProof/>
        </w:rPr>
        <w:t>2019 m. lapkričio mėn. pabaigus šias derybas, Taryba priėmė Tarybos sprendimą dėl Europos Sąjungos ir Kinijos Liaudies Respublikos Vyriausybės susitarimo dėl bendradarbiavimo geografinių nuorodų srityje ir geografinių nuorodų apsaugos pasirašymo Europos Sąjungos vardu.</w:t>
      </w:r>
    </w:p>
    <w:p>
      <w:pPr>
        <w:rPr>
          <w:noProof/>
        </w:rPr>
      </w:pPr>
      <w:r>
        <w:rPr>
          <w:noProof/>
        </w:rPr>
        <w:t>Pasirašius susitarimą, Komisija teikia šį pasiūlymą dėl Tarybos sprendimo:</w:t>
      </w:r>
    </w:p>
    <w:p>
      <w:pPr>
        <w:rPr>
          <w:noProof/>
        </w:rPr>
      </w:pPr>
      <w:r>
        <w:rPr>
          <w:noProof/>
        </w:rPr>
        <w:t>pasiūlymą dėl Tarybos sprendimo dėl Europos Sąjungos ir Kinijos Liaudies Respublikos Vyriausybės susitarimo dėl bendradarbiavimo geografinių nuorodų srityje ir geografinių nuorodų apsaugos sudarymo.</w:t>
      </w:r>
    </w:p>
    <w:p>
      <w:pPr>
        <w:spacing w:after="240"/>
        <w:rPr>
          <w:noProof/>
        </w:rPr>
      </w:pPr>
      <w:r>
        <w:rPr>
          <w:noProof/>
        </w:rPr>
        <w:t>Pridedamas pasiūlymas dėl Tarybos sprendimo yra teisinė Europos Sąjungos ir Kinijos Liaudies Respublikos Vyriausybės susitarimo dėl bendradarbiavimo geografinių nuorodų srityje ir geografinių nuorodų apsaugos sudarymo priemonė.</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rPr>
      </w:pPr>
      <w:r>
        <w:rPr>
          <w:noProof/>
        </w:rPr>
        <w:t>Susitarimo sudarymas atitinka bendrą ES strategiją, kuria siekiama puoselėti ES geografinių nuorodų politiką. Iniciatyva siekiama užtikrinti aukštą į sąrašą įtrauktų ES geografinių nuorodų apsaugos Kinijos Liaudies Respublikoje ir Kinijos geografinių nuorodų apsaugos Europos Sąjungoje lygį, atitinkantį bent TRIPS+ 23 straipsnyje nustatytą lygį. Iniciatyva suteiks geografinėmis nuorodomis pažymėtų produktų gamintojams konkurencinį pranašumą.</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 xml:space="preserve">Dvišalio susitarimo dėl geografinių nuorodų su Kinijos Liaudies Respublika sudarymas atitinka ES išorės politiką, visų pirma Sąjungos tikslus, susijusius su ES geografinių nuorodų politikos puoselėjimo strategija.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spacing w:before="0" w:after="240"/>
        <w:rPr>
          <w:noProof/>
        </w:rPr>
      </w:pPr>
      <w:r>
        <w:rPr>
          <w:noProof/>
        </w:rPr>
        <w:t>ES ir Kinijos susitarimas dėl geografinių nuorodų turi būti Sąjungos sudarytas remiantis Tarybos sprendimu pagal SESV 207 straipsnio 3 dalį, 207 straipsnio 4 dalies pirmą pastraipą ir 218 straipsnio 6 dalį, gavus Europos Parlamento pritarimą.</w:t>
      </w:r>
    </w:p>
    <w:p>
      <w:pPr>
        <w:spacing w:before="0" w:after="240"/>
        <w:rPr>
          <w:noProof/>
        </w:rPr>
      </w:pPr>
      <w:r>
        <w:rPr>
          <w:noProof/>
        </w:rPr>
        <w:t xml:space="preserve">Be to, SESV 218 straipsnio 7 dalis buvo pridėta kaip teisinis pagrindas, nes Tarybai tikslinga įgalioti Komisiją patvirtinti Sąjungos poziciją dėl tam tikrų ES ir Kinijos susitarimo dėl </w:t>
      </w:r>
      <w:r>
        <w:rPr>
          <w:noProof/>
        </w:rPr>
        <w:lastRenderedPageBreak/>
        <w:t>geografinių nuorodų pakeitimų, kadangi tame susitarime nustatytos paspartintos ir (arba) supaprastintos tokių pakeitimų patvirtinimo procedūros.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rPr>
          <w:noProof/>
        </w:rPr>
      </w:pPr>
      <w:r>
        <w:rPr>
          <w:noProof/>
        </w:rPr>
        <w:t>Tarybai pateiktas Europos Sąjungos ir Kinijos Liaudies Respublikos Vyriausybės susitarimas neapima jokių klausimų, nepriklausančių išimtinei ES kompetencijai.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rPr>
          <w:noProof/>
        </w:rPr>
      </w:pPr>
      <w:r>
        <w:rPr>
          <w:noProof/>
        </w:rPr>
        <w:t xml:space="preserve">Šis pasiūlymas dera su strategijoje „Europa 2020“ nustatyta vizija ir juo prisidedama prie ES prekybos ir vystymosi tikslų. </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rPr>
          <w:noProof/>
        </w:rPr>
      </w:pPr>
      <w:r>
        <w:rPr>
          <w:noProof/>
        </w:rPr>
        <w:t xml:space="preserve">Šis pasiūlymas pagrįstas SESV 218 straipsniu, kuriame numatyta dėl tarptautinių susitarimų priimti Tarybos sprendimus. Kitų teisinių priemonių, kuriomis būtų galima pasiekti šio pasiūlymo tikslą, nenumatyta.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noProof/>
          <w:u w:color="000000"/>
          <w:bdr w:val="nil"/>
        </w:rPr>
        <w:t>ex post</w:t>
      </w:r>
      <w:r>
        <w:rPr>
          <w:noProof/>
          <w:u w:color="000000"/>
          <w:bdr w:val="nil"/>
        </w:rPr>
        <w:t xml:space="preserve"> vertinimas / tinkamumo patikrinimas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suinteresuotosiomis šalimis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Tiriamųjų duomenų rinkimas ir naudojimas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Poveikio vertinimas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Reglamentavimo tinkamumas ir supaprastinimas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4.</w:t>
      </w:r>
      <w:r>
        <w:rPr>
          <w:noProof/>
        </w:rPr>
        <w:tab/>
        <w:t>POVEIKIS BIUDŽETUI</w:t>
      </w:r>
    </w:p>
    <w:p>
      <w:pPr>
        <w:rPr>
          <w:noProof/>
        </w:rPr>
      </w:pPr>
      <w:r>
        <w:rPr>
          <w:noProof/>
        </w:rPr>
        <w:t>Sąjungos pagrindinių teisių apsaugai pasiūlymas poveikio neturi.</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u w:color="000000"/>
          <w:bdr w:val="nil"/>
        </w:rPr>
        <w:t>•</w:t>
      </w:r>
      <w:r>
        <w:rPr>
          <w:noProof/>
        </w:rPr>
        <w:tab/>
      </w:r>
      <w:r>
        <w:rPr>
          <w:noProof/>
          <w:u w:color="000000"/>
          <w:bdr w:val="nil"/>
        </w:rPr>
        <w:t>Įgyvendinimo planai ir stebėsena, vertinimas ir ataskaitų teikimo tvarka</w:t>
      </w:r>
    </w:p>
    <w:p>
      <w:pPr>
        <w:rPr>
          <w:rFonts w:eastAsia="Batang"/>
          <w:noProof/>
          <w:snapToGrid w:val="0"/>
          <w:szCs w:val="24"/>
        </w:rPr>
      </w:pPr>
      <w:r>
        <w:rPr>
          <w:noProof/>
        </w:rPr>
        <w:t xml:space="preserve">Europos Sąjungos ir Kinijos Liaudies Respublikos Vyriausybės susitarimas dėl bendradarbiavimo geografinių nuorodų srityje ir geografinių nuorodų apsaugos apima institucines nuostatas, kuriomis įsteigiamas </w:t>
      </w:r>
      <w:r>
        <w:rPr>
          <w:noProof/>
          <w:snapToGrid w:val="0"/>
          <w:szCs w:val="24"/>
        </w:rPr>
        <w:t xml:space="preserve">Jungtinis </w:t>
      </w:r>
      <w:r>
        <w:rPr>
          <w:i/>
          <w:noProof/>
          <w:snapToGrid w:val="0"/>
          <w:szCs w:val="24"/>
        </w:rPr>
        <w:t xml:space="preserve"> </w:t>
      </w:r>
      <w:r>
        <w:rPr>
          <w:noProof/>
          <w:snapToGrid w:val="0"/>
          <w:szCs w:val="24"/>
        </w:rPr>
        <w:t>komitetas, kurio paskirtis – stebėti, kaip įgyvendinamas</w:t>
      </w:r>
      <w:r>
        <w:rPr>
          <w:i/>
          <w:noProof/>
          <w:snapToGrid w:val="0"/>
          <w:szCs w:val="24"/>
        </w:rPr>
        <w:t xml:space="preserve"> </w:t>
      </w:r>
      <w:r>
        <w:rPr>
          <w:noProof/>
          <w:snapToGrid w:val="0"/>
          <w:szCs w:val="24"/>
        </w:rPr>
        <w:t>susitarimas, ir stiprinti bendradarbiavimą ir dialogą</w:t>
      </w:r>
      <w:r>
        <w:rPr>
          <w:i/>
          <w:noProof/>
          <w:snapToGrid w:val="0"/>
          <w:szCs w:val="24"/>
        </w:rPr>
        <w:t xml:space="preserve"> </w:t>
      </w:r>
      <w:r>
        <w:rPr>
          <w:noProof/>
          <w:snapToGrid w:val="0"/>
          <w:szCs w:val="24"/>
        </w:rPr>
        <w:t>geografinių nuorodų klausimais.</w:t>
      </w:r>
    </w:p>
    <w:p>
      <w:pPr>
        <w:pStyle w:val="ManualHeading2"/>
        <w:rPr>
          <w:rFonts w:eastAsia="Arial Unicode MS"/>
          <w:noProof/>
          <w:u w:color="000000"/>
          <w:bdr w:val="nil"/>
        </w:rPr>
      </w:pPr>
      <w:r>
        <w:rPr>
          <w:noProof/>
        </w:rPr>
        <w:lastRenderedPageBreak/>
        <w:t xml:space="preserve">Jungtinis komitetas taip pat </w:t>
      </w:r>
      <w:r>
        <w:rPr>
          <w:noProof/>
          <w:snapToGrid w:val="0"/>
          <w:szCs w:val="24"/>
        </w:rPr>
        <w:t>rūpinasi</w:t>
      </w:r>
      <w:r>
        <w:rPr>
          <w:i/>
          <w:noProof/>
          <w:snapToGrid w:val="0"/>
          <w:szCs w:val="24"/>
        </w:rPr>
        <w:t xml:space="preserve"> </w:t>
      </w:r>
      <w:r>
        <w:rPr>
          <w:noProof/>
          <w:snapToGrid w:val="0"/>
          <w:szCs w:val="24"/>
        </w:rPr>
        <w:t>kad</w:t>
      </w:r>
      <w:r>
        <w:rPr>
          <w:i/>
          <w:noProof/>
          <w:snapToGrid w:val="0"/>
          <w:szCs w:val="24"/>
        </w:rPr>
        <w:t xml:space="preserve"> </w:t>
      </w:r>
      <w:r>
        <w:rPr>
          <w:noProof/>
          <w:snapToGrid w:val="0"/>
          <w:szCs w:val="24"/>
        </w:rPr>
        <w:t>susitarimas</w:t>
      </w:r>
      <w:r>
        <w:rPr>
          <w:i/>
          <w:noProof/>
          <w:snapToGrid w:val="0"/>
          <w:szCs w:val="24"/>
        </w:rPr>
        <w:t xml:space="preserve"> </w:t>
      </w:r>
      <w:r>
        <w:rPr>
          <w:noProof/>
          <w:snapToGrid w:val="0"/>
          <w:szCs w:val="24"/>
        </w:rPr>
        <w:t>tinkamai</w:t>
      </w:r>
      <w:r>
        <w:rPr>
          <w:i/>
          <w:noProof/>
          <w:snapToGrid w:val="0"/>
          <w:szCs w:val="24"/>
        </w:rPr>
        <w:t xml:space="preserve"> </w:t>
      </w:r>
      <w:r>
        <w:rPr>
          <w:noProof/>
          <w:snapToGrid w:val="0"/>
          <w:szCs w:val="24"/>
        </w:rPr>
        <w:t xml:space="preserve">veiktų, ir gali svarstyti visus klausimus, </w:t>
      </w:r>
      <w:r>
        <w:rPr>
          <w:i/>
          <w:noProof/>
          <w:snapToGrid w:val="0"/>
          <w:szCs w:val="24"/>
        </w:rPr>
        <w:t xml:space="preserve"> </w:t>
      </w:r>
      <w:r>
        <w:rPr>
          <w:noProof/>
          <w:snapToGrid w:val="0"/>
          <w:szCs w:val="24"/>
        </w:rPr>
        <w:t>susijusius</w:t>
      </w:r>
      <w:r>
        <w:rPr>
          <w:i/>
          <w:noProof/>
          <w:snapToGrid w:val="0"/>
          <w:szCs w:val="24"/>
        </w:rPr>
        <w:t xml:space="preserve"> </w:t>
      </w:r>
      <w:r>
        <w:rPr>
          <w:noProof/>
          <w:snapToGrid w:val="0"/>
          <w:szCs w:val="24"/>
        </w:rPr>
        <w:t xml:space="preserve">su </w:t>
      </w:r>
      <w:r>
        <w:rPr>
          <w:i/>
          <w:noProof/>
          <w:snapToGrid w:val="0"/>
          <w:szCs w:val="24"/>
        </w:rPr>
        <w:t xml:space="preserve"> </w:t>
      </w:r>
      <w:r>
        <w:rPr>
          <w:noProof/>
          <w:snapToGrid w:val="0"/>
          <w:szCs w:val="24"/>
        </w:rPr>
        <w:t>jo įgyvendinimu ir veikimu.</w:t>
      </w:r>
      <w:r>
        <w:rPr>
          <w:noProof/>
          <w:u w:color="000000"/>
          <w:bdr w:val="nil"/>
        </w:rPr>
        <w:t>•</w:t>
      </w:r>
      <w:r>
        <w:rPr>
          <w:noProof/>
        </w:rPr>
        <w:tab/>
      </w:r>
      <w:r>
        <w:rPr>
          <w:noProof/>
          <w:u w:color="000000"/>
          <w:bdr w:val="nil"/>
        </w:rPr>
        <w:t>Aiškinamieji dokumentai (direktyvoms)</w:t>
      </w:r>
    </w:p>
    <w:p>
      <w:pPr>
        <w:pBdr>
          <w:top w:val="nil"/>
          <w:left w:val="nil"/>
          <w:bottom w:val="nil"/>
          <w:right w:val="nil"/>
          <w:between w:val="nil"/>
          <w:bar w:val="nil"/>
        </w:pBdr>
        <w:spacing w:before="0" w:after="240"/>
        <w:rPr>
          <w:rFonts w:eastAsia="Arial Unicode MS"/>
          <w:noProof/>
        </w:rPr>
      </w:pPr>
      <w:r>
        <w:rPr>
          <w:noProof/>
        </w:rPr>
        <w:t>Netaikoma.</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rPr>
          <w:noProof/>
        </w:rPr>
      </w:pPr>
      <w:r>
        <w:rPr>
          <w:noProof/>
        </w:rPr>
        <w:t xml:space="preserve">ES ir Kinijos susitarime dėl geografinių nuorodų nustatytos siūlomų geografinių nuorodų aukšto lygio apsaugos Kinijos rinkoje sąlygos. </w:t>
      </w:r>
    </w:p>
    <w:p>
      <w:pPr>
        <w:rPr>
          <w:noProof/>
        </w:rPr>
      </w:pPr>
      <w:r>
        <w:rPr>
          <w:noProof/>
        </w:rPr>
        <w:t>Atsižvelgdama į derybiniuose nurodymuose nustatytus tikslus, Komisija užtikrino:</w:t>
      </w:r>
    </w:p>
    <w:p>
      <w:pPr>
        <w:rPr>
          <w:b/>
          <w:bCs/>
          <w:noProof/>
        </w:rPr>
      </w:pPr>
      <w:r>
        <w:rPr>
          <w:noProof/>
        </w:rPr>
        <w:t>„TRIPS plius“ lygio ES geografinių nuorodų apsaugą įsigaliojus susitarimui, kuriuo užtikrinama apsauga nuo vertimo, transkripcijos ar transliteracijos ir nuo minėtų geografinių nuorodų naudojimo kartu su žodžiais „rūšis“, „tipas“, „stilius“, „imitacija“ ar kitais panašiais žodžiais kilmės statuso neturintiems produktams žymėti;</w:t>
      </w:r>
    </w:p>
    <w:p>
      <w:pPr>
        <w:rPr>
          <w:noProof/>
        </w:rPr>
      </w:pPr>
    </w:p>
    <w:p>
      <w:pPr>
        <w:pStyle w:val="ListParagraph"/>
        <w:rPr>
          <w:noProof/>
        </w:rPr>
      </w:pPr>
    </w:p>
    <w:p>
      <w:pPr>
        <w:rPr>
          <w:noProof/>
        </w:rPr>
      </w:pPr>
      <w:r>
        <w:rPr>
          <w:noProof/>
        </w:rPr>
        <w:t>175 papildomų geografinių nuorodų apsaugą ketverių metų laikotarpiu nuo susitarimo įsigaliojimo ir pasiūlė papildomų geografinių nuorodų įtraukimo vėlesniu laikotarpiu mechanizmą;</w:t>
      </w:r>
    </w:p>
    <w:p>
      <w:pPr>
        <w:pStyle w:val="ListParagraph"/>
        <w:rPr>
          <w:noProof/>
        </w:rPr>
      </w:pPr>
    </w:p>
    <w:p>
      <w:pPr>
        <w:rPr>
          <w:noProof/>
        </w:rPr>
      </w:pPr>
      <w:r>
        <w:rPr>
          <w:noProof/>
        </w:rPr>
        <w:t>geografinės nuorodos bus naudojamos kartu su teisėtais anksčiau įregistruotais prekių ženklais, kurių didžioji dalis priklauso teisėtiems jų savininkams Europoje.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2020/0089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Sąjungos ir Kinijos Liaudies Respublikos Vyriausybės susitarimo dėl bendradarbiavimo geografinių nuorodų srityje ir  geografinių nuorodų  apsaugos sudarymo</w:t>
      </w:r>
    </w:p>
    <w:p>
      <w:pPr>
        <w:rPr>
          <w:noProof/>
        </w:rPr>
      </w:pPr>
    </w:p>
    <w:p>
      <w:pPr>
        <w:rPr>
          <w:noProof/>
        </w:rPr>
      </w:pPr>
      <w:r>
        <w:rPr>
          <w:noProof/>
        </w:rPr>
        <w:t>EUROPOS SĄJUNGOS TARYBA,</w:t>
      </w:r>
    </w:p>
    <w:p>
      <w:pPr>
        <w:rPr>
          <w:noProof/>
        </w:rPr>
      </w:pPr>
      <w:r>
        <w:rPr>
          <w:noProof/>
        </w:rPr>
        <w:t>atsižvelgdama į Sutartį dėl Europos Sąjungos veikimo, ypač į jos 207 straipsnio 3 dalį ir 207 straipsnio 4 dalies pirmą pastraipą kartu su 218 straipsnio 6 dalies a punkto v papunkčiu ir 218 straipsnio 7 dalimi,</w:t>
      </w:r>
    </w:p>
    <w:p>
      <w:pPr>
        <w:rPr>
          <w:noProof/>
        </w:rPr>
      </w:pPr>
      <w:r>
        <w:rPr>
          <w:noProof/>
        </w:rPr>
        <w:t>atsižvelgdama į Europos Komisijos pasiūlymą,</w:t>
      </w:r>
    </w:p>
    <w:p>
      <w:pPr>
        <w:rPr>
          <w:noProof/>
        </w:rPr>
      </w:pPr>
      <w:r>
        <w:rPr>
          <w:noProof/>
        </w:rPr>
        <w:t>atsižvelgdama į Europos Parlamento pritarimą,</w:t>
      </w:r>
    </w:p>
    <w:p>
      <w:pPr>
        <w:rPr>
          <w:noProof/>
        </w:rPr>
      </w:pPr>
      <w:r>
        <w:rPr>
          <w:noProof/>
        </w:rPr>
        <w:t>kadangi:</w:t>
      </w:r>
    </w:p>
    <w:p>
      <w:pPr>
        <w:pStyle w:val="Point0"/>
        <w:rPr>
          <w:noProof/>
        </w:rPr>
      </w:pPr>
      <w:r>
        <w:rPr>
          <w:noProof/>
        </w:rPr>
        <w:t>(1)</w:t>
      </w:r>
      <w:r>
        <w:rPr>
          <w:noProof/>
        </w:rPr>
        <w:tab/>
        <w:t>remiantis Tarybos sprendimu (ES) 2020/...</w:t>
      </w:r>
      <w:r>
        <w:rPr>
          <w:rStyle w:val="FootnoteReference"/>
          <w:noProof/>
        </w:rPr>
        <w:footnoteReference w:id="2"/>
      </w:r>
      <w:r>
        <w:rPr>
          <w:noProof/>
        </w:rPr>
        <w:t>, Europos Sąjungos ir Kinijos Liaudies Respublikos Vyriausybės susitarimas dėl bendradarbiavimo geografinių nuorodų srityje ir geografinių nuorodų apsaugos (toliau – Susitarimas) pasirašytas MMMM MM DD su sąlyga, kad jis bus sudarytas vėliau;</w:t>
      </w:r>
    </w:p>
    <w:p>
      <w:pPr>
        <w:pStyle w:val="Point0"/>
        <w:rPr>
          <w:noProof/>
        </w:rPr>
      </w:pPr>
      <w:r>
        <w:rPr>
          <w:noProof/>
        </w:rPr>
        <w:t>(2)</w:t>
      </w:r>
      <w:r>
        <w:rPr>
          <w:noProof/>
        </w:rPr>
        <w:tab/>
        <w:t>siūlomu Susitarimu siekiama užtikrinti kuo aukštesnį geografinių nuorodų apsaugos lygį ir numatyti kovos su apgaulinga praktika ir netinkamu geografinių nuorodų naudojimu priemones;</w:t>
      </w:r>
      <w:r>
        <w:rPr>
          <w:i/>
          <w:noProof/>
        </w:rPr>
        <w:t xml:space="preserve"> </w:t>
      </w:r>
    </w:p>
    <w:p>
      <w:pPr>
        <w:pStyle w:val="Point0"/>
        <w:rPr>
          <w:noProof/>
        </w:rPr>
      </w:pPr>
      <w:r>
        <w:rPr>
          <w:noProof/>
        </w:rPr>
        <w:t>(3)</w:t>
      </w:r>
      <w:r>
        <w:rPr>
          <w:noProof/>
        </w:rPr>
        <w:tab/>
        <w:t>pagal Susitarimo 10 straipsnį įsteigiamas Jungtinis komitetas, atsakingas už Susitarimo priedų dalinį keitimą;</w:t>
      </w:r>
    </w:p>
    <w:p>
      <w:pPr>
        <w:pStyle w:val="Point0"/>
        <w:rPr>
          <w:noProof/>
        </w:rPr>
      </w:pPr>
      <w:r>
        <w:rPr>
          <w:noProof/>
        </w:rPr>
        <w:t>(4)</w:t>
      </w:r>
      <w:r>
        <w:rPr>
          <w:noProof/>
        </w:rPr>
        <w:tab/>
        <w:t>Tarybai tikslinga įgalioti Komisiją pagal Sutarties 218 straipsnio 7 dalį Sąjungos vardu patvirtinti poziciją, kurią Jungtinis komitetas turi priimti dėl siūlomų Susitarimo I ir III–VI priedų pakeitimų;</w:t>
      </w:r>
    </w:p>
    <w:p>
      <w:pPr>
        <w:pStyle w:val="Point0"/>
        <w:rPr>
          <w:noProof/>
        </w:rPr>
      </w:pPr>
      <w:r>
        <w:rPr>
          <w:noProof/>
        </w:rPr>
        <w:t>(5)</w:t>
      </w:r>
      <w:r>
        <w:rPr>
          <w:noProof/>
        </w:rPr>
        <w:tab/>
        <w:t>Susitarimas turėtų būti patvirtintas Europos Sąjungos vardu,</w:t>
      </w:r>
    </w:p>
    <w:p>
      <w:pPr>
        <w:rPr>
          <w:noProof/>
        </w:rPr>
      </w:pPr>
    </w:p>
    <w:p>
      <w:pPr>
        <w:rPr>
          <w:noProof/>
        </w:rPr>
      </w:pPr>
      <w:r>
        <w:rPr>
          <w:noProof/>
        </w:rPr>
        <w:t xml:space="preserve">PRIĖMĖ ŠĮ SPRENDIMĄ: </w:t>
      </w:r>
    </w:p>
    <w:p>
      <w:pPr>
        <w:pStyle w:val="Titrearticle"/>
        <w:rPr>
          <w:noProof/>
        </w:rPr>
      </w:pPr>
      <w:r>
        <w:rPr>
          <w:noProof/>
        </w:rPr>
        <w:t>1 straipsnis</w:t>
      </w:r>
    </w:p>
    <w:p>
      <w:pPr>
        <w:rPr>
          <w:noProof/>
        </w:rPr>
      </w:pPr>
      <w:r>
        <w:rPr>
          <w:noProof/>
        </w:rPr>
        <w:t>Sąjungos vardu patvirtinamas Europos Sąjungos ir Kinijos Liaudies Respublikos Vyriausybės susitarimas dėl bendradarbiavimo geografinių nuorodų srityje ir geografinių nuorodų apsaugos.</w:t>
      </w:r>
    </w:p>
    <w:p>
      <w:pPr>
        <w:rPr>
          <w:noProof/>
        </w:rPr>
      </w:pPr>
      <w:r>
        <w:rPr>
          <w:noProof/>
          <w:color w:val="000000"/>
          <w:szCs w:val="24"/>
        </w:rPr>
        <w:t>Susitarimo tekstas pridedamas prie šio sprendimo</w:t>
      </w:r>
      <w:r>
        <w:rPr>
          <w:noProof/>
          <w:color w:val="0000FF"/>
          <w:szCs w:val="24"/>
        </w:rPr>
        <w:t>.</w:t>
      </w:r>
    </w:p>
    <w:p>
      <w:pPr>
        <w:pStyle w:val="Titrearticle"/>
        <w:keepNext w:val="0"/>
        <w:rPr>
          <w:noProof/>
        </w:rPr>
      </w:pPr>
      <w:r>
        <w:rPr>
          <w:noProof/>
        </w:rPr>
        <w:lastRenderedPageBreak/>
        <w:t>2 straipsnis</w:t>
      </w:r>
    </w:p>
    <w:p>
      <w:pPr>
        <w:pStyle w:val="ManualNumPar1"/>
        <w:rPr>
          <w:noProof/>
        </w:rPr>
      </w:pPr>
      <w:r>
        <w:rPr>
          <w:noProof/>
        </w:rPr>
        <w:t>1.</w:t>
      </w:r>
      <w:r>
        <w:rPr>
          <w:noProof/>
        </w:rPr>
        <w:tab/>
        <w:t>Taikant Susitarimo 3 straipsnį, Sąjungos poziciją dėl siūlomų III ir IV priedų pakeitimų ir dėl atitinkamų Susitarimo V ir VI priedų nuostatų išbraukimo Sąjungos vardu tvirtina Komisija. Jei, esant prieštaravimų dėl geografinės nuorodos, suinteresuotosios šalys negali pasiekti susitarimo, Komisija priima poziciją, laikydamasi Europos Parlamento ir Tarybos reglamento (ES) Nr. 1151/2012</w:t>
      </w:r>
      <w:r>
        <w:rPr>
          <w:rStyle w:val="FootnoteReference"/>
          <w:noProof/>
        </w:rPr>
        <w:footnoteReference w:id="3"/>
      </w:r>
      <w:r>
        <w:rPr>
          <w:noProof/>
        </w:rPr>
        <w:t xml:space="preserve"> 57 straipsnio 2 dalyje nustatytos procedūros.</w:t>
      </w:r>
    </w:p>
    <w:p>
      <w:pPr>
        <w:pStyle w:val="ManualNumPar1"/>
        <w:rPr>
          <w:noProof/>
        </w:rPr>
      </w:pPr>
      <w:r>
        <w:rPr>
          <w:noProof/>
        </w:rPr>
        <w:t>2.</w:t>
      </w:r>
      <w:r>
        <w:rPr>
          <w:noProof/>
        </w:rPr>
        <w:tab/>
        <w:t xml:space="preserve">Siekiant iš dalies pakeisti nuorodas į Šalims taikytiną teisę, Sąjungos poziciją dėl siūlomų Susitarimo I priedo pakeitimų Sąjungos vardu tvirtina Komisija. </w:t>
      </w:r>
    </w:p>
    <w:p>
      <w:pPr>
        <w:rPr>
          <w:noProof/>
        </w:rPr>
      </w:pPr>
    </w:p>
    <w:p>
      <w:pPr>
        <w:pStyle w:val="Titrearticle"/>
        <w:keepNext w:val="0"/>
        <w:rPr>
          <w:noProof/>
        </w:rPr>
      </w:pPr>
      <w:r>
        <w:rPr>
          <w:noProof/>
        </w:rPr>
        <w:t>3 straipsnis</w:t>
      </w:r>
    </w:p>
    <w:p>
      <w:pPr>
        <w:keepLines/>
        <w:rPr>
          <w:noProof/>
        </w:rPr>
      </w:pPr>
      <w:r>
        <w:rPr>
          <w:noProof/>
        </w:rPr>
        <w:t>Tarybos pirmininkas paskiria asmenį (-is), įgaliotą (-us) Europos Sąjungos vardu paskelbti Susitarimo 14 straipsnio 1 dalyje nurodytą pranešimą ir taip išreikšti Sąjungos sutikimą laikytis Susitarimo.</w:t>
      </w:r>
    </w:p>
    <w:p>
      <w:pPr>
        <w:pStyle w:val="Titrearticle"/>
        <w:keepNext w:val="0"/>
        <w:rPr>
          <w:noProof/>
        </w:rPr>
      </w:pPr>
      <w:r>
        <w:rPr>
          <w:noProof/>
        </w:rPr>
        <w:t>4 straipsnis</w:t>
      </w:r>
    </w:p>
    <w:p>
      <w:pPr>
        <w:keepLines/>
        <w:rPr>
          <w:noProof/>
        </w:rPr>
      </w:pPr>
      <w:r>
        <w:rPr>
          <w:noProof/>
        </w:rPr>
        <w:t>Šis sprendimas įsigalioja jo priėmimo dieną</w:t>
      </w:r>
      <w:r>
        <w:rPr>
          <w:rStyle w:val="FootnoteReference"/>
          <w:noProof/>
        </w:rPr>
        <w:footnoteReference w:id="4"/>
      </w:r>
      <w:r>
        <w:rPr>
          <w:noProof/>
        </w:rPr>
        <w:t>.</w:t>
      </w:r>
    </w:p>
    <w:p>
      <w:pPr>
        <w:rPr>
          <w:noProof/>
        </w:rPr>
      </w:pPr>
      <w:r>
        <w:rPr>
          <w:noProof/>
        </w:rPr>
        <w:t>Priimta Briuselyje</w:t>
      </w:r>
    </w:p>
    <w:p>
      <w:pPr>
        <w:keepLines/>
        <w:rPr>
          <w:noProof/>
        </w:rPr>
      </w:pPr>
      <w:r>
        <w:rPr>
          <w:noProof/>
        </w:rPr>
        <w:tab/>
      </w:r>
    </w:p>
    <w:p>
      <w:pPr>
        <w:rPr>
          <w:i/>
          <w:noProof/>
        </w:rPr>
      </w:pPr>
      <w:r>
        <w:rPr>
          <w:noProof/>
        </w:rPr>
        <w:t xml:space="preserve"> </w:t>
      </w:r>
      <w:r>
        <w:rPr>
          <w:noProof/>
        </w:rPr>
        <w:tab/>
      </w:r>
      <w:r>
        <w:rPr>
          <w:noProof/>
        </w:rPr>
        <w:tab/>
      </w:r>
      <w:r>
        <w:rPr>
          <w:i/>
          <w:noProof/>
        </w:rPr>
        <w:t>Tarybos vardu</w:t>
      </w:r>
    </w:p>
    <w:p>
      <w:pPr>
        <w:keepNext/>
        <w:rPr>
          <w:i/>
          <w:noProof/>
        </w:rPr>
      </w:pPr>
      <w:r>
        <w:rPr>
          <w:noProof/>
        </w:rPr>
        <w:tab/>
      </w:r>
      <w:r>
        <w:rPr>
          <w:noProof/>
        </w:rPr>
        <w:tab/>
      </w:r>
      <w:r>
        <w:rPr>
          <w:noProof/>
        </w:rPr>
        <w:tab/>
      </w:r>
      <w:r>
        <w:rPr>
          <w:noProof/>
        </w:rPr>
        <w:tab/>
      </w:r>
      <w:r>
        <w:rPr>
          <w:noProof/>
        </w:rPr>
        <w:tab/>
      </w:r>
      <w:r>
        <w:rPr>
          <w:noProof/>
        </w:rPr>
        <w:tab/>
      </w:r>
      <w:r>
        <w:rPr>
          <w:noProof/>
        </w:rPr>
        <w:tab/>
      </w:r>
      <w:r>
        <w:rPr>
          <w:i/>
          <w:noProof/>
        </w:rPr>
        <w:t>Pirmininkas</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Dokumentas 13325/10, </w:t>
      </w:r>
      <w:hyperlink r:id="rId1" w:history="1">
        <w:r>
          <w:rPr>
            <w:rStyle w:val="Hyperlink"/>
          </w:rPr>
          <w:t>https://data.consilium.europa.eu/doc/document/ST-13325-2010-INIT/lt/pdf</w:t>
        </w:r>
      </w:hyperlink>
      <w:r>
        <w:t xml:space="preserve">. </w:t>
      </w:r>
    </w:p>
  </w:footnote>
  <w:footnote w:id="2">
    <w:p>
      <w:pPr>
        <w:pStyle w:val="FootnoteText"/>
        <w:rPr>
          <w:rStyle w:val="FootnoteReference"/>
        </w:rPr>
      </w:pPr>
      <w:r>
        <w:rPr>
          <w:rStyle w:val="FootnoteReference"/>
        </w:rPr>
        <w:footnoteRef/>
      </w:r>
      <w:r>
        <w:tab/>
        <w:t>... Tarybos sprendimas (ES) 2020/… dėl Europos Sąjungos ir Kinijos Liaudies Respublikos Vyriausybės susitarimo dėl bendradarbiavimo geografinių nuorodų srityje ir geografinių nuorodų apsaugos pasirašymo Europos Sąjungos vardu (OL L …).</w:t>
      </w:r>
    </w:p>
  </w:footnote>
  <w:footnote w:id="3">
    <w:p>
      <w:pPr>
        <w:pStyle w:val="FootnoteText"/>
      </w:pPr>
      <w:r>
        <w:rPr>
          <w:rStyle w:val="FootnoteReference"/>
        </w:rPr>
        <w:footnoteRef/>
      </w:r>
      <w:r>
        <w:tab/>
        <w:t>2012 m. lapkričio 21 d. Europos Parlamento ir Tarybos reglamentas (ES) Nr. 1151/2012 dėl žemės ūkio ir maisto produktų kokybės sistemų (OL L 343, 2012 12 14, p. 1).</w:t>
      </w:r>
    </w:p>
  </w:footnote>
  <w:footnote w:id="4">
    <w:p>
      <w:pPr>
        <w:pStyle w:val="FootnoteText"/>
      </w:pPr>
      <w:r>
        <w:rPr>
          <w:rStyle w:val="FootnoteReference"/>
        </w:rPr>
        <w:footnoteRef/>
      </w:r>
      <w:r>
        <w:tab/>
        <w:t xml:space="preserve">Susitarimo įsigaliojimo datą </w:t>
      </w:r>
      <w:r>
        <w:rPr>
          <w:i/>
        </w:rPr>
        <w:t>Europos Sąjungos oficialiajame leidinyje</w:t>
      </w:r>
      <w:r>
        <w:t xml:space="preserve"> paskelbs Tarybos generalinis sekretoriatas.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7C860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0A3A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0E8F3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D9E9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0EC3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BA6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BAA63B4"/>
    <w:lvl w:ilvl="0">
      <w:start w:val="1"/>
      <w:numFmt w:val="decimal"/>
      <w:pStyle w:val="ListNumber"/>
      <w:lvlText w:val="%1."/>
      <w:lvlJc w:val="left"/>
      <w:pPr>
        <w:tabs>
          <w:tab w:val="num" w:pos="360"/>
        </w:tabs>
        <w:ind w:left="360" w:hanging="360"/>
      </w:pPr>
    </w:lvl>
  </w:abstractNum>
  <w:abstractNum w:abstractNumId="7">
    <w:nsid w:val="FFFFFF89"/>
    <w:multiLevelType w:val="singleLevel"/>
    <w:tmpl w:val="B8F050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9 18:35: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A951201A-2F99-42E9-A4C1-28099467F9F6"/>
    <w:docVar w:name="LW_COVERPAGE_TYPE" w:val="1"/>
    <w:docVar w:name="LW_CROSSREFERENCE" w:val="&lt;UNUSED&gt;"/>
    <w:docVar w:name="LW_DocType" w:val="COM"/>
    <w:docVar w:name="LW_EMISSION" w:val="2020 05 27"/>
    <w:docVar w:name="LW_EMISSION_ISODATE" w:val="2020-05-27"/>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89"/>
    <w:docVar w:name="LW_REF.II.NEW.CP_YEAR" w:val="2020"/>
    <w:docVar w:name="LW_REF.INST.NEW" w:val="COM"/>
    <w:docVar w:name="LW_REF.INST.NEW_ADOPTED" w:val="final"/>
    <w:docVar w:name="LW_REF.INST.NEW_TEXT" w:val="(2020) 2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Europos S\u261?jungos ir Kinijos Liaudies Respublikos Vyriausyb\u279?s susitarimo d\u279?l bendradarbiavimo geografini\u371? nuorod\u371? srityje ir  geografini\u371? nuorod\u371?  apsaugos sudar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1">
    <w:name w:val="1"/>
    <w:basedOn w:val="Normal"/>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1">
    <w:name w:val="1"/>
    <w:basedOn w:val="Normal"/>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13325-2010-INI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00D323-8FF5-4164-9C68-92ADFD9A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990</Words>
  <Characters>7144</Characters>
  <Application>Microsoft Office Word</Application>
  <DocSecurity>0</DocSecurity>
  <Lines>152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2020-05-19T09:17:00Z</dcterms:created>
  <dcterms:modified xsi:type="dcterms:W3CDTF">2020-05-19T16:35:00Z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