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C45EF9AD-0465-42C8-9FB9-1AD587AE10EE" style="width:450.4pt;height:306.4pt">
            <v:imagedata r:id="rId12" o:title=""/>
          </v:shape>
        </w:pict>
      </w:r>
    </w:p>
    <w:bookmarkEnd w:id="0"/>
    <w:p>
      <w:pPr>
        <w:rPr>
          <w:noProof/>
          <w:lang w:val="en-IE"/>
        </w:rPr>
        <w:sectPr>
          <w:headerReference w:type="even" r:id="rId13"/>
          <w:headerReference w:type="default" r:id="rId14"/>
          <w:footerReference w:type="even" r:id="rId15"/>
          <w:footerReference w:type="default" r:id="rId16"/>
          <w:headerReference w:type="first" r:id="rId17"/>
          <w:footerReference w:type="first" r:id="rId18"/>
          <w:pgSz w:w="11906" w:h="16838"/>
          <w:pgMar w:top="1134" w:right="1417" w:bottom="1134" w:left="1417" w:header="709" w:footer="709" w:gutter="0"/>
          <w:pgNumType w:start="0"/>
          <w:cols w:space="720"/>
          <w:docGrid w:linePitch="326"/>
        </w:sectPr>
      </w:pPr>
    </w:p>
    <w:p>
      <w:pPr>
        <w:jc w:val="center"/>
        <w:rPr>
          <w:b/>
          <w:noProof/>
          <w:sz w:val="28"/>
          <w:szCs w:val="28"/>
        </w:rPr>
      </w:pPr>
      <w:bookmarkStart w:id="1" w:name="_GoBack"/>
      <w:bookmarkEnd w:id="1"/>
      <w:r>
        <w:rPr>
          <w:b/>
          <w:noProof/>
          <w:color w:val="ED7D31" w:themeColor="accent2"/>
          <w:sz w:val="28"/>
          <w:szCs w:val="28"/>
        </w:rPr>
        <w:lastRenderedPageBreak/>
        <w:t xml:space="preserve"> </w:t>
      </w:r>
      <w:r>
        <w:rPr>
          <w:b/>
          <w:noProof/>
          <w:sz w:val="28"/>
          <w:szCs w:val="28"/>
        </w:rPr>
        <w:t>Il-mument tal-Ewropa: Tiswija u Tħejjija għall-Ġenerazzjoni li Jmiss</w:t>
      </w:r>
    </w:p>
    <w:p>
      <w:pPr>
        <w:pStyle w:val="Heading1"/>
        <w:rPr>
          <w:noProof/>
          <w:sz w:val="22"/>
        </w:rPr>
      </w:pPr>
      <w:r>
        <w:rPr>
          <w:noProof/>
          <w:sz w:val="22"/>
        </w:rPr>
        <w:t xml:space="preserve">Introduzzjoni </w:t>
      </w:r>
    </w:p>
    <w:p>
      <w:pPr>
        <w:spacing w:before="240"/>
        <w:rPr>
          <w:noProof/>
        </w:rPr>
      </w:pPr>
      <w:r>
        <w:rPr>
          <w:noProof/>
        </w:rPr>
        <w:t xml:space="preserve">Il-coronavirus heżżeż l-Ewropa u d-dinja sal-qalba tagħhom, ittestja s-sistemi tal-kura tas-saħħa u tal-benesseri tagħna, is-soċjetajiet u l-ekonomiji tagħna u l-mod kif ngħixu u naħdmu flimkien. Nies tilfu l-għeżież tagħhom u l-impjiegi tagħhom, filwaqt li pjanijiet u l-ġejjieni ma għadhomx fiċ-ċert. L-Ewropa kienet iffaċċjata minn sfida għas-saħħa pubblika li malajr saret l-aktar kriżi ekonomika drastika fl-istorja tagħha. U diġà qed naraw l-effett profond li l-virus se jħalli fuq ir-relazzjonijiet tagħna u l-politika u l-ġeopolitika tagħna. Madankollu, fi żminijiet diffiċli ta’ spiss tinħoloq opportunità. Issa huwa ż-żmien biex l-Unjoni Ewropea tagħna terġa’ tqum fuq saqajha u nimxu 'l quddiem flimkien biex </w:t>
      </w:r>
      <w:r>
        <w:rPr>
          <w:b/>
          <w:noProof/>
        </w:rPr>
        <w:t>insewwu l-ħsara li ħalliet il-kriżi u nħejju ġejjieni aħjar għall-ġenerazzjoni ta’ warajna</w:t>
      </w:r>
      <w:r>
        <w:rPr>
          <w:noProof/>
        </w:rPr>
        <w:t>.</w:t>
      </w:r>
    </w:p>
    <w:p>
      <w:pPr>
        <w:spacing w:before="0" w:after="0"/>
        <w:rPr>
          <w:noProof/>
        </w:rPr>
      </w:pPr>
      <w:r>
        <w:rPr>
          <w:noProof/>
        </w:rPr>
        <w:t xml:space="preserve">Huwa fl-interess komuni tagħna li nappoġġaw lil dawk l-aktar milquta, insaħħu s-Suq Uniku tagħna u ninvestu fil-prijoritajiet Ewropej kondiviżi tagħna. Fl-Unjoni tagħna, euro investit f’pajjiż wieħed huwa euro investit għal kulħadd. Irkupru kollettiv u koeżiv li jaċċellera t-tranżizzjonijiet ekoloġiċi u diġitali biss isaħħaħ il-kompetittività, ir-reżiljenza u l-pożizzjoni tal-Ewropa bħala attur globali. Din hija r-raġuni għaliex </w:t>
      </w:r>
      <w:r>
        <w:rPr>
          <w:b/>
          <w:noProof/>
        </w:rPr>
        <w:t>is-solidarjetà, il-koeżjoni u l-konverġenza jridu jixprunaw l-irkupru tal-Ewropa</w:t>
      </w:r>
      <w:r>
        <w:rPr>
          <w:noProof/>
        </w:rPr>
        <w:t xml:space="preserve">. L-ebda persuna, l-ebda reġjun, l-ebda Stat Membru ma għandu jitħalla barra. </w:t>
      </w:r>
    </w:p>
    <w:p>
      <w:pPr>
        <w:spacing w:before="240"/>
        <w:rPr>
          <w:noProof/>
        </w:rPr>
      </w:pPr>
      <w:r>
        <w:rPr>
          <w:noProof/>
        </w:rPr>
        <w:t xml:space="preserve">Sa minn meta bdiet il-pandemija, l-UE u l-Istati Membri tagħha ħadu miżuri bla preċedent biex </w:t>
      </w:r>
      <w:r>
        <w:rPr>
          <w:b/>
          <w:noProof/>
        </w:rPr>
        <w:t>jipproteġu l-ħajjiet u l-għajxien</w:t>
      </w:r>
      <w:r>
        <w:rPr>
          <w:noProof/>
        </w:rPr>
        <w:t xml:space="preserve">. L-UE appoġġat l-isforzi nazzjonali biex tiġi indirizzata l-kriżi tas-saħħa u jittaffa l-impatt ekonomiku. Illiberat kull euro disponibbli fil-baġit tiegħu biex tiġġieled il-virus. Hija użat il-flessibbiltà sħiħa fir-regoli baġitarji u tal-għajnuna mill-Istat u pproponiet li toħloq SURE, strument ġdid biex jgħin lin-nies jibqgħu jaħdmu. </w:t>
      </w:r>
    </w:p>
    <w:p>
      <w:pPr>
        <w:spacing w:before="240"/>
        <w:rPr>
          <w:noProof/>
        </w:rPr>
      </w:pPr>
      <w:r>
        <w:rPr>
          <w:noProof/>
        </w:rPr>
        <w:t xml:space="preserve">Dan kien parti minn </w:t>
      </w:r>
      <w:r>
        <w:rPr>
          <w:b/>
          <w:noProof/>
        </w:rPr>
        <w:t>pakkett tal-ewwel rispons</w:t>
      </w:r>
      <w:r>
        <w:rPr>
          <w:noProof/>
        </w:rPr>
        <w:t xml:space="preserve"> li jista’ jipprovdi b’mod immedjat aktar minn nofs triljun euro f’appoġġ għall-ħaddiema, għan-negozji żgħar u għall-ekonomiji tal-Istati Membri. Flimkien mal-miżuri meħuda mill-Bank Ċentrali Ewropew, ir-rispons tal-UE sa issa jagħti lill-Istati Membri saħħa mingħajr preċedent biex jgħinu lil dawk li l-aktar għandhom bżonn. Dawn kienu miżuri xierqa li ttieħdu fiż-żmien opportun iżda nafu li dan lanqas biss se jkun biżżejjed biex jagħti l-ewwel spinta lill-ekonomiji tagħna. </w:t>
      </w:r>
    </w:p>
    <w:p>
      <w:pPr>
        <w:spacing w:before="240"/>
        <w:rPr>
          <w:noProof/>
        </w:rPr>
      </w:pPr>
      <w:r>
        <w:rPr>
          <w:b/>
          <w:noProof/>
        </w:rPr>
        <w:t>Biex l-ekonomija terġa’ tibda tiċċaqlaq, l-ewwel trid terġa’ tinbena l-fiduċja</w:t>
      </w:r>
      <w:r>
        <w:rPr>
          <w:noProof/>
        </w:rPr>
        <w:t xml:space="preserve">. In-nies irid ikollha fiduċja fil-postijiet li jaħdmu, jixtru u jissoċjalizzaw fihom. Jeħtieġ li jkollhom ċertezza u serħan il-moħħ f’dak li għandu x’jaqsam mal-għajxien tagħhom u mal-futur tagħhom. Kwalunkwe rkupru se jiddependi fuq il-kapaċità tagħna li nneħħu l-miżuri ta' konteniment gradwalment u b’mod sostenibbli, fuq il-kapaċità tagħna li ngħixu mal-virus u fuq li jkollna fehim ċar tas-sitwazzjoni madwar l-Ewropa kollha. </w:t>
      </w:r>
    </w:p>
    <w:p>
      <w:pPr>
        <w:spacing w:before="240"/>
        <w:rPr>
          <w:noProof/>
        </w:rPr>
      </w:pPr>
      <w:r>
        <w:rPr>
          <w:b/>
          <w:noProof/>
        </w:rPr>
        <w:t>Din il-kriżi hija differenti minn kwalunkwe oħra li qatt kellna quddiemna.</w:t>
      </w:r>
      <w:r>
        <w:rPr>
          <w:noProof/>
        </w:rPr>
        <w:t xml:space="preserve"> Hija ta’ natura fixkiela u qed tevolvi fin-natura. U ħafna mill-effetti u mill-elementi tagħha se jkomplu jaffettwawna b’modi mhux mistennija jew mhux previsti. Dak li nafu huwa li l-azzjoni meħtieġa meħuda mill-UE u l-Istati Membri tagħha biex jiġu evitati mijiet ta’ eluf ta’ mwiet għandha prezz. L-Ewropa kollha ġiet affettwata u l-għeluq ekonomiku </w:t>
      </w:r>
      <w:r>
        <w:rPr>
          <w:noProof/>
        </w:rPr>
        <w:lastRenderedPageBreak/>
        <w:t>jfisser li l-impjiegi, id-dħul u kumpaniji sodi tpoġġew f’riskju b’modi li ma rajniex fil-kriżijiet ta’ qabel.</w:t>
      </w:r>
    </w:p>
    <w:p>
      <w:pPr>
        <w:spacing w:before="240"/>
        <w:rPr>
          <w:noProof/>
        </w:rPr>
      </w:pPr>
      <w:r>
        <w:rPr>
          <w:noProof/>
        </w:rPr>
        <w:t xml:space="preserve">Filwaqt li l-virus huwa l-istess fl-Istati Membri kollha, </w:t>
      </w:r>
      <w:r>
        <w:rPr>
          <w:b/>
          <w:noProof/>
        </w:rPr>
        <w:t>l-impatt u l-potenzjal għall-irkupru jidhru li huma differenti ħafna</w:t>
      </w:r>
      <w:r>
        <w:rPr>
          <w:noProof/>
        </w:rPr>
        <w:t>. Il-pajjiżi u r-reġjuni b’ekonomiji li jiddependu fuq is-servizzi b’kuntatt dirett mal-klijenti, l-esportazzjonijiet jew għadd kbir ta’ negozji żgħar se jintlaqtu ħafna agħar minn ħadd ieħor. U filwaqt li kull Stat Membru appoġġa kemm jista’ jkun lill-ħaddiema u lill-kumpaniji tiegħu, mhux kulħadd jista’ jagħmel dan bl-istess mod. Dan joħloq ir-riskju ta’ rkupru żbilanċjat, kundizzjonijiet mhux ekwi u t-twessigħ tad-disparitajiet. U juri l-ħtieġa u l-valur ta’ rispons Ewropew.</w:t>
      </w:r>
    </w:p>
    <w:p>
      <w:pPr>
        <w:spacing w:before="240"/>
        <w:rPr>
          <w:noProof/>
        </w:rPr>
      </w:pPr>
      <w:r>
        <w:rPr>
          <w:noProof/>
        </w:rPr>
        <w:t xml:space="preserve">L-għażliet li nagħmlu llum se jiddefinixxu l-futur ta’ għada għall-ġenerazzjoni li jmiss. L-investiment enormi meħtieġ biex jingħata spinta lill-ekonomiji tagħna jrid itaffi l-piż minn fuq daharhom u mhux iżidu. Din hija r-raġuni għaliex il-pjan ta’ rkupru tal-UE għandu jiggwida u jibni </w:t>
      </w:r>
      <w:r>
        <w:rPr>
          <w:b/>
          <w:noProof/>
        </w:rPr>
        <w:t>Ewropa aktar sostenibbli, reżiljenti u aktar ġusta</w:t>
      </w:r>
      <w:r>
        <w:rPr>
          <w:noProof/>
        </w:rPr>
        <w:t xml:space="preserve"> għall-ġenerazzjoni li jmiss.  </w:t>
      </w:r>
    </w:p>
    <w:p>
      <w:pPr>
        <w:spacing w:before="240"/>
        <w:rPr>
          <w:noProof/>
        </w:rPr>
      </w:pPr>
      <w:r>
        <w:rPr>
          <w:noProof/>
        </w:rPr>
        <w:t xml:space="preserve">L-isfidi ġenerazzjonali tagħna - it-transizzjonijiet ekoloġiċi u diġitali - issa saru aktar importanti minn qabel bdiet il-kriżi. Permezz tal-irkupru, se </w:t>
      </w:r>
      <w:r>
        <w:rPr>
          <w:b/>
          <w:noProof/>
        </w:rPr>
        <w:t xml:space="preserve">ngħaġġlu ’l quddiem bit-tranżizzjoni ekoloġika u b’dik diġitali. </w:t>
      </w:r>
      <w:r>
        <w:rPr>
          <w:noProof/>
        </w:rPr>
        <w:t>Se nsaħħu l-awtonomija strateġika tagħna filwaqt li nippreżervaw il-benefiċċji ta’ ekonomija miftuħa. Se nappoġġaw lis-sħab tagħna madwar id-dinja u se jkunu l-mexxejja ta’ forma mġedda u msaħħa ta’ multilateraliżmu li hemm bżonn fid-dinja.</w:t>
      </w:r>
    </w:p>
    <w:p>
      <w:pPr>
        <w:spacing w:before="240"/>
        <w:rPr>
          <w:noProof/>
        </w:rPr>
      </w:pPr>
      <w:r>
        <w:rPr>
          <w:noProof/>
        </w:rPr>
        <w:t xml:space="preserve">Biex tilqa’ l-isfida straordinarja u biex tipprepara futur aħjar, il-Kummissjoni llum qed tipproponi strument ta’ rkupru ġdid, imsejjaħ </w:t>
      </w:r>
      <w:r>
        <w:rPr>
          <w:b/>
          <w:noProof/>
        </w:rPr>
        <w:t>NextGenerationEU</w:t>
      </w:r>
      <w:r>
        <w:rPr>
          <w:noProof/>
        </w:rPr>
        <w:t>, f'baġit fit-tul tal-UE msaħħaħ.</w:t>
      </w:r>
      <w:r>
        <w:rPr>
          <w:b/>
          <w:noProof/>
        </w:rPr>
        <w:t xml:space="preserve"> </w:t>
      </w:r>
      <w:r>
        <w:rPr>
          <w:noProof/>
        </w:rPr>
        <w:t>B’kollox il-</w:t>
      </w:r>
      <w:r>
        <w:rPr>
          <w:b/>
          <w:noProof/>
        </w:rPr>
        <w:t>Pjan ta’ Rkupru Ewropew se jqiegħed EUR 1,85 triljun</w:t>
      </w:r>
      <w:r>
        <w:rPr>
          <w:rStyle w:val="FootnoteReference"/>
          <w:rFonts w:eastAsia="Arial Unicode MS"/>
          <w:noProof/>
          <w:color w:val="000000"/>
          <w:sz w:val="24"/>
          <w:szCs w:val="24"/>
          <w:u w:color="000000"/>
          <w:bdr w:val="nil"/>
          <w:lang w:eastAsia="fr-BE"/>
        </w:rPr>
        <w:footnoteReference w:id="1"/>
      </w:r>
      <w:r>
        <w:rPr>
          <w:noProof/>
        </w:rPr>
        <w:t xml:space="preserve"> biex jgħin tingħata spinta lill-ekonomija tagħna u biex jiżgura li l-Ewropa tieħu skoss 'il quddiem. </w:t>
      </w:r>
    </w:p>
    <w:p>
      <w:pPr>
        <w:spacing w:before="240"/>
        <w:rPr>
          <w:noProof/>
        </w:rPr>
      </w:pPr>
      <w:r>
        <w:rPr>
          <w:noProof/>
        </w:rPr>
        <w:t xml:space="preserve">L-irkupru x’aktarx li se jkun twil, iżda l-ħtiġijiet huma immedjati. Ftehim rapidu dwar dawn il-proposti se jkun dikjarazzjoni b’saħħitha ta’ unità, solidarjetà u sens ta’ direzzjoni komuni Ewropej. L-irkupru tal-Ewropa se jkun l-isforz ta’ tim, minn kull wieħed u waħda minna bħala individwi, sħab soċjali, soċjetà ċivili, negozju, reġjuni, pajjiżi u istituzzjonijiet. </w:t>
      </w:r>
      <w:r>
        <w:rPr>
          <w:b/>
          <w:noProof/>
        </w:rPr>
        <w:t>Dan huwa l-mument tal-Ewropa u dan huwa l-waqt li jinħatfu flimkien.</w:t>
      </w:r>
      <w:r>
        <w:rPr>
          <w:noProof/>
        </w:rPr>
        <w:t xml:space="preserve"> </w:t>
      </w:r>
    </w:p>
    <w:p>
      <w:pPr>
        <w:pStyle w:val="Heading1"/>
        <w:rPr>
          <w:noProof/>
          <w:sz w:val="22"/>
        </w:rPr>
      </w:pPr>
      <w:r>
        <w:rPr>
          <w:noProof/>
          <w:sz w:val="22"/>
        </w:rPr>
        <w:lastRenderedPageBreak/>
        <w:t>L-anotomija tal-kriżi ekonomika</w:t>
      </w:r>
    </w:p>
    <w:p>
      <w:pPr>
        <w:pStyle w:val="Heading1"/>
        <w:numPr>
          <w:ilvl w:val="0"/>
          <w:numId w:val="0"/>
        </w:numPr>
        <w:rPr>
          <w:b w:val="0"/>
          <w:smallCaps w:val="0"/>
          <w:noProof/>
          <w:sz w:val="24"/>
          <w:szCs w:val="24"/>
        </w:rPr>
      </w:pPr>
      <w:r>
        <w:rPr>
          <w:b w:val="0"/>
          <w:smallCaps w:val="0"/>
          <w:noProof/>
          <w:sz w:val="24"/>
          <w:szCs w:val="24"/>
        </w:rPr>
        <w:t xml:space="preserve">Biex nifhmu dak li teħtieġ tagħmel l-Ewropa biex tirkupra, l-ewwel irid ikollna stampa ċara ta’ dak li qed niffaċċjaw. Kull previżjoni jew konklużjoni definittiva f’dan l-istadju tal-kriżi inevitabbilment tkun miżgħuda bl-inċertezza. Madankollu, diġà huwa ċar li l-perspettiva ekonomika hija mimlija riskji u li r-riċessjoni fl-Ewropa tista’ tkun profonda, dannuża u fit-tul jekk ma niħdux azzjoni deċiżiva issa. </w:t>
      </w:r>
    </w:p>
    <w:p>
      <w:pPr>
        <w:pStyle w:val="Heading1"/>
        <w:numPr>
          <w:ilvl w:val="0"/>
          <w:numId w:val="0"/>
        </w:numPr>
        <w:rPr>
          <w:b w:val="0"/>
          <w:smallCaps w:val="0"/>
          <w:noProof/>
          <w:sz w:val="24"/>
          <w:szCs w:val="24"/>
        </w:rPr>
      </w:pPr>
      <w:r>
        <w:rPr>
          <w:b w:val="0"/>
          <w:smallCaps w:val="0"/>
          <w:noProof/>
          <w:sz w:val="24"/>
          <w:szCs w:val="24"/>
        </w:rPr>
        <w:t xml:space="preserve">Ir-restrizzjonijiet imposti biex jitrażżan it-tixrid tal-virus naqqas ir-ritmu tal-ħajja ekonomika - f’xi każijiet kważi waqfu ħesrem. Il-ktajjen tal-provvista u l-linji tal-produzzjoni ġew imfixkla u l-kummerċ fil-prodotti u s-servizzi ġie interrott. L-infiq domestiku u l-investiment privat waqgħu fl-inqas livelli storiċi. L-ekonomija tal-Ewropa u l-biċċa l-kbira mill-ekosistemi industrijali tagħha kellhom joperaw fi frazzjoni tal-kapaċità tagħhom. </w:t>
      </w:r>
    </w:p>
    <w:p>
      <w:pPr>
        <w:pStyle w:val="Heading1"/>
        <w:numPr>
          <w:ilvl w:val="0"/>
          <w:numId w:val="0"/>
        </w:numPr>
        <w:rPr>
          <w:b w:val="0"/>
          <w:smallCaps w:val="0"/>
          <w:noProof/>
          <w:sz w:val="24"/>
          <w:szCs w:val="24"/>
        </w:rPr>
      </w:pPr>
      <w:r>
        <w:rPr>
          <w:b w:val="0"/>
          <w:smallCaps w:val="0"/>
          <w:noProof/>
          <w:sz w:val="24"/>
          <w:szCs w:val="24"/>
        </w:rPr>
        <w:t xml:space="preserve">Flimkien, dawn il-fatturi mistennija jwasslu għal tnaqqis qawwi fl-ekonomija tal-UE. Iċ-ċifri huma ċari u l-kobor tal-ħsara huwa bla preċedent. L-istimi jissuġġerixxu li l-Prodott Domestiku Gross tal-UE (PDG) naqas b’madwar 15 % fit-tieni kwart tal-2020 meta mqabbel mal-istess żmien tas-sena l-oħra. </w:t>
      </w:r>
      <w:r>
        <w:rPr>
          <w:smallCaps w:val="0"/>
          <w:noProof/>
          <w:sz w:val="24"/>
          <w:szCs w:val="24"/>
        </w:rPr>
        <w:t>B’mod ġenerali, l-ekonomija tal-UE mistennija tonqos b’aktar minn 7 % fl-2020.</w:t>
      </w:r>
      <w:r>
        <w:rPr>
          <w:b w:val="0"/>
          <w:smallCaps w:val="0"/>
          <w:noProof/>
          <w:sz w:val="24"/>
          <w:szCs w:val="24"/>
        </w:rPr>
        <w:t xml:space="preserve"> Madankollu, ix-xenarju agħar possibbli ta’ tieni mewġa u ta’ miżuri ta' lockdown estiżi jista’ jwassal għal tnaqqis ta’ sa 16 % fil-PDG din is-sena. </w:t>
      </w:r>
    </w:p>
    <w:p>
      <w:pPr>
        <w:pStyle w:val="Heading1"/>
        <w:numPr>
          <w:ilvl w:val="0"/>
          <w:numId w:val="0"/>
        </w:numPr>
        <w:rPr>
          <w:b w:val="0"/>
          <w:smallCaps w:val="0"/>
          <w:noProof/>
          <w:sz w:val="24"/>
          <w:szCs w:val="24"/>
        </w:rPr>
      </w:pPr>
      <w:r>
        <w:rPr>
          <w:b w:val="0"/>
          <w:smallCaps w:val="0"/>
          <w:noProof/>
          <w:sz w:val="24"/>
          <w:szCs w:val="24"/>
        </w:rPr>
        <w:t>Filwaqt li l-ekonomija hija mistennija li tirritorna għat-tkabbir fl-2021,</w:t>
      </w:r>
      <w:r>
        <w:rPr>
          <w:smallCaps w:val="0"/>
          <w:noProof/>
          <w:sz w:val="24"/>
          <w:szCs w:val="24"/>
        </w:rPr>
        <w:t xml:space="preserve"> l-irkupru inizjali se jkun parzjali u l-impatt se jinħass sew min-nies u min-negozji.</w:t>
      </w:r>
      <w:r>
        <w:rPr>
          <w:b w:val="0"/>
          <w:smallCaps w:val="0"/>
          <w:noProof/>
          <w:sz w:val="24"/>
          <w:szCs w:val="24"/>
        </w:rPr>
        <w:t xml:space="preserve"> Ħafna nies x’aktarx se jonqsilhom id-dħul tagħhom u l-impjiegi tagħhom se jkunu f’riskju. Il-qgħad huwa mistenni li jiżdied għal 9 % fl-UE u se jolqot b’mod sproporzjonat liż-żgħażagħ u lil dawk b’ħiliet baxxi, b’xogħol temporanju u li jgħixu f’unitajiet domestiċi aktar foqra. Il-faqar u l-inugwaljanzi x’aktarx li se jiżdiedu, li juri l-importanza ta’ rkupru soċjali u inklużiv. Il-likwidità u l-aċċess għall-finanzi se jkunu sfida kontinwa għall-kumpaniji, u b’mod partikolari għan-negozji ż-żgħar. Se jkun meħtieġ li r-riskju tal-insolvenzi jiġi mitigat biex jiġu evitati effetti sekondarji agħar. </w:t>
      </w:r>
    </w:p>
    <w:p>
      <w:pPr>
        <w:pStyle w:val="Heading1"/>
        <w:numPr>
          <w:ilvl w:val="0"/>
          <w:numId w:val="0"/>
        </w:numPr>
        <w:rPr>
          <w:b w:val="0"/>
          <w:smallCaps w:val="0"/>
          <w:noProof/>
          <w:sz w:val="24"/>
          <w:szCs w:val="24"/>
        </w:rPr>
      </w:pPr>
      <w:r>
        <w:rPr>
          <w:smallCaps w:val="0"/>
          <w:noProof/>
          <w:sz w:val="24"/>
          <w:szCs w:val="24"/>
        </w:rPr>
        <w:t>L-impatt ekonomiku tal-kriżi se jvarja ħafna bejn il-partijiet differenti tal-ekonomija.</w:t>
      </w:r>
      <w:r>
        <w:rPr>
          <w:b w:val="0"/>
          <w:smallCaps w:val="0"/>
          <w:noProof/>
          <w:sz w:val="24"/>
          <w:szCs w:val="24"/>
        </w:rPr>
        <w:t xml:space="preserve"> In-negozji li jipprovdu servizzi b’kuntatt mal-klijenti jew li jiddependu fuq postijiet tax-xogħol u żoni ta’ klijenti ffullati huma l-aktar affettwati. L-ewwel stimi tal-Kummissjoni juru li t-turiżmu, l-ekonomija soċjali u l-ekosistemi kreattivi u kulturali jistgħu jaraw tnaqqis ta’ aktar minn 70 % fil-fatturat fit-tieni kwart tal-2020. Is-settur tat-tessuti, tat-trasport, tal-industriji intensivi fl-enerġija u s-settur tal-enerġija rinnovabbli se jintlaqtu wkoll b’mod qawwi. L-ekosistemi b’kunfidenza ogħla tal-konsumatur, bħall-manifattura, il-bejgħ bl-imnut jew is-saħħa x’aktarx li jirkupraw aktar malajr, filwaqt li oħrajn jistgħu jaffaċċjaw problemi ekonomiċi fit-tul. </w:t>
      </w:r>
    </w:p>
    <w:p>
      <w:pPr>
        <w:pStyle w:val="Heading1"/>
        <w:numPr>
          <w:ilvl w:val="0"/>
          <w:numId w:val="0"/>
        </w:numPr>
        <w:rPr>
          <w:b w:val="0"/>
          <w:smallCaps w:val="0"/>
          <w:noProof/>
          <w:sz w:val="24"/>
          <w:szCs w:val="24"/>
        </w:rPr>
      </w:pPr>
      <w:r>
        <w:rPr>
          <w:b w:val="0"/>
          <w:smallCaps w:val="0"/>
          <w:noProof/>
          <w:sz w:val="24"/>
          <w:szCs w:val="24"/>
        </w:rPr>
        <w:t>L-impatt u l-potenzjal tal-irkupru jiddependu wkoll fuq l-istruttura ekonomika jew demografika ta’ kull pajjiż, pereżempju b’dawk li għandhom għadd kbir ta’ intrapriżi żgħar u medji (SMEs) jintlaqtu agħar. Jiddependi wkoll fuq l-abbiltà u l-kapaċità tagħhom li jassorbu u jirreaġixxu għax-xokk, b’mod partikolari b’għajnuna mill-Istat. Dan għandu impatt konsiderevoli fuq is-Suq Uniku u jwessa’ d-diverġenzi u d-</w:t>
      </w:r>
      <w:r>
        <w:rPr>
          <w:b w:val="0"/>
          <w:smallCaps w:val="0"/>
          <w:noProof/>
          <w:sz w:val="24"/>
          <w:szCs w:val="24"/>
        </w:rPr>
        <w:lastRenderedPageBreak/>
        <w:t>disparitajiet bejn l-Istati Membri. Dan huwa rifless mill-fatt li r-reċessjoni se tkun qrib l-10 % f’xi pajjiżi, meta mqabbla ma’ medja ta’ bejn 6-7,5 % fi bnadi oħra.</w:t>
      </w:r>
    </w:p>
    <w:p>
      <w:pPr>
        <w:pStyle w:val="Heading1"/>
        <w:numPr>
          <w:ilvl w:val="0"/>
          <w:numId w:val="0"/>
        </w:numPr>
        <w:rPr>
          <w:b w:val="0"/>
          <w:smallCaps w:val="0"/>
          <w:noProof/>
          <w:sz w:val="24"/>
          <w:szCs w:val="24"/>
        </w:rPr>
      </w:pPr>
      <w:r>
        <w:rPr>
          <w:b w:val="0"/>
          <w:smallCaps w:val="0"/>
          <w:noProof/>
        </w:rPr>
        <w:t>Din l-istampa, li hija ppreżentata f’aktar dettall fil-valutazzjoni tal-ħtiġijiet ma’ din il-Komunikazzjoni</w:t>
      </w:r>
      <w:r>
        <w:rPr>
          <w:rStyle w:val="FootnoteReference"/>
          <w:b w:val="0"/>
          <w:smallCaps w:val="0"/>
          <w:noProof/>
        </w:rPr>
        <w:footnoteReference w:id="2"/>
      </w:r>
      <w:r>
        <w:rPr>
          <w:b w:val="0"/>
          <w:smallCaps w:val="0"/>
          <w:noProof/>
        </w:rPr>
        <w:t>, turi l-ħtieġa għal investiment u finanzjament enormi.</w:t>
      </w:r>
      <w:r>
        <w:rPr>
          <w:b w:val="0"/>
          <w:smallCaps w:val="0"/>
          <w:noProof/>
          <w:sz w:val="24"/>
          <w:szCs w:val="24"/>
        </w:rPr>
        <w:t xml:space="preserve"> F’dan l-istadju tal-kriżi huwa ferm diffiċli li tingħata ċifra definittiva tal-ħtiġijiet ta’ investiment. Madankollu, il-valutazzjoni tal-ħtiġijiet tistma li se jkun meħtieġ EUR 1,5 triljun ta’ investiment pubbliku u privat addizzjonali fl-2021 u fl-2022 biex l-Ewropa taqbad it-triq tal-irkupru sostenibbli. </w:t>
      </w:r>
    </w:p>
    <w:p>
      <w:pPr>
        <w:pStyle w:val="Heading1"/>
        <w:rPr>
          <w:noProof/>
          <w:sz w:val="24"/>
        </w:rPr>
      </w:pPr>
      <w:r>
        <w:rPr>
          <w:noProof/>
          <w:sz w:val="24"/>
        </w:rPr>
        <w:t xml:space="preserve">investiment fil-ġenerazzjoni li jmiss  </w:t>
      </w:r>
    </w:p>
    <w:p>
      <w:pPr>
        <w:pStyle w:val="Heading1"/>
        <w:numPr>
          <w:ilvl w:val="0"/>
          <w:numId w:val="0"/>
        </w:numPr>
        <w:rPr>
          <w:b w:val="0"/>
          <w:smallCaps w:val="0"/>
          <w:noProof/>
          <w:sz w:val="24"/>
          <w:szCs w:val="24"/>
        </w:rPr>
      </w:pPr>
      <w:r>
        <w:rPr>
          <w:b w:val="0"/>
          <w:smallCaps w:val="0"/>
          <w:noProof/>
          <w:sz w:val="24"/>
          <w:szCs w:val="24"/>
        </w:rPr>
        <w:t xml:space="preserve">Il-valutazzjoni tal-ħtiġijiet turi l-ħtieġa għal investiment massiv fuq skala u b’veloċità, inkluż investiment sostanzjali pubbliku u privat fil-livelli nazzjonali. </w:t>
      </w:r>
      <w:r>
        <w:rPr>
          <w:smallCaps w:val="0"/>
          <w:noProof/>
          <w:sz w:val="24"/>
          <w:szCs w:val="24"/>
        </w:rPr>
        <w:t>Jekk jitħalla f’idejn il-pajjiżi individwali biss, l-irkupru x’aktarx ikun irregolari, mhux ugwali u inġust.</w:t>
      </w:r>
      <w:r>
        <w:rPr>
          <w:b w:val="0"/>
          <w:smallCaps w:val="0"/>
          <w:noProof/>
          <w:sz w:val="24"/>
          <w:szCs w:val="24"/>
        </w:rPr>
        <w:t xml:space="preserve"> Dan huwa riskju reali ħafna f’partijiet oħra tad-dinja. Iżda fl-Unjoni tagħna fejn in-nies, in-negozji u l-ekonomiji jiddependu minn xulxin, l-Ewropa tinsab f’pożizzjoni unika biex tkun tista’ tinvesti f’irkupru sostenibbli u fil-futur. Dan l-investiment se jkun </w:t>
      </w:r>
      <w:r>
        <w:rPr>
          <w:smallCaps w:val="0"/>
          <w:noProof/>
          <w:sz w:val="24"/>
          <w:szCs w:val="24"/>
        </w:rPr>
        <w:t>ġid komuni għall-ġejjieni kodiviż tagħna</w:t>
      </w:r>
      <w:r>
        <w:rPr>
          <w:b w:val="0"/>
          <w:smallCaps w:val="0"/>
          <w:noProof/>
          <w:sz w:val="24"/>
          <w:szCs w:val="24"/>
        </w:rPr>
        <w:t xml:space="preserve"> u se juri l-valur veru u tanġibbli li wieħed ikun parti mill-Unjoni.</w:t>
      </w:r>
    </w:p>
    <w:p>
      <w:pPr>
        <w:pStyle w:val="Heading1"/>
        <w:numPr>
          <w:ilvl w:val="0"/>
          <w:numId w:val="0"/>
        </w:numPr>
        <w:rPr>
          <w:b w:val="0"/>
          <w:smallCaps w:val="0"/>
          <w:noProof/>
          <w:sz w:val="24"/>
          <w:szCs w:val="24"/>
        </w:rPr>
      </w:pPr>
      <w:r>
        <w:rPr>
          <w:b w:val="0"/>
          <w:smallCaps w:val="0"/>
          <w:noProof/>
          <w:sz w:val="24"/>
          <w:szCs w:val="24"/>
        </w:rPr>
        <w:t xml:space="preserve">Imfassal għall-koeżjoni, il-konverġenza u s-solidarjetà, il-baġit tal-UE huwa strument lest. Jaħdem sew, trasparenti u fdat minn kulħadd. Magħmul biex jinvesti fi programmi u prijoritajiet miftehma b’mod komuni u jiżgura li dawk li jeħtieġu aktar appoġġ jiksbu l-investiment li jeħtieġu biex ilaħħqu. </w:t>
      </w:r>
    </w:p>
    <w:p>
      <w:pPr>
        <w:pStyle w:val="Heading1"/>
        <w:numPr>
          <w:ilvl w:val="0"/>
          <w:numId w:val="0"/>
        </w:numPr>
        <w:rPr>
          <w:b w:val="0"/>
          <w:smallCaps w:val="0"/>
          <w:noProof/>
          <w:sz w:val="24"/>
          <w:szCs w:val="24"/>
        </w:rPr>
      </w:pPr>
      <w:r>
        <w:rPr>
          <w:b w:val="0"/>
          <w:smallCaps w:val="0"/>
          <w:noProof/>
          <w:sz w:val="24"/>
          <w:szCs w:val="24"/>
        </w:rPr>
        <w:t xml:space="preserve">Din hija r-raġuni għaliex il-Kummissjoni llum qed tipproponi </w:t>
      </w:r>
      <w:r>
        <w:rPr>
          <w:bCs/>
          <w:smallCaps w:val="0"/>
          <w:noProof/>
          <w:sz w:val="24"/>
          <w:szCs w:val="24"/>
        </w:rPr>
        <w:t>strument ta’ rkupru ġdid ta’ EUR 750 biljun, NextGenerationEU</w:t>
      </w:r>
      <w:r>
        <w:rPr>
          <w:b w:val="0"/>
          <w:smallCaps w:val="0"/>
          <w:noProof/>
          <w:sz w:val="24"/>
          <w:szCs w:val="24"/>
        </w:rPr>
        <w:t xml:space="preserve">, inkorporat f’baġit tal-UE potenti, modern u fit-tul. Din hija proposta storika u ta’ darba li tirrifletti l-iskala u d-daqs tal-isfida li qed inħabbtu wiċċna magħha. </w:t>
      </w:r>
      <w:r>
        <w:rPr>
          <w:b w:val="0"/>
          <w:smallCaps w:val="0"/>
          <w:noProof/>
        </w:rPr>
        <w:t>It-tqassim sħiħ ta’ kif dan se jaħdem huwa stabbilit fil-Komunikazzjoni ta’ akkumpanjament</w:t>
      </w:r>
      <w:r>
        <w:rPr>
          <w:rStyle w:val="FootnoteReference"/>
          <w:b w:val="0"/>
          <w:smallCaps w:val="0"/>
          <w:noProof/>
          <w:lang w:val="en-IE"/>
        </w:rPr>
        <w:footnoteReference w:id="3"/>
      </w:r>
      <w:r>
        <w:rPr>
          <w:b w:val="0"/>
          <w:smallCaps w:val="0"/>
          <w:noProof/>
        </w:rPr>
        <w:t>, kif ukoll fit-testi legali adottati llum.</w:t>
      </w:r>
      <w:r>
        <w:rPr>
          <w:b w:val="0"/>
          <w:smallCaps w:val="0"/>
          <w:noProof/>
          <w:sz w:val="24"/>
          <w:szCs w:val="24"/>
        </w:rPr>
        <w:t xml:space="preserve"> Il-karatteristiċi prinċipali huma dawn: </w:t>
      </w:r>
    </w:p>
    <w:p>
      <w:pPr>
        <w:pStyle w:val="Heading1"/>
        <w:numPr>
          <w:ilvl w:val="0"/>
          <w:numId w:val="0"/>
        </w:numPr>
        <w:rPr>
          <w:b w:val="0"/>
          <w:i/>
          <w:smallCaps w:val="0"/>
          <w:noProof/>
          <w:sz w:val="24"/>
          <w:szCs w:val="24"/>
        </w:rPr>
      </w:pPr>
      <w:r>
        <w:rPr>
          <w:b w:val="0"/>
          <w:i/>
          <w:smallCaps w:val="0"/>
          <w:noProof/>
          <w:sz w:val="24"/>
          <w:szCs w:val="24"/>
        </w:rPr>
        <w:t>Kif se jinġabru l-flus</w:t>
      </w:r>
    </w:p>
    <w:p>
      <w:pPr>
        <w:pStyle w:val="Heading1"/>
        <w:numPr>
          <w:ilvl w:val="0"/>
          <w:numId w:val="0"/>
        </w:numPr>
        <w:rPr>
          <w:b w:val="0"/>
          <w:smallCaps w:val="0"/>
          <w:noProof/>
          <w:sz w:val="24"/>
          <w:szCs w:val="24"/>
        </w:rPr>
      </w:pPr>
      <w:r>
        <w:rPr>
          <w:b w:val="0"/>
          <w:smallCaps w:val="0"/>
          <w:noProof/>
          <w:sz w:val="24"/>
          <w:szCs w:val="24"/>
        </w:rPr>
        <w:t xml:space="preserve">Il-flus għal NextGenerationEU se jinġabru billi temporanjament il-limitu massimu tar-riżorsi proprji jogħla għal 2 % tal-Introjtu Nazzjonali Gross tal-UE. Dan se jippermetti lill-Kummissjoni tuża l-klassifikazzjoni tal-kreditu b’saħħitha ħafna tagħha biex tissellef EUR 750 biljun mis-swieq finanzjarji għal NextGenerationEU. </w:t>
      </w:r>
    </w:p>
    <w:p>
      <w:pPr>
        <w:pStyle w:val="Heading1"/>
        <w:numPr>
          <w:ilvl w:val="0"/>
          <w:numId w:val="0"/>
        </w:numPr>
        <w:rPr>
          <w:b w:val="0"/>
          <w:smallCaps w:val="0"/>
          <w:noProof/>
          <w:sz w:val="24"/>
          <w:szCs w:val="24"/>
        </w:rPr>
      </w:pPr>
      <w:r>
        <w:rPr>
          <w:b w:val="0"/>
          <w:smallCaps w:val="0"/>
          <w:noProof/>
          <w:sz w:val="24"/>
          <w:szCs w:val="24"/>
        </w:rPr>
        <w:t xml:space="preserve">Il-fondi miġbura se jkollhom jitħallsu lura permezz tal-baġits futuri tal-UE - mhux qabel l-2028 u mhux wara l-2058. Biex tgħin ħalli dan isir b’mod ġust u kondiviż, </w:t>
      </w:r>
      <w:r>
        <w:rPr>
          <w:smallCaps w:val="0"/>
          <w:noProof/>
          <w:sz w:val="24"/>
          <w:szCs w:val="24"/>
        </w:rPr>
        <w:t>il-Kummissjoni se tipproponi għadd ta’ riżorsi proprji ġodda.</w:t>
      </w:r>
      <w:r>
        <w:rPr>
          <w:b w:val="0"/>
          <w:smallCaps w:val="0"/>
          <w:noProof/>
          <w:sz w:val="24"/>
          <w:szCs w:val="24"/>
        </w:rPr>
        <w:t xml:space="preserve"> Dawn jistgħu jinkludu riżorsa proprja ġdida bbażata fuq l-Iskema għall-Iskambju ta' Kwoti tal-Emissjonijiet, Mekkaniżmu ta' Aġġustament tal-Karbonju fil-Fruntiera u riżorsa proprja bbażata fuq l-operat tal-kumpaniji l-kbar. Din tista’ tinkludi wkoll taxxa diġitali ġdida, li tibni fuq il-ħidma mwettqa mill-Organizzazzjoni għall-Kooperazzjoni u l-Iżvilupp Ekonomiċi (Organisation for Economic Co-operation and Development, OECD). Il-Kummissjoni tappoġġa attivament id-diskussjonijiet immexxija mill-OECD u l-G20 u tinsab lesta biex taġixxi jekk ma jintlaħaq l-ebda ftehim dinji. Dawn se jkunu apparti l-proposti tal-Kummissjoni għal riżorsi proprji bbażati fuq Taxxa fuq il-Valur Miżjud simplifikata u fuq il-plastiks mhux riċiklati. </w:t>
      </w:r>
    </w:p>
    <w:p>
      <w:pPr>
        <w:pStyle w:val="Heading1"/>
        <w:numPr>
          <w:ilvl w:val="0"/>
          <w:numId w:val="0"/>
        </w:numPr>
        <w:rPr>
          <w:b w:val="0"/>
          <w:smallCaps w:val="0"/>
          <w:noProof/>
          <w:sz w:val="24"/>
          <w:szCs w:val="24"/>
        </w:rPr>
      </w:pPr>
      <w:r>
        <w:rPr>
          <w:smallCaps w:val="0"/>
          <w:noProof/>
          <w:sz w:val="24"/>
          <w:szCs w:val="24"/>
        </w:rPr>
        <w:t>Minbarra NextGenerationEU, il-Kummissjoni qed tipproponi baġit tal-UE msaħħaħ, li jammonta għal EUR 1 100 biljun bejn l-2021-2027.</w:t>
      </w:r>
      <w:r>
        <w:rPr>
          <w:b w:val="0"/>
          <w:smallCaps w:val="0"/>
          <w:noProof/>
          <w:sz w:val="24"/>
          <w:szCs w:val="24"/>
        </w:rPr>
        <w:t xml:space="preserve"> </w:t>
      </w:r>
    </w:p>
    <w:p>
      <w:pPr>
        <w:pStyle w:val="Heading1"/>
        <w:numPr>
          <w:ilvl w:val="0"/>
          <w:numId w:val="0"/>
        </w:numPr>
        <w:rPr>
          <w:b w:val="0"/>
          <w:i/>
          <w:smallCaps w:val="0"/>
          <w:noProof/>
          <w:sz w:val="24"/>
          <w:szCs w:val="24"/>
        </w:rPr>
      </w:pPr>
      <w:r>
        <w:rPr>
          <w:b w:val="0"/>
          <w:i/>
          <w:smallCaps w:val="0"/>
          <w:noProof/>
          <w:sz w:val="24"/>
          <w:szCs w:val="24"/>
        </w:rPr>
        <w:t xml:space="preserve">L-investiment tal-flus </w:t>
      </w:r>
    </w:p>
    <w:p>
      <w:pPr>
        <w:pStyle w:val="Heading1"/>
        <w:numPr>
          <w:ilvl w:val="0"/>
          <w:numId w:val="0"/>
        </w:numPr>
        <w:rPr>
          <w:b w:val="0"/>
          <w:smallCaps w:val="0"/>
          <w:noProof/>
          <w:sz w:val="24"/>
          <w:szCs w:val="24"/>
        </w:rPr>
      </w:pPr>
      <w:r>
        <w:rPr>
          <w:b w:val="0"/>
          <w:smallCaps w:val="0"/>
          <w:noProof/>
          <w:sz w:val="24"/>
          <w:szCs w:val="24"/>
        </w:rPr>
        <w:t>Il-flus kollha li jinġabru permezz ta’ NextGenerationEU u tal-baġit il-ġdid tal-UE se jgħaddu minn programmi tal-UE. Dan ifisser li kull euro ta’ investiment se jkun disponibbli biex l-Ewropa tirpilja, biex jitħaffu t-tranżizzjonijiet ekoloġiċi u diġitali u tinbena soċjetà aktar ġusta u aktar reżiljenti. Dan ifisser ukoll li hemm</w:t>
      </w:r>
      <w:r>
        <w:rPr>
          <w:smallCaps w:val="0"/>
          <w:noProof/>
          <w:sz w:val="24"/>
          <w:szCs w:val="24"/>
        </w:rPr>
        <w:t xml:space="preserve"> trasparenza sħiħa u akkontabbiltàdemokratika </w:t>
      </w:r>
      <w:r>
        <w:rPr>
          <w:b w:val="0"/>
          <w:smallCaps w:val="0"/>
          <w:noProof/>
          <w:sz w:val="24"/>
          <w:szCs w:val="24"/>
        </w:rPr>
        <w:t xml:space="preserve">għall-Parlament Ewropew u l-Kunsill Il-flus minn NextGenerationEU se jiġu investiti fi tliet pilastri, permezz ta’ EUR 500 biljun f’għotjiet u EUR 250 biljun f’self lill-Istati Membri. </w:t>
      </w:r>
    </w:p>
    <w:p>
      <w:pPr>
        <w:pStyle w:val="Heading1"/>
        <w:numPr>
          <w:ilvl w:val="0"/>
          <w:numId w:val="0"/>
        </w:numPr>
        <w:rPr>
          <w:b w:val="0"/>
          <w:smallCaps w:val="0"/>
          <w:noProof/>
          <w:sz w:val="24"/>
          <w:szCs w:val="24"/>
        </w:rPr>
      </w:pPr>
      <w:r>
        <w:rPr>
          <w:b w:val="0"/>
          <w:smallCaps w:val="0"/>
          <w:noProof/>
          <w:sz w:val="24"/>
          <w:szCs w:val="24"/>
        </w:rPr>
        <w:t xml:space="preserve">L-ewwel pilastru huwa </w:t>
      </w:r>
      <w:r>
        <w:rPr>
          <w:smallCaps w:val="0"/>
          <w:noProof/>
          <w:sz w:val="24"/>
          <w:szCs w:val="24"/>
        </w:rPr>
        <w:t>appoġġ lill-Istati Membri biex jinvestu u jwettqu riformi</w:t>
      </w:r>
      <w:r>
        <w:rPr>
          <w:b w:val="0"/>
          <w:smallCaps w:val="0"/>
          <w:noProof/>
          <w:sz w:val="24"/>
          <w:szCs w:val="24"/>
        </w:rPr>
        <w:t xml:space="preserve"> biex jindirizzaw il-kriżi:</w:t>
      </w:r>
    </w:p>
    <w:p>
      <w:pPr>
        <w:pStyle w:val="Heading1"/>
        <w:numPr>
          <w:ilvl w:val="0"/>
          <w:numId w:val="24"/>
        </w:numPr>
        <w:rPr>
          <w:b w:val="0"/>
          <w:smallCaps w:val="0"/>
          <w:noProof/>
          <w:sz w:val="24"/>
          <w:szCs w:val="24"/>
        </w:rPr>
      </w:pPr>
      <w:r>
        <w:rPr>
          <w:bCs/>
          <w:smallCaps w:val="0"/>
          <w:noProof/>
          <w:sz w:val="24"/>
          <w:szCs w:val="24"/>
        </w:rPr>
        <w:t>Faċilità ġdida għall-Irkupru u r-Reżiljenza</w:t>
      </w:r>
      <w:r>
        <w:rPr>
          <w:b w:val="0"/>
          <w:smallCaps w:val="0"/>
          <w:noProof/>
          <w:sz w:val="24"/>
          <w:szCs w:val="24"/>
        </w:rPr>
        <w:t xml:space="preserve"> b’baġit ta’ EUR 560 biljun — distribwita f’għotjiet u self. Din se tappoġġa lill-Istati Membri jimplimentaw l-investimenti u r-riformi li huma essenzjali għall-irkupru sostenibbli. L-Istati Membri se jfasslu l-pjanijiet ta’ rkupru nazzjonali mfassla apposta tagħhom stess, fuq il-bażi tal-prijoritajiet ta’ investiment u riforma identifikati bħala parti mis-Semestru Ewropew, f’konformità mal-Pjanijiet Nazzjonali tal-Klima u l-Enerġija, Pjanijiet ta’ Tranżizzjoni Ġusta u Ftehimiet ta’ Sħubija u Programmi Operattivi permezz tal-fondi tal-UE. </w:t>
      </w:r>
    </w:p>
    <w:p>
      <w:pPr>
        <w:pStyle w:val="Heading1"/>
        <w:numPr>
          <w:ilvl w:val="0"/>
          <w:numId w:val="24"/>
        </w:numPr>
        <w:rPr>
          <w:b w:val="0"/>
          <w:smallCaps w:val="0"/>
          <w:noProof/>
          <w:sz w:val="24"/>
          <w:szCs w:val="24"/>
        </w:rPr>
      </w:pPr>
      <w:r>
        <w:rPr>
          <w:b w:val="0"/>
          <w:smallCaps w:val="0"/>
          <w:noProof/>
          <w:sz w:val="24"/>
          <w:szCs w:val="24"/>
        </w:rPr>
        <w:t xml:space="preserve">Inizjattiva ġdida, </w:t>
      </w:r>
      <w:r>
        <w:rPr>
          <w:bCs/>
          <w:smallCaps w:val="0"/>
          <w:noProof/>
          <w:sz w:val="24"/>
          <w:szCs w:val="24"/>
        </w:rPr>
        <w:t>REACE-UE</w:t>
      </w:r>
      <w:r>
        <w:rPr>
          <w:b w:val="0"/>
          <w:smallCaps w:val="0"/>
          <w:noProof/>
          <w:sz w:val="24"/>
          <w:szCs w:val="24"/>
        </w:rPr>
        <w:t>, se tipprovdi żieda għall-appoġġ ta’ koeżjoni lill-Istati Membri, b’baġit ta’ EUR 55 biljun . Din se tkun disponibbli mill-2020 u se titqassam skont koeffiċjent ta’ allokazzjoni ġdid li jqis l-impatt tal-kriżi. Dan se jiżgura li ma jkunx hemm interruzzjoni fil-finanzjament għal miżuri ewlenin ta’ tiswija ta’ kriżijiet u appoġġ lill-persuni l-aktar fil-bżonn. Se tappoġġa l-ħaddiema u l-SMEs, is-sistemi tas-saħħa u t-tranżizzjonijiet ekoloġiċi u diġitali u se tkun disponibbli għas-setturi kollha, mit-turiżmu sal-kultura.</w:t>
      </w:r>
    </w:p>
    <w:p>
      <w:pPr>
        <w:pStyle w:val="Heading1"/>
        <w:numPr>
          <w:ilvl w:val="0"/>
          <w:numId w:val="24"/>
        </w:numPr>
        <w:rPr>
          <w:b w:val="0"/>
          <w:smallCaps w:val="0"/>
          <w:noProof/>
          <w:sz w:val="24"/>
          <w:szCs w:val="24"/>
        </w:rPr>
      </w:pPr>
      <w:r>
        <w:rPr>
          <w:b w:val="0"/>
          <w:smallCaps w:val="0"/>
          <w:noProof/>
          <w:sz w:val="24"/>
          <w:szCs w:val="24"/>
        </w:rPr>
        <w:t xml:space="preserve">Biex tappoġġa t-tranżizzjoni ekoloġika, il-Kummissjoni qed tipproponi li tipprovdi finanzjament addizzjonali għall-Fond ta’ Tranżizzjoni Ġusta u l-Fond Agrikolu Ewropew għall-Iżvilupp Rurali. Il-programmi tal-politika ta’ koeżjoni se jissaħħu wkoll fil-perjodu tal-baġit tal-UE li jmiss, anki biex ikun hemm aktar flessibbiltà. </w:t>
      </w:r>
    </w:p>
    <w:p>
      <w:pPr>
        <w:pStyle w:val="Heading1"/>
        <w:numPr>
          <w:ilvl w:val="0"/>
          <w:numId w:val="0"/>
        </w:numPr>
        <w:ind w:left="482" w:hanging="482"/>
        <w:rPr>
          <w:b w:val="0"/>
          <w:smallCaps w:val="0"/>
          <w:noProof/>
          <w:sz w:val="24"/>
          <w:szCs w:val="24"/>
        </w:rPr>
      </w:pPr>
      <w:r>
        <w:rPr>
          <w:b w:val="0"/>
          <w:smallCaps w:val="0"/>
          <w:noProof/>
          <w:sz w:val="24"/>
          <w:szCs w:val="24"/>
        </w:rPr>
        <w:t xml:space="preserve">It-tieni pilastru se jkun biex </w:t>
      </w:r>
      <w:r>
        <w:rPr>
          <w:smallCaps w:val="0"/>
          <w:noProof/>
          <w:sz w:val="24"/>
          <w:szCs w:val="24"/>
        </w:rPr>
        <w:t>jagħti l-ispinta tal-bidu lill-ekonomija tal-UE billi jinċentiva l-investiment privati.</w:t>
      </w:r>
      <w:r>
        <w:rPr>
          <w:b w:val="0"/>
          <w:smallCaps w:val="0"/>
          <w:noProof/>
          <w:sz w:val="24"/>
          <w:szCs w:val="24"/>
        </w:rPr>
        <w:t xml:space="preserve"> </w:t>
      </w:r>
    </w:p>
    <w:p>
      <w:pPr>
        <w:pStyle w:val="Heading1"/>
        <w:numPr>
          <w:ilvl w:val="0"/>
          <w:numId w:val="25"/>
        </w:numPr>
        <w:rPr>
          <w:b w:val="0"/>
          <w:smallCaps w:val="0"/>
          <w:noProof/>
          <w:sz w:val="24"/>
          <w:szCs w:val="24"/>
        </w:rPr>
      </w:pPr>
      <w:r>
        <w:rPr>
          <w:smallCaps w:val="0"/>
          <w:noProof/>
          <w:sz w:val="24"/>
          <w:szCs w:val="24"/>
        </w:rPr>
        <w:t>Strument ta’ Appoġġ għas-Solvenza</w:t>
      </w:r>
      <w:r>
        <w:rPr>
          <w:b w:val="0"/>
          <w:smallCaps w:val="0"/>
          <w:noProof/>
          <w:sz w:val="24"/>
          <w:szCs w:val="24"/>
        </w:rPr>
        <w:t xml:space="preserve"> ġdid se jimmobilizza riżorsi privati biex jipprovdi appoġġ urġenti lil kumpaniji li huma altrimenti b’saħħithom. L-investiment se jiġi gwidat lejn kumpaniji fis-setturi, fir-reġjuni u fil-pajjiżi l-aktar affettwati. Dan se jgħin biex jinħolqu kundizzjonijiet ekwi għal dawk l-Istati Membri li huma inqas kapaċi joffru sostenn permezz tal-għajnuna mill-Istat. Dan l-istrument jista’ jibda jaħdem mill-2020 u se jkollu baġit ta’ EUR 31 biljun, bil-għan li jimmobilizza aktar minn EUR 300 biljun f’appoġġ għas-solvenza. Se jiġu żviluppati linji gwida biex jgħinu lill-investimenti jiġu allinjati mal-prijoritajiet tal-UE.   </w:t>
      </w:r>
    </w:p>
    <w:p>
      <w:pPr>
        <w:pStyle w:val="Heading1"/>
        <w:numPr>
          <w:ilvl w:val="0"/>
          <w:numId w:val="25"/>
        </w:numPr>
        <w:rPr>
          <w:b w:val="0"/>
          <w:smallCaps w:val="0"/>
          <w:noProof/>
          <w:sz w:val="24"/>
          <w:szCs w:val="24"/>
        </w:rPr>
      </w:pPr>
      <w:r>
        <w:rPr>
          <w:b w:val="0"/>
          <w:smallCaps w:val="0"/>
          <w:noProof/>
          <w:sz w:val="24"/>
          <w:szCs w:val="24"/>
        </w:rPr>
        <w:t xml:space="preserve">Il-Kummissjoni qed tipproponi li </w:t>
      </w:r>
      <w:r>
        <w:rPr>
          <w:smallCaps w:val="0"/>
          <w:noProof/>
          <w:sz w:val="24"/>
          <w:szCs w:val="24"/>
        </w:rPr>
        <w:t>ttejjeb InvestEU</w:t>
      </w:r>
      <w:r>
        <w:rPr>
          <w:b w:val="0"/>
          <w:smallCaps w:val="0"/>
          <w:noProof/>
          <w:sz w:val="24"/>
          <w:szCs w:val="24"/>
        </w:rPr>
        <w:t>, il-programm ta’ investiment ewlieni tal-UE, billi aktar milli tirdoppja l-kapaċità tiegħu.</w:t>
      </w:r>
    </w:p>
    <w:p>
      <w:pPr>
        <w:pStyle w:val="Heading1"/>
        <w:numPr>
          <w:ilvl w:val="0"/>
          <w:numId w:val="25"/>
        </w:numPr>
        <w:rPr>
          <w:b w:val="0"/>
          <w:smallCaps w:val="0"/>
          <w:noProof/>
          <w:sz w:val="24"/>
          <w:szCs w:val="24"/>
        </w:rPr>
      </w:pPr>
      <w:r>
        <w:rPr>
          <w:b w:val="0"/>
          <w:smallCaps w:val="0"/>
          <w:noProof/>
          <w:sz w:val="24"/>
          <w:szCs w:val="24"/>
        </w:rPr>
        <w:t xml:space="preserve">Minbarra dan ta’ hawn fuq, se tinħoloq </w:t>
      </w:r>
      <w:r>
        <w:rPr>
          <w:smallCaps w:val="0"/>
          <w:noProof/>
          <w:sz w:val="24"/>
          <w:szCs w:val="24"/>
        </w:rPr>
        <w:t>Faċilità ta’ Investiment Strateġiku</w:t>
      </w:r>
      <w:r>
        <w:rPr>
          <w:b w:val="0"/>
          <w:smallCaps w:val="0"/>
          <w:noProof/>
          <w:sz w:val="24"/>
          <w:szCs w:val="24"/>
        </w:rPr>
        <w:t>, f'InvestEU. Din se tkun tista’ tisfrutta EUR 150 biljun ta’ investiment bis-saħħa tal-EUR 15-il biljun li se jitpoġġew fiha minn NextGenerationEU. Din se tinvesti fit-tisħiħ tal-awtonomija strateġika u r-reżiljenza tagħna fit-teknoloġiji ewlenin u l-katini ta’ valur kollha.</w:t>
      </w:r>
    </w:p>
    <w:p>
      <w:pPr>
        <w:pStyle w:val="Heading1"/>
        <w:numPr>
          <w:ilvl w:val="0"/>
          <w:numId w:val="0"/>
        </w:numPr>
        <w:ind w:left="482" w:hanging="482"/>
        <w:rPr>
          <w:b w:val="0"/>
          <w:smallCaps w:val="0"/>
          <w:noProof/>
          <w:sz w:val="24"/>
          <w:szCs w:val="24"/>
        </w:rPr>
      </w:pPr>
      <w:r>
        <w:rPr>
          <w:b w:val="0"/>
          <w:smallCaps w:val="0"/>
          <w:noProof/>
          <w:sz w:val="24"/>
          <w:szCs w:val="24"/>
        </w:rPr>
        <w:t xml:space="preserve">It-tielet pilastru huwa dwar li nisiltu </w:t>
      </w:r>
      <w:r>
        <w:rPr>
          <w:smallCaps w:val="0"/>
          <w:noProof/>
          <w:sz w:val="24"/>
          <w:szCs w:val="24"/>
        </w:rPr>
        <w:t>l-lezzjonijiet tal-kriżi</w:t>
      </w:r>
      <w:r>
        <w:rPr>
          <w:b w:val="0"/>
          <w:smallCaps w:val="0"/>
          <w:noProof/>
          <w:sz w:val="24"/>
          <w:szCs w:val="24"/>
        </w:rPr>
        <w:t>:</w:t>
      </w:r>
    </w:p>
    <w:p>
      <w:pPr>
        <w:pStyle w:val="Heading1"/>
        <w:numPr>
          <w:ilvl w:val="0"/>
          <w:numId w:val="26"/>
        </w:numPr>
        <w:tabs>
          <w:tab w:val="clear" w:pos="482"/>
          <w:tab w:val="left" w:pos="0"/>
        </w:tabs>
        <w:rPr>
          <w:b w:val="0"/>
          <w:smallCaps w:val="0"/>
          <w:noProof/>
          <w:sz w:val="24"/>
          <w:szCs w:val="24"/>
        </w:rPr>
      </w:pPr>
      <w:r>
        <w:rPr>
          <w:b w:val="0"/>
          <w:smallCaps w:val="0"/>
          <w:noProof/>
          <w:sz w:val="24"/>
          <w:szCs w:val="24"/>
        </w:rPr>
        <w:t xml:space="preserve">Il-Kummissjoni qed tipproponi li jinħoloq </w:t>
      </w:r>
      <w:r>
        <w:rPr>
          <w:bCs/>
          <w:smallCaps w:val="0"/>
          <w:noProof/>
          <w:sz w:val="24"/>
          <w:szCs w:val="24"/>
        </w:rPr>
        <w:t>Programm tas-Saħħa EU4Health indipendenti ġdid</w:t>
      </w:r>
      <w:r>
        <w:rPr>
          <w:b w:val="0"/>
          <w:smallCaps w:val="0"/>
          <w:noProof/>
          <w:sz w:val="24"/>
          <w:szCs w:val="24"/>
        </w:rPr>
        <w:t>, b’baġit ta’ EUR 9,4 biljun. Dan se jinvesti fil-prevenzjoni, fit-tħejjija għall-kriżijiet, fl-akkwist ta’ mediċini u tagħmir vitali, kif ukoll biex jitjiebu r-riżultati fit-tul fejn tidħol is-saħħa. Għadd ta’ programmi ewlenin oħra se jissaħħu sabiex jinsiltu l-lezzjonijiet mill-kriżi, b’mod partikolari r-rescEU u Orizzont Ewropa.</w:t>
      </w:r>
    </w:p>
    <w:p>
      <w:pPr>
        <w:pStyle w:val="Heading1"/>
        <w:numPr>
          <w:ilvl w:val="0"/>
          <w:numId w:val="26"/>
        </w:numPr>
        <w:tabs>
          <w:tab w:val="clear" w:pos="482"/>
          <w:tab w:val="left" w:pos="0"/>
        </w:tabs>
        <w:rPr>
          <w:b w:val="0"/>
          <w:smallCaps w:val="0"/>
          <w:noProof/>
          <w:sz w:val="24"/>
          <w:szCs w:val="24"/>
        </w:rPr>
      </w:pPr>
      <w:r>
        <w:rPr>
          <w:b w:val="0"/>
          <w:smallCaps w:val="0"/>
          <w:noProof/>
          <w:sz w:val="24"/>
          <w:szCs w:val="24"/>
        </w:rPr>
        <w:t xml:space="preserve">Biex </w:t>
      </w:r>
      <w:r>
        <w:rPr>
          <w:smallCaps w:val="0"/>
          <w:noProof/>
          <w:sz w:val="24"/>
          <w:szCs w:val="24"/>
        </w:rPr>
        <w:t>jiġu appoġġati aħjar is-sħab dinjija tagħna</w:t>
      </w:r>
      <w:r>
        <w:rPr>
          <w:b w:val="0"/>
          <w:smallCaps w:val="0"/>
          <w:noProof/>
          <w:sz w:val="24"/>
          <w:szCs w:val="24"/>
        </w:rPr>
        <w:t xml:space="preserve">, se jissaħħu kemm l-Istrument ta' Viċinat, ta' Kooperazzjoni għall-Iżvilupp u ta' Kooperazzjoni Internazzjonali kif ukoll l-Istrument għall-Għajnuna Umanitarja. </w:t>
      </w:r>
    </w:p>
    <w:p>
      <w:pPr>
        <w:pStyle w:val="Heading1"/>
        <w:numPr>
          <w:ilvl w:val="0"/>
          <w:numId w:val="0"/>
        </w:numPr>
        <w:rPr>
          <w:b w:val="0"/>
          <w:smallCaps w:val="0"/>
          <w:noProof/>
          <w:sz w:val="24"/>
          <w:szCs w:val="24"/>
        </w:rPr>
      </w:pPr>
      <w:r>
        <w:rPr>
          <w:b w:val="0"/>
          <w:smallCaps w:val="0"/>
          <w:noProof/>
          <w:sz w:val="24"/>
          <w:szCs w:val="24"/>
        </w:rPr>
        <w:t xml:space="preserve">Minbarra t-tliet pilastri tal-infiq permezz tal-Istrument ta’ Rkupru, il-Kummissjoni qed tipproponi wkoll li ssaħħaħ għadd ta’ programmi oħra fil-baġit tal-UE, meta mqabbla ma’ dak li kien ġie diskuss mill-Kunsill Ewropew fi Frar. Dawn jinkludu l-Politika Agrikola Komuni, il-Fond Ewropew għall-Affarijiet Marittimi u s-Sajd, il-Programm għas-Suq Uniku, u l-programmi li jappoġġaw il-kooperazzjoni dwar it-taxxa u d-dwana, il-Faċilità Nikkollegaw l-Ewropa, Erasmus+, il-Programm Ewropa Diġitali, il-Fond għas-Sigurtà Interna, il-Fond Ewropew għad-Difiża, il-Fond għall-Migrazzjoni u l-Ażil, il-Fond għall-Ġestjoni Integrata tal-Fruntieri u l-assistenza ta’ qabel l-adeżjoni. </w:t>
      </w:r>
    </w:p>
    <w:p>
      <w:pPr>
        <w:pStyle w:val="Heading1"/>
        <w:rPr>
          <w:noProof/>
          <w:sz w:val="24"/>
        </w:rPr>
      </w:pPr>
      <w:r>
        <w:rPr>
          <w:noProof/>
          <w:sz w:val="24"/>
        </w:rPr>
        <w:t xml:space="preserve">tiswija u tħejjija tal-ġenerazzjoni li jmiss: il-prinċipji fundamentali tal-politika </w:t>
      </w:r>
    </w:p>
    <w:p>
      <w:pPr>
        <w:pStyle w:val="Heading1"/>
        <w:numPr>
          <w:ilvl w:val="0"/>
          <w:numId w:val="0"/>
        </w:numPr>
        <w:rPr>
          <w:b w:val="0"/>
          <w:smallCaps w:val="0"/>
          <w:noProof/>
          <w:sz w:val="24"/>
          <w:szCs w:val="24"/>
        </w:rPr>
      </w:pPr>
      <w:r>
        <w:rPr>
          <w:smallCaps w:val="0"/>
          <w:noProof/>
          <w:sz w:val="24"/>
          <w:szCs w:val="24"/>
        </w:rPr>
        <w:t>Din il-kriżi li ħolqot ħafna tfixkil u tibdiliet hija l-ewwel u qabel kollox traġedja umana.</w:t>
      </w:r>
      <w:r>
        <w:rPr>
          <w:b w:val="0"/>
          <w:smallCaps w:val="0"/>
          <w:noProof/>
          <w:sz w:val="24"/>
          <w:szCs w:val="24"/>
        </w:rPr>
        <w:t xml:space="preserve"> Lil hinn mill-isforzi kontinwi biex tiġi indirizzata d-dimensjoni tas-saħħa, l-UE trid tagħti prijorità lid-dimensjoni soċjali, b’mod partikolari billi timplimenta l-Pilastru Ewropew tad-Drittijiet Soċjali. Irridu ninvestu fil-protezzjoni u l-ħolqien tal-impjiegi u nrawmu s-sostenibbiltà kompetittiva tagħna billi nibnu Ewropa aktar ġusta, aktar ekoloġika u aktar diġitali. Irridu nsewwu l-ħsara mill-kriżi fi żmien qasir b’mod li jinvesti wkoll fil-futur fit-tul tagħna. Biex dan jinkiseb, l-UE issa trid turi ċ-ċarezza fl-għanijiet tagħha u ċ-ċertezza tad-direzzjoni permezz tal-politiki tagħha. </w:t>
      </w:r>
    </w:p>
    <w:p>
      <w:pPr>
        <w:pStyle w:val="Heading2"/>
        <w:rPr>
          <w:b w:val="0"/>
          <w:i/>
          <w:noProof/>
          <w:sz w:val="24"/>
          <w:szCs w:val="24"/>
        </w:rPr>
      </w:pPr>
      <w:r>
        <w:rPr>
          <w:b w:val="0"/>
          <w:i/>
          <w:noProof/>
          <w:sz w:val="24"/>
          <w:szCs w:val="24"/>
        </w:rPr>
        <w:t>Il-Patt Ekoloġiku Ewropew: l-istrateġija tal-UE għat-tkabbir</w:t>
      </w:r>
    </w:p>
    <w:p>
      <w:pPr>
        <w:rPr>
          <w:noProof/>
        </w:rPr>
      </w:pPr>
      <w:r>
        <w:rPr>
          <w:noProof/>
        </w:rPr>
        <w:t xml:space="preserve">Il-Patt Ekoloġiku Ewropew huwa l-istrateġija tal-Ewropa għat-tkabbir. Biex niżguraw li nużawha fil-potenzjal kollu tagħha, huwa essenzjali li NextGenerationEU jmexxi s-sostenibbiltà kompetittiva tagħna. </w:t>
      </w:r>
      <w:r>
        <w:rPr>
          <w:b/>
          <w:noProof/>
        </w:rPr>
        <w:t>Jenħtieġ li l-investimenti pubbliċi fl-irkupru jirrispettaw il-ġurament ekoloġiku li “ma jagħmlu l-ebda ħsara”</w:t>
      </w:r>
      <w:r>
        <w:rPr>
          <w:noProof/>
        </w:rPr>
        <w:t xml:space="preserve">. Jenħtieġ li l-prijoritajiet identifikati fis-Semestru Ewropew, fil-Pjanijiet Nazzjonali dwar l-Enerġija u t-Tibdil fil-Klima (National Energy and Climate Change Plans, ECPs) u l-Pjanijiet ta’ Tranżizzjoni Ġusta jiggwidaw dan l-investiment. Il-linji gwida għall-investiment </w:t>
      </w:r>
      <w:r>
        <w:rPr>
          <w:b/>
          <w:noProof/>
        </w:rPr>
        <w:t>għall-Istrument ta’ Appoġġ għas-Solvenza</w:t>
      </w:r>
      <w:r>
        <w:rPr>
          <w:noProof/>
        </w:rPr>
        <w:t xml:space="preserve"> l-ġdid se jirriflettu wkoll il-ħtieġa li jiġu prijoritizzati l-investimenti ekoloġiċi. Dan se jkun appoġġat minn 25 % tal-baġit tal-UE li jintefaq fuq investimenti klimatiċi u finanzjament addizzjonali għal Orizzont Ewropa, li jirrifletti r-rwol kruċjali tar-riċerka u l-innovazzjoni biex titmexxa l-bidla lejn ekonomija nadifa, ċirkolari, kompetittiva u newtrali għall-klima. </w:t>
      </w:r>
    </w:p>
    <w:p>
      <w:pPr>
        <w:rPr>
          <w:noProof/>
        </w:rPr>
      </w:pPr>
      <w:r>
        <w:rPr>
          <w:noProof/>
        </w:rPr>
        <w:t xml:space="preserve">Iċ-ċertezza u l-prevedibbiltà fit-tul huma essenzjali biex l-investiment privat meħtieġ jiżblokka ruħu. Dan jaċċentwa l-importanza tal-Liġi dwar il-Klima u l-proposti li ġejjin għal </w:t>
      </w:r>
      <w:r>
        <w:rPr>
          <w:b/>
          <w:noProof/>
        </w:rPr>
        <w:t>miri aktar ambizzjużi għat-tnaqqis tal-emissjonijiet għall-2030</w:t>
      </w:r>
      <w:r>
        <w:rPr>
          <w:noProof/>
        </w:rPr>
        <w:t>. It-</w:t>
      </w:r>
      <w:r>
        <w:rPr>
          <w:b/>
          <w:noProof/>
        </w:rPr>
        <w:t>tassonomija ta’ finanzi sostenibbli</w:t>
      </w:r>
      <w:r>
        <w:rPr>
          <w:noProof/>
        </w:rPr>
        <w:t xml:space="preserve"> tal-UE se tiggwida l-investiment fl-irkupru tal-Ewropa biex tiżgura li jkunu konformi mal-ambizzjonijiet fit-tul tagħna. Din se tkun appoġġata permezz ta’ </w:t>
      </w:r>
      <w:r>
        <w:rPr>
          <w:b/>
          <w:noProof/>
        </w:rPr>
        <w:t>Strateġija Mġedda dwar il-Finanzjament Sostenibbli</w:t>
      </w:r>
      <w:r>
        <w:rPr>
          <w:noProof/>
        </w:rPr>
        <w:t xml:space="preserve"> aktar tard din is-sena. Sabiex jiġi żgurat li l-interessi ambjentali u soċjali jkunu kompletament inkorporati fl-istrateġiji tan-negozju, il-Kummissjoni se tippreżenta inizjattiva ġdida fl-2021 dwar </w:t>
      </w:r>
      <w:r>
        <w:rPr>
          <w:b/>
          <w:noProof/>
        </w:rPr>
        <w:t>il-governanza korporattiva sostenibbli</w:t>
      </w:r>
      <w:r>
        <w:rPr>
          <w:noProof/>
        </w:rPr>
        <w:t xml:space="preserve">. </w:t>
      </w:r>
    </w:p>
    <w:p>
      <w:pPr>
        <w:rPr>
          <w:noProof/>
        </w:rPr>
      </w:pPr>
      <w:r>
        <w:rPr>
          <w:noProof/>
        </w:rPr>
        <w:t xml:space="preserve">Jenħtieġ li dan l-investiment jgħin biex </w:t>
      </w:r>
      <w:r>
        <w:rPr>
          <w:b/>
          <w:noProof/>
        </w:rPr>
        <w:t>il-Patt Ekoloġiku Ewropew isir magna li toħloq l-impjiegi</w:t>
      </w:r>
      <w:r>
        <w:rPr>
          <w:noProof/>
        </w:rPr>
        <w:t>. L-ilħuq tal-miri eżistenti tal-2030 dwar il-klima u l-enerġija jista’ jżid 1 % tal-PDG u joħloq kważi miljun impjieg ekoloġiku ġdid. L-investiment f’</w:t>
      </w:r>
      <w:r>
        <w:rPr>
          <w:b/>
          <w:noProof/>
        </w:rPr>
        <w:t>ekonomija aktar ċirkolari</w:t>
      </w:r>
      <w:r>
        <w:rPr>
          <w:noProof/>
        </w:rPr>
        <w:t xml:space="preserve"> għandu l-potenzjal li joħloq ta’ mill-inqas 700 000 impjieg ġdid sal-2030 fl-Ewropa u tgħin lill-UE tnaqqas id-dipendenza fuq fornituri esterni u żżid ir-reżiljenza tagħha għal problemi ta’ provvista dinjija. </w:t>
      </w:r>
    </w:p>
    <w:p>
      <w:pPr>
        <w:rPr>
          <w:noProof/>
        </w:rPr>
      </w:pPr>
      <w:r>
        <w:rPr>
          <w:noProof/>
        </w:rPr>
        <w:t>Barra milli jipprovdi ċertezza fit-tul, l-irkupru ekoloġiku jrid jgħin ukoll biex tingħata spinta lill-ekonomija tal-Ewropa u fil-livell lokali malajr. Il-</w:t>
      </w:r>
      <w:r>
        <w:rPr>
          <w:b/>
          <w:noProof/>
        </w:rPr>
        <w:t>Mewġa ta’ Rinnovazzjoni</w:t>
      </w:r>
      <w:r>
        <w:rPr>
          <w:noProof/>
        </w:rPr>
        <w:t xml:space="preserve"> li ġejja se tiffoka fuq il-ħolqien ta’ impjiegi fil-kostruzzjoni, ir-rinnovazzjoni u industriji oħrajn li jirrikjedu ħafna ħaddiema. Permezz ta’ appoġġ regolatorju u finanzjarju, bħal </w:t>
      </w:r>
      <w:r>
        <w:rPr>
          <w:b/>
          <w:noProof/>
        </w:rPr>
        <w:t>sezzjoni tal-infrastruttura sostenibbli b’daqs irduppjat fl-InvestEU</w:t>
      </w:r>
      <w:r>
        <w:rPr>
          <w:noProof/>
        </w:rPr>
        <w:t xml:space="preserve">, l-għan se jkun li r-rata ta’ rinnovazzjoni tal-inqas tirdoppja r-rata ta’ rinnovazzjoni annwali tal-istokk tal-bini eżistenti. L-Istati Membri se jkunu jistgħu jużaw ukoll fondi mill-Faċilità għall-Irkupru u r-Reżiljenza għal dan l-għan, f’konformità mal-prijoritajiet identifikati fis-Semestru Ewropew jew fl-NECPs. Dan se jgħin biex jiġu ffrankati l-flus fuq il-kontijiet tal-enerġija, jipprovdi kundizzjonijiet ta’ għajxien aktar tajbin għas-saħħa u jnaqqas il-faqar enerġetiku. </w:t>
      </w:r>
    </w:p>
    <w:p>
      <w:pPr>
        <w:rPr>
          <w:noProof/>
        </w:rPr>
      </w:pPr>
      <w:r>
        <w:rPr>
          <w:noProof/>
        </w:rPr>
        <w:t xml:space="preserve">Fl-istess spirtu, il-Kummissjoni se tiffoka wkoll fuq </w:t>
      </w:r>
      <w:r>
        <w:rPr>
          <w:b/>
          <w:noProof/>
        </w:rPr>
        <w:t>l-iżblokkar tal-investiment fit-teknoloġiji nodfa u fil-ktajjen tal-valur</w:t>
      </w:r>
      <w:r>
        <w:rPr>
          <w:noProof/>
        </w:rPr>
        <w:t xml:space="preserve">, b’mod partikolari permezz ta’ finanzjament addizzjonali għal Orizzont Ewropa. Il-Faċilità ġdida ta’ Investiment Strateġiku se tinvesti fit-teknoloġiji ewlenin għat-tranżizzjoni lejn enerġija nadifa, bħat-teknoloġiji rinnovabbli u ta’ ħżin tal-enerġija, l-idroġenu nadif, il-batteriji, il-qbid u l-ħżin tal-karbonju u l-infrastruttura tal-enerġija sostenibbli. Il-ħidma tal-Alleanza Ewropea tal-Batteriji se tiġi aċċellerata u </w:t>
      </w:r>
      <w:r>
        <w:rPr>
          <w:b/>
          <w:noProof/>
        </w:rPr>
        <w:t>l-Istrateġija u l-Alleanza l-ġdida dwar l-Idroġenu Nadif</w:t>
      </w:r>
      <w:r>
        <w:rPr>
          <w:noProof/>
        </w:rPr>
        <w:t xml:space="preserve"> se tidderieġi u tikkoordina t-tkabbir rapidu tal-produzzjoni u l-użu tal-idroġenu nadif fl-Ewropa. Il-Kummissjoni se tagħmel ukoll proposti biex tagħti spinta lill-użu tal-enerġija rinnovabbli offshore u biex tintegra aħjar is-sistema tal-enerġija. </w:t>
      </w:r>
    </w:p>
    <w:p>
      <w:pPr>
        <w:rPr>
          <w:noProof/>
          <w:color w:val="000000" w:themeColor="text1"/>
        </w:rPr>
      </w:pPr>
      <w:r>
        <w:rPr>
          <w:noProof/>
        </w:rPr>
        <w:t xml:space="preserve">Il-kriżi wriet ukoll ir-rwol kruċjali li għandu t-trasport, b’rotot tat-trasport u loġistiċi interrotti bejn il-modi kollha li jolqtu l-ktajjen tal-valur u l-ekonomiji tagħna. Biex jinħolqu aktar impjiegi, se jkun hemm ukoll enfasi fuq l-aċċellerazzjoni tal-produzzjoni u l-użu ta’ </w:t>
      </w:r>
      <w:r>
        <w:rPr>
          <w:b/>
          <w:noProof/>
        </w:rPr>
        <w:t>vetturi u bastimenti sostenibbli</w:t>
      </w:r>
      <w:r>
        <w:rPr>
          <w:noProof/>
        </w:rPr>
        <w:t xml:space="preserve"> kif ukoll </w:t>
      </w:r>
      <w:r>
        <w:rPr>
          <w:b/>
          <w:noProof/>
        </w:rPr>
        <w:t>fjuwils alternattivi</w:t>
      </w:r>
      <w:r>
        <w:rPr>
          <w:noProof/>
        </w:rPr>
        <w:t xml:space="preserve">. Il-Faċilità Nikkollegaw l-Ewropa, InvestEU u fondi oħra se jappoġġaw il-finanzjament tal-installazzjoni ta’ </w:t>
      </w:r>
      <w:r>
        <w:rPr>
          <w:b/>
          <w:noProof/>
        </w:rPr>
        <w:t>miljun punt tal-iċċarġjar</w:t>
      </w:r>
      <w:r>
        <w:rPr>
          <w:noProof/>
        </w:rPr>
        <w:t>, tiġdid ta’ flotta nadifa mill-bliet u l-kumpaniji, infrastruttura tat-trasport sostenibbli u jippermettu l-qalba lejn mobbiltà urbana nadifa. Jenħtieġ li l-investiment pubbliku biex jibda l-irkupru tas-settur tat-trasport jiġi b’impenn mill-industrija li tinvesti f’mobilità aktar nadifa u aktar sostenibbli.</w:t>
      </w:r>
      <w:r>
        <w:rPr>
          <w:noProof/>
          <w:color w:val="000000" w:themeColor="text1"/>
        </w:rPr>
        <w:t xml:space="preserve"> </w:t>
      </w:r>
    </w:p>
    <w:p>
      <w:pPr>
        <w:rPr>
          <w:noProof/>
          <w:color w:val="000000" w:themeColor="text1"/>
        </w:rPr>
      </w:pPr>
      <w:r>
        <w:rPr>
          <w:noProof/>
          <w:color w:val="000000" w:themeColor="text1"/>
        </w:rPr>
        <w:t xml:space="preserve">Il-protezzjoni u r-ritorn tal-bijodiversità u tal-ekosistemi naturali huma essenzjali biex tingħata spinta lir-reżiljenza tagħna u biex jiġu evitati t-tfaċċar u t-tixrid ta’ tifqigħat futuri. Dan jerġa’ jirdoppja l-importanza </w:t>
      </w:r>
      <w:r>
        <w:rPr>
          <w:b/>
          <w:noProof/>
          <w:color w:val="000000" w:themeColor="text1"/>
        </w:rPr>
        <w:t>tal-Istrateġija tal-UE għall-Bijodiversità għall-2030</w:t>
      </w:r>
      <w:r>
        <w:rPr>
          <w:noProof/>
          <w:color w:val="000000" w:themeColor="text1"/>
        </w:rPr>
        <w:t xml:space="preserve"> li kienet adottata reċentement u l-Istrateġija tal-UE li jmiss għall-Foresti. Permezz tal-InvestEU, kapital naturali ġdid u inizjattiva tal-ekonomija ċirkolari se jimmobilizzaw mill-inqas EUR 10 biljun tul l-10 snin li ġejjin.</w:t>
      </w:r>
    </w:p>
    <w:p>
      <w:pPr>
        <w:rPr>
          <w:noProof/>
          <w:color w:val="000000" w:themeColor="text1"/>
        </w:rPr>
      </w:pPr>
      <w:r>
        <w:rPr>
          <w:noProof/>
          <w:color w:val="000000" w:themeColor="text1"/>
        </w:rPr>
        <w:t xml:space="preserve">Il-politika Agrikola Komuni u l-Istrateġija Mill-Għalqa sal-Platt se </w:t>
      </w:r>
      <w:r>
        <w:rPr>
          <w:b/>
          <w:noProof/>
          <w:color w:val="000000" w:themeColor="text1"/>
        </w:rPr>
        <w:t>jappoġġaw il-bdiewa u s-settur agrikolu tagħna biex jirnexxu</w:t>
      </w:r>
      <w:r>
        <w:rPr>
          <w:noProof/>
          <w:color w:val="000000" w:themeColor="text1"/>
        </w:rPr>
        <w:t xml:space="preserve"> u jkomplu jipprovdulna l-ikel affordabbli, nutrittiv, sikur u sostenibbli li neħtieġu, filwaqt li jsaħħu l-ktajjen tal-provvista tagħna u jindirizzaw il-kwistjonijiet esposti waqt il-kriżi. Minħabba r-rwol vitali tal-bdiewa u ż-żoni rurali fit-tranżizzjoni ekoloġika, il-Kummissjoni llum qed tipproponi li ssaħħaħ il-baġit </w:t>
      </w:r>
      <w:r>
        <w:rPr>
          <w:b/>
          <w:noProof/>
          <w:color w:val="000000" w:themeColor="text1"/>
        </w:rPr>
        <w:t>tal-Fond Agrikolu Ewropew għall-Iżvilupp Rurali</w:t>
      </w:r>
      <w:r>
        <w:rPr>
          <w:noProof/>
          <w:color w:val="000000" w:themeColor="text1"/>
        </w:rPr>
        <w:t xml:space="preserve"> bi EUR 15-il biljun. </w:t>
      </w:r>
    </w:p>
    <w:p>
      <w:pPr>
        <w:rPr>
          <w:noProof/>
          <w:color w:val="FF0000"/>
        </w:rPr>
      </w:pPr>
      <w:r>
        <w:rPr>
          <w:noProof/>
        </w:rPr>
        <w:t xml:space="preserve">Ħafna nies, reġjuni u setturi li ntlaqtu l-agħar mill-kriżi se jkollhom ukoll jagħmlu bidla akbar minn dik tal-biċċa l-kbira. Għalhekk il-Kummissjoni llum qed tipproponi li ssaħħaħ </w:t>
      </w:r>
      <w:r>
        <w:rPr>
          <w:b/>
          <w:noProof/>
        </w:rPr>
        <w:t>il-Fond ta’ Tranżizzjoni Ġusta</w:t>
      </w:r>
      <w:r>
        <w:rPr>
          <w:noProof/>
        </w:rPr>
        <w:t xml:space="preserve"> b’ammont addizzjonali ta’ EUR 32,5 biljun. Dan il-finanzjament se jintuża biex itaffi l-impatti soċjoekonomiċi tat-tranżizzjoni, jappoġġa t-tagħlim ta’ ħiliet ġodda, jgħin lill-SMEs joħolqu opportunitajiet ekonomiċi ġodda, u jinvesti fit-tranżizzjoni lejn enerġija nadifa. Il-Kummissjoni qed tagħmel ukoll proposti biex tistabbilixxi faċilità ġdida ta’ self għas-settur pubbliku li tifforma t-tielet pilastru tal-Mekkaniżmu ta’ Tranżizzjoni Ġusta. Dan se jkun appoġġat minn EUR 1,5 biljun mill-baġit tal-UE u EUR 10 biljun f’self mill-Bank Ewropew tal-Investiment.</w:t>
      </w:r>
    </w:p>
    <w:p>
      <w:pPr>
        <w:pStyle w:val="Heading2"/>
        <w:numPr>
          <w:ilvl w:val="1"/>
          <w:numId w:val="23"/>
        </w:numPr>
        <w:rPr>
          <w:b w:val="0"/>
          <w:i/>
          <w:noProof/>
          <w:sz w:val="24"/>
          <w:szCs w:val="24"/>
        </w:rPr>
      </w:pPr>
      <w:r>
        <w:rPr>
          <w:b w:val="0"/>
          <w:i/>
          <w:noProof/>
          <w:sz w:val="24"/>
          <w:szCs w:val="24"/>
        </w:rPr>
        <w:t xml:space="preserve">Suq uniku aktar fond u aktar diġitali </w:t>
      </w:r>
    </w:p>
    <w:p>
      <w:pPr>
        <w:rPr>
          <w:noProof/>
        </w:rPr>
      </w:pPr>
      <w:r>
        <w:rPr>
          <w:noProof/>
        </w:rPr>
        <w:t xml:space="preserve">Il-pandemija u l-konsegwenzi tagħha fuq ħajjitna u fuq l-ekonomiji tagħna enfasizzaw l-importanza tad-diġitalizzazzjoni fl-oqsma kollha tal-ekonomija u s-soċjetà tal-UE. It-teknoloġiji l-ġodda żammew in-negozji u s-servizzi pubbliċi tagħna għaddejjin, u żguraw li l-kummerċ seta’ jkompli. Għenuna lkoll nibqgħu konnessi, naħdmu mill-bogħod u nsostnu t-tagħlim tat-tfal tagħna. </w:t>
      </w:r>
    </w:p>
    <w:p>
      <w:pPr>
        <w:rPr>
          <w:noProof/>
        </w:rPr>
      </w:pPr>
      <w:r>
        <w:rPr>
          <w:noProof/>
        </w:rPr>
        <w:t xml:space="preserve">Fuq medda twila ta’ żmien, dan x’aktarx li jiskatta bidliet permanenti u strutturali fil-ħajja soċjetali u ekonomika: aktar xogħol mid-dar, tagħlim elettroniku, kummerċ elettroniku, gvern elettroniku. Dan jenfasizza l-potenzjal li tiġi żviluppata e-ID — </w:t>
      </w:r>
      <w:r>
        <w:rPr>
          <w:b/>
          <w:noProof/>
        </w:rPr>
        <w:t>identità elettronika pubblika</w:t>
      </w:r>
      <w:r>
        <w:rPr>
          <w:noProof/>
        </w:rPr>
        <w:t xml:space="preserve"> — aċċettata b’mod universali biex tippermetti aċċess sempliċi, fdat u sikur għal servizzi pubbliċi diġitali transfruntiera.</w:t>
      </w:r>
    </w:p>
    <w:p>
      <w:pPr>
        <w:rPr>
          <w:noProof/>
        </w:rPr>
      </w:pPr>
      <w:r>
        <w:rPr>
          <w:b/>
          <w:noProof/>
        </w:rPr>
        <w:t>Erba’ elementi se jkunu kruċjali għal irkupru diġitali</w:t>
      </w:r>
      <w:r>
        <w:rPr>
          <w:noProof/>
        </w:rPr>
        <w:t>, u se jgħinu biex tiġi stimulata l-innovazzjoni kompetittiva u biex l-utenti jingħataw għażla akbar.</w:t>
      </w:r>
    </w:p>
    <w:p>
      <w:pPr>
        <w:rPr>
          <w:noProof/>
        </w:rPr>
      </w:pPr>
      <w:r>
        <w:rPr>
          <w:noProof/>
        </w:rPr>
        <w:t xml:space="preserve">L-ewwel nett, se jkollna bżonn </w:t>
      </w:r>
      <w:r>
        <w:rPr>
          <w:b/>
          <w:noProof/>
        </w:rPr>
        <w:t>ninvestu f’aktar konnettività u f’konnettività aħjar</w:t>
      </w:r>
      <w:r>
        <w:rPr>
          <w:noProof/>
        </w:rPr>
        <w:t xml:space="preserve">. It-tiftiħ rapidu tal-5G se jkollu effetti konsegwenzjali fuq is-soċjetà diġitali kollha u se jżid l-awtonomija strateġika tal-Ewropa. Dan se jappoġġa sforzi usa’ biex tinbena infrastruttura li tista’ tittratta proċessi u applikazzjonijiet emerġenti u futuri. Huwa se jipprovdi wkoll il-wisa’ tal-banda meħtieġa għas-saħħa, l-edukazzjoni, it-trasport, il-loġistika u l-midja li huma essenzjali għar-reżiljenza, il-kompetittività u l-irkupru ekonomiku tagħna.  </w:t>
      </w:r>
    </w:p>
    <w:p>
      <w:pPr>
        <w:rPr>
          <w:noProof/>
        </w:rPr>
      </w:pPr>
      <w:r>
        <w:rPr>
          <w:noProof/>
        </w:rPr>
        <w:t xml:space="preserve">It-tieni, se jkollna bżonn </w:t>
      </w:r>
      <w:r>
        <w:rPr>
          <w:b/>
          <w:noProof/>
        </w:rPr>
        <w:t>preżenza industrijali u teknoloġika aktar qawwija</w:t>
      </w:r>
      <w:r>
        <w:rPr>
          <w:noProof/>
        </w:rPr>
        <w:t xml:space="preserve"> f’partijiet strateġiċi tal-katina tal-provvista diġitali. Hekk kif sar ċar kemm huma importanti l-konnettività u t-teknoloġiji diġitali, aħna mfakkra wkoll dwar l-importanza tas-sigurtà tat-teknoloġija. Dan jafferma mill-ġdid il-ħtieġa li l-Ewropa jkollha sovranità fuq it-teknoloġija fejn hija importanti, kif ukoll li l-kummerċ miftuħ u l-fluss tal-innovazzjoni jibqgħu għaddejjin. </w:t>
      </w:r>
    </w:p>
    <w:p>
      <w:pPr>
        <w:rPr>
          <w:noProof/>
        </w:rPr>
      </w:pPr>
      <w:r>
        <w:rPr>
          <w:noProof/>
        </w:rPr>
        <w:t xml:space="preserve">F’dan l-ispirtu, l-investiment ta’ rkupru se jiġi dirett lejn </w:t>
      </w:r>
      <w:r>
        <w:rPr>
          <w:b/>
          <w:noProof/>
        </w:rPr>
        <w:t>il-kapaċitajiet diġitali strateġiċi</w:t>
      </w:r>
      <w:r>
        <w:rPr>
          <w:noProof/>
        </w:rPr>
        <w:t>, fosthom l-intelliġenza artifiċjali, iċ-ċibersigurtà, il-komunikazzjoni sigura, l-infrastruttura tad-</w:t>
      </w:r>
      <w:r>
        <w:rPr>
          <w:i/>
          <w:noProof/>
        </w:rPr>
        <w:t>data</w:t>
      </w:r>
      <w:r>
        <w:rPr>
          <w:noProof/>
        </w:rPr>
        <w:t xml:space="preserve"> u l-cloud, in-networks 5G u 6G, is-superkompjuters, il-quantum u l-blockchain. Din se tkun prijorità fil-Faċilità għall-Irkupru u r-Reżiljenza, l-InvestEU u l-Faċilità ta’ Investiment Strateġiku. Il-linji gwida għall-investiment għall-Istrument ta’ Appoġġ għas-Solvenza l-ġdid se jirriflettu wkoll il-ħtieġa li jiġu prijoritizzati l-investimenti diġitali. Dan se jgħin ukoll biex jitnaqqas id-distakk diġitali tal-Ewropa, li beda jidher aktar matul il-kriżi.</w:t>
      </w:r>
    </w:p>
    <w:p>
      <w:pPr>
        <w:rPr>
          <w:noProof/>
        </w:rPr>
      </w:pPr>
      <w:r>
        <w:rPr>
          <w:noProof/>
        </w:rPr>
        <w:t xml:space="preserve">It-tielet, irridu nibnu </w:t>
      </w:r>
      <w:r>
        <w:rPr>
          <w:b/>
          <w:noProof/>
        </w:rPr>
        <w:t>ekonomija tad-</w:t>
      </w:r>
      <w:r>
        <w:rPr>
          <w:b/>
          <w:i/>
          <w:noProof/>
        </w:rPr>
        <w:t>data</w:t>
      </w:r>
      <w:r>
        <w:rPr>
          <w:b/>
          <w:noProof/>
        </w:rPr>
        <w:t xml:space="preserve"> reali</w:t>
      </w:r>
      <w:r>
        <w:rPr>
          <w:noProof/>
        </w:rPr>
        <w:t xml:space="preserve"> bħala mutur għall-innovazzjoni u l-ħolqien tal-impjiegi.  Id-</w:t>
      </w:r>
      <w:r>
        <w:rPr>
          <w:i/>
          <w:noProof/>
        </w:rPr>
        <w:t>data</w:t>
      </w:r>
      <w:r>
        <w:rPr>
          <w:noProof/>
        </w:rPr>
        <w:t xml:space="preserve"> toffri opportunitajiet għan-negozji biex jiżviluppaw prodotti u servizzi. Biex jagħmlu l-aħjar użu minn dan, neħtieġu </w:t>
      </w:r>
      <w:r>
        <w:rPr>
          <w:b/>
          <w:noProof/>
        </w:rPr>
        <w:t>spazji komuni Ewropej tad-</w:t>
      </w:r>
      <w:r>
        <w:rPr>
          <w:b/>
          <w:i/>
          <w:noProof/>
        </w:rPr>
        <w:t>data</w:t>
      </w:r>
      <w:r>
        <w:rPr>
          <w:b/>
          <w:noProof/>
        </w:rPr>
        <w:t xml:space="preserve"> f’setturi u oqsma ewlenin</w:t>
      </w:r>
      <w:r>
        <w:rPr>
          <w:noProof/>
        </w:rPr>
        <w:t xml:space="preserve">, inkluż b’appoġġ għall-industrija Ewropea, l-implimentazzjoni tal-Patt Ekoloġiku Ewropew, is-saħħa, il-mobilità u l-amministrazzjoni pubblika. </w:t>
      </w:r>
    </w:p>
    <w:p>
      <w:pPr>
        <w:rPr>
          <w:noProof/>
        </w:rPr>
      </w:pPr>
      <w:r>
        <w:rPr>
          <w:noProof/>
        </w:rPr>
        <w:t xml:space="preserve">Biex dan kollu jsir, il-Kummissjoni se tippreżenta azzjoni leġiżlattiva dwar </w:t>
      </w:r>
      <w:r>
        <w:rPr>
          <w:b/>
          <w:noProof/>
        </w:rPr>
        <w:t>il-qsim tad-</w:t>
      </w:r>
      <w:r>
        <w:rPr>
          <w:b/>
          <w:i/>
          <w:noProof/>
        </w:rPr>
        <w:t>data</w:t>
      </w:r>
      <w:r>
        <w:rPr>
          <w:b/>
          <w:noProof/>
        </w:rPr>
        <w:t xml:space="preserve"> u l-governanza</w:t>
      </w:r>
      <w:r>
        <w:rPr>
          <w:noProof/>
        </w:rPr>
        <w:t xml:space="preserve"> biex tgħin biex jiġu implimentati l-istrutturi t-tajba biex tiġi mmaniġġata l-kondiviżjoni tad-</w:t>
      </w:r>
      <w:r>
        <w:rPr>
          <w:i/>
          <w:noProof/>
        </w:rPr>
        <w:t>data</w:t>
      </w:r>
      <w:r>
        <w:rPr>
          <w:noProof/>
        </w:rPr>
        <w:t xml:space="preserve"> fost l-Istati Membri u s-setturi, jiġu indirizzati l-ostakli għall-kummerċ diġitali u tagħmel l-Ewropa adatta u kapaċi tikkompeti fil-21 ekonomija dinjija. Dan se jiffaċilita t-twaqqif ta’ spazji komuni tad-</w:t>
      </w:r>
      <w:r>
        <w:rPr>
          <w:i/>
          <w:noProof/>
        </w:rPr>
        <w:t>data</w:t>
      </w:r>
      <w:r>
        <w:rPr>
          <w:noProof/>
        </w:rPr>
        <w:t xml:space="preserve"> u jsaħħaħ il-governanza dwar kwistjonijiet bħall-portabbiltà tad-</w:t>
      </w:r>
      <w:r>
        <w:rPr>
          <w:i/>
          <w:noProof/>
        </w:rPr>
        <w:t>data</w:t>
      </w:r>
      <w:r>
        <w:rPr>
          <w:noProof/>
        </w:rPr>
        <w:t xml:space="preserve"> jew l-aċċess għaliha. Dan se jiġi segwit minn</w:t>
      </w:r>
      <w:r>
        <w:rPr>
          <w:b/>
          <w:noProof/>
        </w:rPr>
        <w:t xml:space="preserve"> Att dwar id-</w:t>
      </w:r>
      <w:r>
        <w:rPr>
          <w:b/>
          <w:i/>
          <w:noProof/>
        </w:rPr>
        <w:t>Data</w:t>
      </w:r>
      <w:r>
        <w:rPr>
          <w:noProof/>
        </w:rPr>
        <w:t>, li se jistabbilixxi l-kundizzjonijiet għal aċċess aħjar u kontroll aħjar tad-</w:t>
      </w:r>
      <w:r>
        <w:rPr>
          <w:i/>
          <w:noProof/>
        </w:rPr>
        <w:t>data</w:t>
      </w:r>
      <w:r>
        <w:rPr>
          <w:noProof/>
        </w:rPr>
        <w:t xml:space="preserve"> industrijali. Il-Kummissjoni se tipproponi wkoll li s-settijiet tad-</w:t>
      </w:r>
      <w:r>
        <w:rPr>
          <w:i/>
          <w:noProof/>
        </w:rPr>
        <w:t>data</w:t>
      </w:r>
      <w:r>
        <w:rPr>
          <w:noProof/>
        </w:rPr>
        <w:t xml:space="preserve"> ta’ valur għoli tal-gvern jkunu disponibbli għall-ġid komuni permezz ta’ aċċess aktar miftuħ għar-riċerka, l-innovazzjoni u l-SMEs.</w:t>
      </w:r>
    </w:p>
    <w:p>
      <w:pPr>
        <w:rPr>
          <w:noProof/>
        </w:rPr>
      </w:pPr>
      <w:r>
        <w:rPr>
          <w:noProof/>
        </w:rPr>
        <w:t xml:space="preserve">Ir-raba’ element huwa l-ħtieġa għal </w:t>
      </w:r>
      <w:r>
        <w:rPr>
          <w:b/>
          <w:noProof/>
        </w:rPr>
        <w:t>ambjent kummerċjali aktar ġust u aktar faċli</w:t>
      </w:r>
      <w:r>
        <w:rPr>
          <w:noProof/>
        </w:rPr>
        <w:t>. Il-lockdown estiż ta spinta lix-xiri mill-internet u lill-mudelli ta’ negozju online. Din ix-xejra tista’ biss taċċellera fix-xhur u s-snin li ġejjin, b’aktar kumpaniji jaqilbu għad-diġitali biex jagħmlu n-negozju. Madankollu, l-ambjent online bħalissa huwa ddominat minn għadd ta’ pjattaformi kbar. Il-pożizzjoni tagħhom — u l-aċċess akbar tagħhom għal riżorsi ewlenin tad-</w:t>
      </w:r>
      <w:r>
        <w:rPr>
          <w:i/>
          <w:noProof/>
        </w:rPr>
        <w:t>data</w:t>
      </w:r>
      <w:r>
        <w:rPr>
          <w:noProof/>
        </w:rPr>
        <w:t xml:space="preserve"> — għandha impatt fuq il-kapaċità tal-kumpaniji Ewropej iżgħar li jiftħu, jespandu jew jagħmlu l-aħjar użu mis-Suq Uniku. </w:t>
      </w:r>
    </w:p>
    <w:p>
      <w:pPr>
        <w:rPr>
          <w:noProof/>
        </w:rPr>
      </w:pPr>
      <w:r>
        <w:rPr>
          <w:noProof/>
        </w:rPr>
        <w:t>Dawn il-kwistjonijiet iridu jiġu indirizzati jekk l-Ewropa trid tagħmel l-aħjar użu mill-irkupru diġitali. F’dan l-ispirtu, wieħed mill-għanijiet tal-</w:t>
      </w:r>
      <w:r>
        <w:rPr>
          <w:b/>
          <w:noProof/>
        </w:rPr>
        <w:t>Att dwar is-Servizzi Diġitali</w:t>
      </w:r>
      <w:r>
        <w:rPr>
          <w:noProof/>
        </w:rPr>
        <w:t xml:space="preserve"> se jkun li jtejjeb il-qafas ġuridiku għas-servizzi diġitali, b’regoli ċari għall-pjattaformi online. Dan se joffri sigurtà akbar għall-konsumaturi online, jipprevjeni l-abbuż tas-saħħa fis-suq mill-pjattaformi u jiżgura suq ġust b’opportunitajiet indaqs għal negozji iżgħar. </w:t>
      </w:r>
    </w:p>
    <w:p>
      <w:pPr>
        <w:rPr>
          <w:noProof/>
        </w:rPr>
      </w:pPr>
      <w:r>
        <w:rPr>
          <w:noProof/>
        </w:rPr>
        <w:t>Irridu niffukaw ukoll fuq it-tnaqqis tal-piż amministrattiv u nagħmluha eħfef għall-kumpaniji, speċjalment l-SMEs, biex jużaw għodod diġitali, bħall-firma elettronika. Huma jeħtieġu appoġġ biex ikollhom aċċess aktar faċli għad-</w:t>
      </w:r>
      <w:r>
        <w:rPr>
          <w:i/>
          <w:noProof/>
        </w:rPr>
        <w:t>data</w:t>
      </w:r>
      <w:r>
        <w:rPr>
          <w:noProof/>
        </w:rPr>
        <w:t xml:space="preserve"> u biex inaqqsu l-burokrazija permezz ta’ soluzzjonijiet diġitali, pereżempju għall-kuntratti. Jenħtieġ li jiġu mħeġġa l-użu ta’ ħwienet li jappoġġaw il-punti uniċi ta’ servizz ta’ appoġġ u s-simplifikazzjoni tal-proċeduri amministrattivi online. </w:t>
      </w:r>
    </w:p>
    <w:p>
      <w:pPr>
        <w:rPr>
          <w:noProof/>
        </w:rPr>
      </w:pPr>
      <w:r>
        <w:rPr>
          <w:noProof/>
        </w:rPr>
        <w:t xml:space="preserve">Id-diġitalizzazzjoni tal-akkwist pubbliku, inkluż permezz tal-iżvilupp ta’ </w:t>
      </w:r>
      <w:r>
        <w:rPr>
          <w:b/>
          <w:noProof/>
        </w:rPr>
        <w:t>sistemi u pjattaformi nazzjonali tal-akkwist elettroniku</w:t>
      </w:r>
      <w:r>
        <w:rPr>
          <w:noProof/>
        </w:rPr>
        <w:t xml:space="preserve">, se tingħata prijorità. Dan se jkun appoġġat mill-implimentazzjoni sħiħa tal-pakkett tal-liġi tal-kumpaniji biex jiġu ffaċilitati d-diġitalizzazzjoni u l-mobilità tal-kumpaniji u tal-portal diġitali uniku. </w:t>
      </w:r>
    </w:p>
    <w:p>
      <w:pPr>
        <w:rPr>
          <w:noProof/>
        </w:rPr>
      </w:pPr>
      <w:r>
        <w:rPr>
          <w:noProof/>
        </w:rPr>
        <w:t>Matul l-aħħar ġimgħat rajna wkoll żieda straordinarja f’attakki malizzjużi minn diversi sorsi, li pprovaw jikkapitalizzaw mit-tfixkil ikkawżat mill-pandemija għal raġunijiet kriminali jew ġeopolitiċi. It-titjib tal-kapaċitajiet diġitali tal-infurzar tal-liġi se jippreserva l-kapaċità tagħhom li jipproteġu liċ-ċittadini b’mod effettiv. Id-diġitalizzazzjoni tas-sistemi ġudizzjarji tista’ ttejjeb l-aċċess għall-ġustizzja u l-operat tal-ambjent tan-negozju.</w:t>
      </w:r>
    </w:p>
    <w:p>
      <w:pPr>
        <w:rPr>
          <w:noProof/>
        </w:rPr>
      </w:pPr>
      <w:r>
        <w:rPr>
          <w:b/>
          <w:noProof/>
        </w:rPr>
        <w:t>Strateġija taċ-Ċibersigurtà</w:t>
      </w:r>
      <w:r>
        <w:rPr>
          <w:noProof/>
        </w:rPr>
        <w:t xml:space="preserve"> ġdida se tħares lejn kif tista’ tingħata spinta lill-kooperazzjoni, lill-għarfien u lill-kapaċità fil-livell tal-UE. Dan se jgħin ukoll biex l-Ewropa ssaħħaħ il-kapaċitajiet industrijali u s-sħubijiet tagħha, u tħeġġeġ il-ħolqien ta’ SMEs f’dan il-qasam. Dan ser jakkumpanja r-reviżjoni tad-Direttiva dwar is-sigurtà tan-networks u tas-sistemi tal-informazzjoni u proposta għal miżuri addizzjonali dwar il-Ħarsien tal-Infrastruttura Kritika. Flimkien mal-ħidma li għaddejja dwar iċ-ċibersigurtà bħala parti mill-Unjoni tas-Sigurtà tal-UE, dan sr jżid il-kapaċitajiet fl-Istati Membri u jsaħħaħ iċ-ċibersigurtà globali tal-UE.</w:t>
      </w:r>
    </w:p>
    <w:p>
      <w:pPr>
        <w:pStyle w:val="Heading2"/>
        <w:numPr>
          <w:ilvl w:val="1"/>
          <w:numId w:val="20"/>
        </w:numPr>
        <w:rPr>
          <w:b w:val="0"/>
          <w:i/>
          <w:noProof/>
          <w:sz w:val="24"/>
          <w:szCs w:val="24"/>
        </w:rPr>
      </w:pPr>
      <w:r>
        <w:rPr>
          <w:b w:val="0"/>
          <w:i/>
          <w:noProof/>
          <w:sz w:val="24"/>
          <w:szCs w:val="24"/>
        </w:rPr>
        <w:t>Irkupru ġust u inklużiv</w:t>
      </w:r>
    </w:p>
    <w:p>
      <w:pPr>
        <w:spacing w:before="240"/>
        <w:rPr>
          <w:noProof/>
        </w:rPr>
      </w:pPr>
      <w:r>
        <w:rPr>
          <w:noProof/>
        </w:rPr>
        <w:t xml:space="preserve">Din il-kriżi hija traġedja umana. L-Ewropa trid tagħmel dak kollu li tista’ biex tiżgura li dak li beda bħala pandemija tas-saħħa — u li saret emerġenza ekonomika — ma ssirx kriżi soċjali sħiħa. Miljuni ta’ nies minn madwar l-UE jew tilfu xogħolhom jew qegħdin fi skemi ta’ xogħol b’ħinijiet iqsar u miljuni oħra jistgħu jkunu f’riskju minħabba l-livell għoli ta’ inċertezza. </w:t>
      </w:r>
    </w:p>
    <w:p>
      <w:pPr>
        <w:spacing w:before="240"/>
        <w:rPr>
          <w:noProof/>
        </w:rPr>
      </w:pPr>
      <w:r>
        <w:rPr>
          <w:noProof/>
        </w:rPr>
        <w:t>L-appoġġ biex il-persuni biex jibqgħu jaħdmu, u l-ħolqien ta’ impjiegi ġodda, se jixprunaw l-isforzi tagħna. Fi żmien qasir, l-istrument temporanju l-ġdid biex jiġu mmitigati r-riskji tal-qgħad f’emerġenza (</w:t>
      </w:r>
      <w:r>
        <w:rPr>
          <w:b/>
          <w:noProof/>
        </w:rPr>
        <w:t>SURE</w:t>
      </w:r>
      <w:r>
        <w:rPr>
          <w:noProof/>
        </w:rPr>
        <w:t xml:space="preserve">) se jipprovdi EUR 100 biljun biex jgħin lill-ħaddiema jżommu l-introjtu tagħhom u jiżguraw li n-negozji jkunu jistgħu jsalvaw u jżommu l-persunal. Il-Kummissjoni se tibni fuq dan, kif ukoll fuq l-esperjenzi ta’ skemi ġodda ta’ xogħol għal żmien qasir li nħolqu f’ħafna Stati Membri, meta tipproponi strument permanenti fil-futur. </w:t>
      </w:r>
    </w:p>
    <w:p>
      <w:pPr>
        <w:spacing w:before="240"/>
        <w:rPr>
          <w:noProof/>
        </w:rPr>
      </w:pPr>
      <w:r>
        <w:rPr>
          <w:noProof/>
        </w:rPr>
        <w:t>L-</w:t>
      </w:r>
      <w:r>
        <w:rPr>
          <w:b/>
          <w:noProof/>
        </w:rPr>
        <w:t>Istrument</w:t>
      </w:r>
      <w:r>
        <w:rPr>
          <w:noProof/>
        </w:rPr>
        <w:t xml:space="preserve"> il-ġdid </w:t>
      </w:r>
      <w:r>
        <w:rPr>
          <w:b/>
          <w:noProof/>
        </w:rPr>
        <w:t>ta’ Appoġġ għas-Solvenza</w:t>
      </w:r>
      <w:r>
        <w:rPr>
          <w:noProof/>
        </w:rPr>
        <w:t xml:space="preserve"> se jgħin biex il-kumpaniji jibqgħu għaddejjin u n-nies jibqgħu jaħdmu. Il-Fond ta’ garanzija pan-Ewropew il-ġdid tal-Bank Ewropew tal-Investiment se jkun jista’ jappoġġa l-SMEs li jimpjegaw madwar żewġ terzi tal-forza tax-xogħol tal-UE. Ir-reġjuni l-aktar affettwati mill-kriżi se jkunu jistgħu jaċċessaw b’mod rapidu u flessibbli permezz tal-inizjattiva l-ġdida REACT-UE. Fiż-żmien minn medju sa itwal, l-isforzi biex jiġi rritornat Suq Uniku li jiffunzjona b’mod sħiħ, kif ukoll l-investiment li sar permezz tan-NextGenerationEU, se joħolqu impjiegi ġodda fl-ekonomija kollha, b’mod partikolari fit-tranżizzjonijiet ekoloġiċi u diġitali.  </w:t>
      </w:r>
    </w:p>
    <w:p>
      <w:pPr>
        <w:spacing w:before="240"/>
        <w:rPr>
          <w:noProof/>
        </w:rPr>
      </w:pPr>
      <w:r>
        <w:rPr>
          <w:noProof/>
        </w:rPr>
        <w:t xml:space="preserve">Dan kollu jirrifletti l-ħtieġa li l-irkupru jkun ġust u inklużiv. Huwa jrid jindirizza d-disparitajiet u l-inugwaljanzi esposti jew aggravati fil-kriżi u jippromwoviu l-koeżjoni territorjali. Il-punt tat-tluq huwa </w:t>
      </w:r>
      <w:r>
        <w:rPr>
          <w:b/>
          <w:noProof/>
        </w:rPr>
        <w:t>s-solidarjetà</w:t>
      </w:r>
      <w:r>
        <w:rPr>
          <w:noProof/>
        </w:rPr>
        <w:t>:</w:t>
      </w:r>
      <w:r>
        <w:rPr>
          <w:b/>
          <w:noProof/>
        </w:rPr>
        <w:t xml:space="preserve"> bejn in-nies, il-ġenerazzjonijiet, ir-reġjuni u l-pajjiżi</w:t>
      </w:r>
      <w:r>
        <w:rPr>
          <w:noProof/>
        </w:rPr>
        <w:t xml:space="preserve">. Dan jeħtieġ li jsir b’kooperazzjoni mill-qrib mas-sħab soċjali, is-soċjetà ċivili u l-partijiet ikkonċernati l-oħrajn. Il-gwida tagħna biex dan niksbuh se tibqa’ </w:t>
      </w:r>
      <w:r>
        <w:rPr>
          <w:b/>
          <w:noProof/>
        </w:rPr>
        <w:t>l-Pilastru Ewropew tad-Drittijiet Soċjali</w:t>
      </w:r>
      <w:r>
        <w:rPr>
          <w:noProof/>
        </w:rPr>
        <w:t xml:space="preserve">. </w:t>
      </w:r>
    </w:p>
    <w:p>
      <w:pPr>
        <w:spacing w:before="240"/>
        <w:rPr>
          <w:noProof/>
        </w:rPr>
      </w:pPr>
      <w:r>
        <w:rPr>
          <w:noProof/>
        </w:rPr>
        <w:t xml:space="preserve">L-UE se tiżgura li </w:t>
      </w:r>
      <w:r>
        <w:rPr>
          <w:b/>
          <w:noProof/>
        </w:rPr>
        <w:t>l-ugwaljanza tkun fiċ-ċentru tal-irkupru</w:t>
      </w:r>
      <w:r>
        <w:rPr>
          <w:noProof/>
        </w:rPr>
        <w:t>. Ewropa prospera u soċjali tiddependi minna lkoll, irrispettivament mis-sess, mir-razza jew mill-oriġini etnika, mir-reliġjon jew mit-twemmin, mid-diżabilità, mill-età jew mill-orjentazzjoni sesswali. Dan huwa importanti doppjament fi kriżi li kellha impatt sproporzjonat fuq għadd ta’ gruppi fis-soċjetà.</w:t>
      </w:r>
    </w:p>
    <w:p>
      <w:pPr>
        <w:spacing w:before="240"/>
        <w:rPr>
          <w:noProof/>
        </w:rPr>
      </w:pPr>
      <w:r>
        <w:rPr>
          <w:noProof/>
        </w:rPr>
        <w:t xml:space="preserve">Li jiġi żgurat li l-ħaddiema kollha fl-UE jaqilgħu għajxien deċenti se jkun essenzjali għall-irkupru. Meta stabbiliti f’livelli adegwati, </w:t>
      </w:r>
      <w:r>
        <w:rPr>
          <w:b/>
          <w:noProof/>
        </w:rPr>
        <w:t>l-pagi minimi</w:t>
      </w:r>
      <w:r>
        <w:rPr>
          <w:noProof/>
        </w:rPr>
        <w:t xml:space="preserve"> jgħinu lill-ħaddiema vulnerabbli jibnu buffer finanzjarju fiż-żminijiet it-tajbin u jillimitaw it-tnaqqis fl-introjtu matul iż-żminijiet il-ħżiena. Minħabba li n-nisa huma rrappreżentati żżejjed u mħallsa inqas f’ħafna mill-impjiegi fil-front, il-ħtieġa li tiġi eliminata d-differenza bejn il-pagi tal-irġiel u n-nisa, inkluż permezz ta’ </w:t>
      </w:r>
      <w:r>
        <w:rPr>
          <w:b/>
          <w:noProof/>
        </w:rPr>
        <w:t>miżuri vinkolanti ta’ trasparenza fil-pagi</w:t>
      </w:r>
      <w:r>
        <w:rPr>
          <w:noProof/>
        </w:rPr>
        <w:t xml:space="preserve">, issir aktar u aktar importanti.  </w:t>
      </w:r>
    </w:p>
    <w:p>
      <w:pPr>
        <w:spacing w:before="240"/>
        <w:rPr>
          <w:noProof/>
        </w:rPr>
      </w:pPr>
      <w:r>
        <w:rPr>
          <w:b/>
          <w:bCs/>
          <w:noProof/>
        </w:rPr>
        <w:t>Appoġġ imsaħħaħ għall-impjieg taż-żgħażagħ</w:t>
      </w:r>
      <w:r>
        <w:rPr>
          <w:noProof/>
        </w:rPr>
        <w:t xml:space="preserve"> se jgħin liż-żgħażagħ jibdew jaħdmu, jew isegwu taħriġ jew tip ieħor ta’ edukazzjoni, filwaqt li </w:t>
      </w:r>
      <w:r>
        <w:rPr>
          <w:b/>
          <w:noProof/>
        </w:rPr>
        <w:t>ekonomija soċjali</w:t>
      </w:r>
      <w:r>
        <w:rPr>
          <w:noProof/>
        </w:rPr>
        <w:t xml:space="preserve"> b’saħħitha tista’ toffri opportunitajiet uniċi biex tgħin lill-aktar vulnerabbli jirritornaw lejn is-suq tax-xogħol.</w:t>
      </w:r>
    </w:p>
    <w:p>
      <w:pPr>
        <w:spacing w:line="100" w:lineRule="atLeast"/>
        <w:rPr>
          <w:noProof/>
        </w:rPr>
      </w:pPr>
      <w:r>
        <w:rPr>
          <w:noProof/>
        </w:rPr>
        <w:t xml:space="preserve">Il-virus kien ukoll partikolarment aħrax għall-anzjani, li huma l-aktar milquta mill-virus u huma l-aktar seklużi fi djarhom. Il-ħidma li jmiss tal-Kummissjoni dwar it-tixjiħ u dwar il-persuni b’diżabilità se tqis l-esperjenza u l-lezzjonijiet tal-kriżi. Min-naħa l-oħra, jeħtieġ ukoll li ntaffu l-impatt tal-kriżi fuq it-tfal. Il-Kummissjoni se tipproponi </w:t>
      </w:r>
      <w:r>
        <w:rPr>
          <w:b/>
          <w:noProof/>
        </w:rPr>
        <w:t>l-Garanzija Ewropea għat-Tfal</w:t>
      </w:r>
      <w:r>
        <w:rPr>
          <w:noProof/>
        </w:rPr>
        <w:t xml:space="preserve"> fl-2021 biex tiżgura li t-tfal kollha jkollhom aċċess għal servizzi bażiċi bħas-saħħa u l-edukazzjoni. </w:t>
      </w:r>
    </w:p>
    <w:p>
      <w:pPr>
        <w:spacing w:before="240"/>
        <w:rPr>
          <w:noProof/>
        </w:rPr>
      </w:pPr>
      <w:r>
        <w:rPr>
          <w:noProof/>
        </w:rPr>
        <w:t xml:space="preserve">Kulħadd se jibbenefika mill-irkupru tal-Ewropa u kulħadd irid jikkontribwixxi biex dan iseħħ. Biex tiżgura li s-solidarjetà u l-ġustizzja jkunu fil-qalba tal-irkupru, il-Kummissjoni se tintensifika </w:t>
      </w:r>
      <w:r>
        <w:rPr>
          <w:b/>
          <w:noProof/>
        </w:rPr>
        <w:t>l-ġlieda kontra l-frodi fiskali</w:t>
      </w:r>
      <w:r>
        <w:rPr>
          <w:noProof/>
        </w:rPr>
        <w:t xml:space="preserve"> u prattiki inġusti oħrajn. Dan se jgħin lill-Istati Membri jiġġeneraw id-dħul mit-taxxa meħtieġ biex jirreaġixxu għall-isfidi ewlenin tal-kriżi attwali. </w:t>
      </w:r>
      <w:r>
        <w:rPr>
          <w:b/>
          <w:noProof/>
        </w:rPr>
        <w:t>Bażi komuni konsolidata għat-taxxa korporattiva</w:t>
      </w:r>
      <w:r>
        <w:rPr>
          <w:noProof/>
        </w:rPr>
        <w:t xml:space="preserve"> tagħti lin-negozji ġabra unika ta’ regoli biex jikkalkulaw il-bażi għat-taxxa korporattiva fl-UE. Is-simplifikazzjoni tat-taxxa tista’ ttejjeb l-ambjent tan-negozju u tikkontribwixxi għat-tkabbir ekonomiku.</w:t>
      </w:r>
    </w:p>
    <w:p>
      <w:pPr>
        <w:spacing w:before="240"/>
        <w:rPr>
          <w:noProof/>
        </w:rPr>
      </w:pPr>
      <w:r>
        <w:rPr>
          <w:noProof/>
        </w:rPr>
        <w:t xml:space="preserve">Il-kriżi hija eżami għas-sistemi ta’ protezzjoni soċjali tagħna u jeħtieġ li l-investimenti meħtieġa jimlew il-lakuni fil-kopertura li saru evidenti fil-kriżi, pereżempju għal dawk li jaħdmu għal rashom. Dan kien b’mod partikolari l-każ </w:t>
      </w:r>
      <w:r>
        <w:rPr>
          <w:b/>
          <w:noProof/>
        </w:rPr>
        <w:t>għall-ħaddiema tal-pjattaforma</w:t>
      </w:r>
      <w:r>
        <w:rPr>
          <w:noProof/>
        </w:rPr>
        <w:t xml:space="preserve"> li f’ħafna każijiet ma jkunux koperti mill-kamp ta’ applikazzjoni tal-leġiżlazzjoni tal-UE u għalhekk għandhom bżonn jiġu provduti b’kundizzjonijiet tax-xogħol ġusti u protezzjoni soċjali adegwata. </w:t>
      </w:r>
    </w:p>
    <w:p>
      <w:pPr>
        <w:spacing w:line="100" w:lineRule="atLeast"/>
        <w:rPr>
          <w:b/>
          <w:noProof/>
        </w:rPr>
      </w:pPr>
      <w:r>
        <w:rPr>
          <w:noProof/>
        </w:rPr>
        <w:t xml:space="preserve">Hekk kif l-Ewropa twitti t-triq għall-irkupru lejn ekonomija u soċjetà aktar ekoloġiċi, diġitali u aktar reżiljenti, il-ħtieġa li jittejbu u jiġu adattati l-ħiliet, l-għarfien u l-kompetenzi ssir aktar importanti. Il-kriżi wriet ukoll l-importanza tal-ħiliet diġitali, għat-tfal, l-istudenti, l-għalliema, il-ħarrieġa u kollha kemm aħna biex nikkomunikaw u naħdmu. Il-Kummissjoni se tressaq </w:t>
      </w:r>
      <w:r>
        <w:rPr>
          <w:b/>
          <w:noProof/>
        </w:rPr>
        <w:t>Aġenda tal-Ħiliet għall-Ewropa u Pjan ta’ Azzjoni aġġornat dwar l-Edukazzjoni Diġitali</w:t>
      </w:r>
      <w:r>
        <w:rPr>
          <w:noProof/>
        </w:rPr>
        <w:t>.</w:t>
      </w:r>
    </w:p>
    <w:p>
      <w:pPr>
        <w:spacing w:line="100" w:lineRule="atLeast"/>
        <w:rPr>
          <w:noProof/>
        </w:rPr>
      </w:pPr>
      <w:r>
        <w:rPr>
          <w:noProof/>
        </w:rPr>
        <w:t xml:space="preserve">Il-lockdown tas-soċjetà wera wkoll li kien żmien ta’ biża’ u tbatija għall-vittmi tal-vjolenza domestika u l-abbuż, b’evidenza ta’ żieda sostanzjali ta’ każijiet. L-UE se tagħmel dak kollu li tista’ biex tipprevjeni u tiġġieled il-vjolenza sessista, tappoġġa u tipproteġi l-vittmi ta’ tali reati, u żżomm lill-awturi tar-reati responsabbli għall-imġiba abbużiva tagħhom. </w:t>
      </w:r>
      <w:r>
        <w:rPr>
          <w:b/>
          <w:noProof/>
        </w:rPr>
        <w:t>L-Istrateġija dwar id-Drittijiet tal-Vittmi</w:t>
      </w:r>
      <w:r>
        <w:rPr>
          <w:noProof/>
        </w:rPr>
        <w:t xml:space="preserve"> se tagħti attenzjoni partikolari għall-ħtiġijiet speċifiċi tal-vittmi tal-vjolenza sessista.</w:t>
      </w:r>
    </w:p>
    <w:p>
      <w:pPr>
        <w:pStyle w:val="Heading1"/>
        <w:rPr>
          <w:noProof/>
          <w:sz w:val="22"/>
        </w:rPr>
      </w:pPr>
      <w:r>
        <w:rPr>
          <w:noProof/>
          <w:sz w:val="22"/>
        </w:rPr>
        <w:t xml:space="preserve">Il-bini ta’ unjoni u suq uniku aktar reżiljenti  </w:t>
      </w:r>
    </w:p>
    <w:p>
      <w:pPr>
        <w:rPr>
          <w:noProof/>
        </w:rPr>
      </w:pPr>
      <w:r>
        <w:rPr>
          <w:noProof/>
        </w:rPr>
        <w:t xml:space="preserve">Il-pandemija serviet biex terġa’ tiġi affermata mill-ġdid </w:t>
      </w:r>
      <w:r>
        <w:rPr>
          <w:b/>
          <w:noProof/>
        </w:rPr>
        <w:t>l-interdipendenza tal-ekonomiji tagħna</w:t>
      </w:r>
      <w:r>
        <w:rPr>
          <w:noProof/>
        </w:rPr>
        <w:t xml:space="preserve"> u l-importanza ta’ Suq Uniku li jiffunzjona b’mod sħiħ. L-Istati Membri qasmu l-kisbiet mis-Suq Uniku għal kważi 30 sena u, għal xi wħud, il-kummerċ intra-UE jammonta għal aktar minn 70 % tal-esportazzjonijiet. L-ekosistemi industrijali tagħna huma dejjem aktar integrati u konnessi. Ir-riċerka, l-inġinerija, il-manifattura, l-immuntar u l-manutenzjoni ta’ spiss iseħħu f’partijiet differenti tal-Ewropa, u jippermettu lin-negozji jkunu aktar kompetittivi u jiffukaw fuq dak li jagħmlu l-aħjar. Dan se jkun eżattament dak li huwa meħtieġ għall-irkupru tal-Ewropa. </w:t>
      </w:r>
    </w:p>
    <w:p>
      <w:pPr>
        <w:rPr>
          <w:noProof/>
        </w:rPr>
      </w:pPr>
      <w:r>
        <w:rPr>
          <w:noProof/>
        </w:rPr>
        <w:t xml:space="preserve">Il-kriżi kissret ukoll partijiet mit-tessuti produttivi tagħna u affettwat katini ta’ provvista kruċjali. Dan it-tfixkil fil-produzzjoni u t-tnaqqis fid-domanda fi Stat Membru wieħed se jkollu impatt sinifikanti f’oħrajn. Jekk ma jiġix indirizzat, dan jista’ jwassal għal għeluq u telf ta’ impjiegi u fl-aħħar mill-aħħar se jxekkel il-kompetittività tagħna u l-veloċità tal-irkupru fi Stati Membri oħra. </w:t>
      </w:r>
      <w:r>
        <w:rPr>
          <w:b/>
          <w:noProof/>
        </w:rPr>
        <w:t xml:space="preserve">Minħabba l-iskala u n-natura ta’ din l-isfida, ir-rispons jista’ jkun biss Ewropew. </w:t>
      </w:r>
    </w:p>
    <w:p>
      <w:pPr>
        <w:rPr>
          <w:noProof/>
        </w:rPr>
      </w:pPr>
      <w:r>
        <w:rPr>
          <w:noProof/>
        </w:rPr>
        <w:t>Dan jibda billi</w:t>
      </w:r>
      <w:r>
        <w:rPr>
          <w:b/>
          <w:noProof/>
        </w:rPr>
        <w:t xml:space="preserve"> jiġi żgurat li s-Suq Uniku tagħna jerġa’ jibda jaħdem tajjeb. </w:t>
      </w:r>
      <w:r>
        <w:rPr>
          <w:noProof/>
        </w:rPr>
        <w:t xml:space="preserve"> Tlieta mill-erba’ libertajiet intlaqtu b’mod qawwi mill-pandemija: il-persuni, l-oġġetti u s-servizzi. Wara kwistjonijiet inizjali, l-azzjoni deċiżiva meħuda biex jiġi żgurat il-moviment liberu tal-merkanzija u l-prodotti għenet lill-ħwienet tal-merċa tagħna jibqgħu miftuħa u ħafna fabbriki tagħna jkomplu jaħdmu. Il-moviment liberu tal-persuni kien essenzjali biex jippermetti t-trasport, lill-ħaddiema staġjonali u ħaddiema oħra biex iżommu l-ktajjen tal-provvista għaddejjin. </w:t>
      </w:r>
    </w:p>
    <w:p>
      <w:pPr>
        <w:rPr>
          <w:noProof/>
        </w:rPr>
      </w:pPr>
      <w:r>
        <w:rPr>
          <w:noProof/>
        </w:rPr>
        <w:t>Dawn l-azzjonijiet għenu biex jiżguraw kontinwità tan-negozju bażika iżda l-irkupru se jfisser ristabbiliment sħiħ tal-erba’ libertajiet. Irridu nkomplu nnaqqsu l-piż regolatorju tagħna li jissimplifika r-regoli tas-suq intern tagħna u niżguraw li dawn jiġu infurzati u implimentati bis-sħiħ. It-</w:t>
      </w:r>
      <w:r>
        <w:rPr>
          <w:b/>
          <w:noProof/>
        </w:rPr>
        <w:t>Task Force il-ġdida dwar l-Infurzar tas-Suq Uniku</w:t>
      </w:r>
      <w:r>
        <w:rPr>
          <w:noProof/>
        </w:rPr>
        <w:t xml:space="preserve"> se tkun essenzjali biex jiġu identifikati u indirizzati l-ostakli li jinħolqu minħabba l-applikazzjoni mhux xierqa jew l-infurzar. Se tiżgura l-implimentazzjoni sħiħa tal-Pjan ta’ Azzjoni dwar l-Infurzar tas-Suq Uniku adottat f’Marzu. </w:t>
      </w:r>
    </w:p>
    <w:p>
      <w:pPr>
        <w:rPr>
          <w:noProof/>
        </w:rPr>
      </w:pPr>
      <w:r>
        <w:rPr>
          <w:noProof/>
        </w:rPr>
        <w:t>Biex jinżammu l-kundizzjonijiet ekwi u biex is-Suq Uniku jinżamm jaħdem, il-Kummissjoni qed tipproponi għodda ġdida, l-</w:t>
      </w:r>
      <w:r>
        <w:rPr>
          <w:b/>
          <w:noProof/>
        </w:rPr>
        <w:t>Istrument ta’ Appoġġ għas-Solvenza</w:t>
      </w:r>
      <w:r>
        <w:rPr>
          <w:noProof/>
        </w:rPr>
        <w:t xml:space="preserve">, biex jipprovdi appoġġ lil kumpaniji b’saħħithom li issa jinsabu f’riskju minħabba l-għeluq ekonomiku. Għandhom jiġu appoġġati biex jiksbu aċċess aktar faċli u rapidu għall-finanzi. Dan jenfasizza l-importanza li jiġu kkompletati </w:t>
      </w:r>
      <w:r>
        <w:rPr>
          <w:b/>
          <w:bCs/>
          <w:noProof/>
        </w:rPr>
        <w:t>l-Unjoni tas-Swieq Kapitali u l-Unjoni Bankarja</w:t>
      </w:r>
      <w:r>
        <w:rPr>
          <w:noProof/>
        </w:rPr>
        <w:t>, li huma elementi ewlenin fl-approfondiment tal-Unjoni Ekonomika u Monetarja. Dan se jgħin biex tiġi pprovduta stabbiltà ekonomika u finanzjarja matul l-irkupru u biex tissaħħaħ ir-reżiljenza tagħna għal xokkijiet futuri. Il-Kummissjoni se tislet ukoll il-konklużjonijiet tagħha dwar ir-rieżami tal-governanza ekonomika wara l-kriżi.</w:t>
      </w:r>
    </w:p>
    <w:p>
      <w:pPr>
        <w:rPr>
          <w:noProof/>
        </w:rPr>
      </w:pPr>
      <w:r>
        <w:rPr>
          <w:noProof/>
        </w:rPr>
        <w:t xml:space="preserve">Il-kriżi ttestjat ukoll </w:t>
      </w:r>
      <w:r>
        <w:rPr>
          <w:b/>
          <w:noProof/>
        </w:rPr>
        <w:t>il-qafas tal-kompetizzjoni tal-UE</w:t>
      </w:r>
      <w:r>
        <w:rPr>
          <w:noProof/>
        </w:rPr>
        <w:t xml:space="preserve">, li ġie adattat malajr biex jippermetti appoġġ nazzjonali indispensabbli b’mod speċjali permezz tal-għajnuna mill-Istat. Fl-istess ħin, huwa importanti li dawn il-flessibbiltajiet temporanji ma jikkawżawx frammentazzjoni fit-tul fis-Suq Uniku. Il-politika tal-kompetizzjoni tal-UE hija essenzjali biex jiġu żgurati kundizzjonijiet ekwi fl-ekonomija tal-lum, waqt li tingħata spinta lill-innovazzjoni u tingħata aktar għażla lill-konsumaturi. Din tislet l-aqwa elementi tal-kumpaniji tagħna u tippermettilhom li jibqgħu kompetittivi globalment. Hekk kif l-Ewropa tistabbilixxi l-perkors tagħha ta’ rkupru u tħaffef iż-żewġ tranżizzjonijiet, għandna niżguraw li r-regoli tal-kompetizzjoni jibqgħu adatti għad-dinja tal-lum. Biex dan iseħħ, il-Kummissjoni bħalissa qed tirrevedi l-qafas tal-kompetizzjoni tal-UE. </w:t>
      </w:r>
    </w:p>
    <w:p>
      <w:pPr>
        <w:rPr>
          <w:noProof/>
        </w:rPr>
      </w:pPr>
      <w:r>
        <w:rPr>
          <w:noProof/>
        </w:rPr>
        <w:t>Il-kriżi kixfet ukoll għadd ta’ vulnerabbiltajiet u żieda sinifikanti f’ċerti reati, bħaċ-ċiberkriminalità. Dan juri l-ħtieġa li tissaħħaħ l-</w:t>
      </w:r>
      <w:r>
        <w:rPr>
          <w:b/>
          <w:bCs/>
          <w:noProof/>
        </w:rPr>
        <w:t>Unjoni tas-Sigurtà tal-UE</w:t>
      </w:r>
      <w:r>
        <w:rPr>
          <w:noProof/>
        </w:rPr>
        <w:t>. Bħala parti minn dan, l-Istrateġija tal-Unjoni tas-Sigurtà tal-UE se tindirizza dawn l-isfidi u tibni fuq il-ħidma għal suq intern u soċjetà siguri.</w:t>
      </w:r>
    </w:p>
    <w:p>
      <w:pPr>
        <w:rPr>
          <w:noProof/>
        </w:rPr>
      </w:pPr>
      <w:r>
        <w:rPr>
          <w:noProof/>
        </w:rPr>
        <w:t xml:space="preserve">Il-kriżi poġġiet ukoll pressjoni qawwija fuq is-sistemi tal-ażil tal-Istati Membri u fuq il-ġestjoni tal-fruntieri fl-Unjoni Ewropea. </w:t>
      </w:r>
      <w:r>
        <w:rPr>
          <w:b/>
          <w:bCs/>
          <w:noProof/>
        </w:rPr>
        <w:t>Il-Patt dwar il-Migrazzjoni u l-Ażil</w:t>
      </w:r>
      <w:r>
        <w:rPr>
          <w:noProof/>
        </w:rPr>
        <w:t xml:space="preserve"> il-ġdid se jfittex li jagħmel il-ġestjoni tal-UE tal-ażil, il-migrazzjoni u l-fruntieri aktar effettiva, aktar ġusta u flessibbli biżżejjed biex twieġeb għall-kriżijiet.</w:t>
      </w:r>
      <w:r>
        <w:rPr>
          <w:noProof/>
          <w:color w:val="1F497D"/>
        </w:rPr>
        <w:t xml:space="preserve"> </w:t>
      </w:r>
      <w:r>
        <w:rPr>
          <w:noProof/>
        </w:rPr>
        <w:t xml:space="preserve"> </w:t>
      </w:r>
    </w:p>
    <w:p>
      <w:pPr>
        <w:pStyle w:val="Heading2"/>
        <w:rPr>
          <w:b w:val="0"/>
          <w:i/>
          <w:noProof/>
          <w:sz w:val="24"/>
          <w:szCs w:val="24"/>
        </w:rPr>
      </w:pPr>
      <w:r>
        <w:rPr>
          <w:b w:val="0"/>
          <w:i/>
          <w:noProof/>
          <w:sz w:val="24"/>
          <w:szCs w:val="24"/>
        </w:rPr>
        <w:t xml:space="preserve">Awtonomija strateġika miftuħa u ktajjen tal-valur b’saħħithom </w:t>
      </w:r>
    </w:p>
    <w:p>
      <w:pPr>
        <w:rPr>
          <w:noProof/>
        </w:rPr>
      </w:pPr>
      <w:r>
        <w:rPr>
          <w:noProof/>
        </w:rPr>
        <w:t xml:space="preserve">Il-kriżi żvelat ukoll għadd ta’ oqsma fejn l-Ewropa teħtieġ li tkun aktar reżiljenti biex tipprevjeni, tipproteġi u tirreżisti xokkijiet futuri. Aħna dejjem se nkunu impenjati għal kummerċ miftuħ u ġust iżda rridu nkunu konxji tal-ħtieġa li titnaqqas id-dipendenza u tissaħħaħ is-sigurtà tal-provvista, b’mod partikolari għal affarijiet bħal ingredjenti farmaċewtiċi jew materja prima. </w:t>
      </w:r>
    </w:p>
    <w:p>
      <w:pPr>
        <w:rPr>
          <w:noProof/>
        </w:rPr>
      </w:pPr>
      <w:r>
        <w:rPr>
          <w:noProof/>
        </w:rPr>
        <w:t xml:space="preserve">Biex isir dan, l-Ewropa trid tiffoka fuq it-tisħiħ tal-awtonomija strateġika tagħha, is-sigurtà ekonomika u l-potenzjal għall-ħolqien tal-impjiegi. Il-Kummissjoni qed tipproponi </w:t>
      </w:r>
      <w:r>
        <w:rPr>
          <w:b/>
          <w:noProof/>
        </w:rPr>
        <w:t>Faċilità ġdida ta’ Investiment Strateġiku</w:t>
      </w:r>
      <w:r>
        <w:rPr>
          <w:noProof/>
        </w:rPr>
        <w:t xml:space="preserve"> biex tappoġġa investimenti transkonfinali biex tgħin fit-tisħiħ u l-bini ta’ katini ta’ valur strateġiċi Ewropej. Din se tagħti inċentiv lit-tmexxija industrijali u tan-negozju Ewropea f’għadd ta’ ekosistemi ewlenin, b’mod partikolari dawk marbuta mat-tranżizzjoni doppja ħadra u diġitali. Dan se jsaħħaħ is-Suq Uniku, jirfed l-istrateġija industrijali l-ġdida tal-UE</w:t>
      </w:r>
      <w:r>
        <w:rPr>
          <w:rStyle w:val="FootnoteReference"/>
          <w:noProof/>
          <w:lang w:val="en-IE"/>
        </w:rPr>
        <w:footnoteReference w:id="4"/>
      </w:r>
      <w:r>
        <w:rPr>
          <w:noProof/>
        </w:rPr>
        <w:t xml:space="preserve"> u jikkontribwixxi għal ekonomija aktar ċirkolari.</w:t>
      </w:r>
    </w:p>
    <w:p>
      <w:pPr>
        <w:rPr>
          <w:noProof/>
        </w:rPr>
      </w:pPr>
      <w:r>
        <w:rPr>
          <w:b/>
          <w:noProof/>
        </w:rPr>
        <w:t>Strateġija farmaċewtika</w:t>
      </w:r>
      <w:r>
        <w:rPr>
          <w:noProof/>
        </w:rPr>
        <w:t xml:space="preserve"> ġdida se tindirizza r-riskji esposti matul il-kriżi li jaffettwaw l-awtonomija strateġika tal-Ewropa u se tappoġġa wkoll il-bini ta’ produzzjoni farmaċewtika addizzjonali u kapaċitajiet ta’ produzzjoni fl-Ewropa.</w:t>
      </w:r>
    </w:p>
    <w:p>
      <w:pPr>
        <w:rPr>
          <w:noProof/>
        </w:rPr>
      </w:pPr>
      <w:r>
        <w:rPr>
          <w:noProof/>
        </w:rPr>
        <w:t xml:space="preserve">Permezz tat-tranżizzjoni għan-newtralità tal-klima, id-dipendenza fuq il-fjuwils fossili disponibbli tirriskja li tiġi sostitwita b’dipendenza fuq materja prima oħra mhux relatata mal-enerġija, li għaliha l-kompetizzjoni globali qed issir aktar intensa. Il-prevenzjoni tal-iskart, l-għoti ta’ spinta lir-riċiklaġġ u ż-żieda fl-użu ta’ materja prima sekondarja se jgħinu biex titnaqqas din id-dipendenza. Investimenti ġodda fir-riċiklaġġ se jgħinu biex jipprovdu materja prima sekondarja strateġika. </w:t>
      </w:r>
      <w:r>
        <w:rPr>
          <w:b/>
          <w:bCs/>
          <w:noProof/>
        </w:rPr>
        <w:t>Pjan ta’ Azzjoni ġdid dwar il-Materja Prima Kritika</w:t>
      </w:r>
      <w:r>
        <w:rPr>
          <w:noProof/>
        </w:rPr>
        <w:t xml:space="preserve"> se jagħti ħarsa wkoll lejn kif jistgħu jissaħħu s-swieq kruċjali b’mod sostenibbli għall-elettromobbiltà, il-batteriji, l-enerġiji rinnovabbli, il-farmaċewtiċi, l-ajruspazju, id-difiża u l-applikazzjonijiet diġitali. Dan se jkun appoġġat mill-implimentazzjoni sħiħa tal-</w:t>
      </w:r>
      <w:r>
        <w:rPr>
          <w:b/>
          <w:bCs/>
          <w:noProof/>
        </w:rPr>
        <w:t>Pjan ta’ Azzjoni għal Ekonomija Ċirkolari</w:t>
      </w:r>
      <w:r>
        <w:rPr>
          <w:noProof/>
        </w:rPr>
        <w:t xml:space="preserve">. </w:t>
      </w:r>
    </w:p>
    <w:p>
      <w:pPr>
        <w:spacing w:after="120"/>
        <w:rPr>
          <w:noProof/>
        </w:rPr>
      </w:pPr>
      <w:r>
        <w:rPr>
          <w:noProof/>
        </w:rPr>
        <w:t xml:space="preserve">Il-kummerċ globali u l-katini tal-valur integrati tiegħu se jibqgħu mutur ta’ tkabbir fundamentali u se jkunu essenzjali għall-irkupru tal-Ewropa. F’dan il-kuntest, l-Ewropa se ssegwi mudell ta’ </w:t>
      </w:r>
      <w:r>
        <w:rPr>
          <w:b/>
          <w:noProof/>
        </w:rPr>
        <w:t>awtonomija strateġika miftuħ</w:t>
      </w:r>
      <w:r>
        <w:rPr>
          <w:noProof/>
        </w:rPr>
        <w:t xml:space="preserve">. Dan ifisser li tissawwar is-sistema l-ġdida ta’ governanza ekonomika globali u jiġu żviluppati relazzjonijiet bilaterali ta’ benefiċċju reċiproku, filwaqt li nipproteġu lilna nfusna minn prattiki inġusti u abbużivi. Dan se jgħinna wkoll niddiversifikaw u nsaħħu l-ktajjen tal-provvista globali biex nipproteġu ruħna minn kriżijiet futuri u se jgħin biex jissaħħaħ ir-rwol internazzjonali tal-euro. F’dan l-ispirtu, l-UE ser twettaq </w:t>
      </w:r>
      <w:r>
        <w:rPr>
          <w:b/>
          <w:bCs/>
          <w:noProof/>
        </w:rPr>
        <w:t>Reviżjoni tal-Politika Kummerċjali</w:t>
      </w:r>
      <w:r>
        <w:rPr>
          <w:noProof/>
        </w:rPr>
        <w:t xml:space="preserve"> biex tiżgura l-fluss kontinwu ta’ oġġetti u servizzi madwar id-dinja u biex tirriforma l-Organizzazzjoni Dinjija tal-Kummerċ. </w:t>
      </w:r>
    </w:p>
    <w:p>
      <w:pPr>
        <w:rPr>
          <w:noProof/>
        </w:rPr>
      </w:pPr>
      <w:r>
        <w:rPr>
          <w:noProof/>
        </w:rPr>
        <w:t xml:space="preserve">Fl-istess ħin, l-UE teħtieġ ukoll li tipproteġi l-assi u t-teknoloġiji strateġiċi tagħha minn investimenti diretti barranin li jistgħu jheddu s-sigurtà jew l-ordni pubbliku tagħha, permezz ta’ </w:t>
      </w:r>
      <w:r>
        <w:rPr>
          <w:b/>
          <w:noProof/>
        </w:rPr>
        <w:t>mekkaniżmu msaħħaħ ta’ skrinjar tal-Investiment Dirett Barrani</w:t>
      </w:r>
      <w:r>
        <w:rPr>
          <w:noProof/>
        </w:rPr>
        <w:t xml:space="preserve"> . F’din il-kriżi, is-sussidji tal-istat minn pajjiżi terzi għandhom il-potenzjal li jkomplu joħolqu kundizzjonijiet mhux ekwi fis-Suq Uniku. Dan se jiġi indirizzat fil-White Paper li jmiss tal-Kummissjoni dwar strument dwar sussidji barranin. Ftehim rapidu dwar l-Istrument ta’ Akkwist Internazzjonali propost se jkun essenzjali wkoll biex tissaħħaħ il-kapaċità tal-UE li tinnegozja r-reċiproċità u l-ftuħ tas-suq mas-sħab tagħha. </w:t>
      </w:r>
    </w:p>
    <w:p>
      <w:pPr>
        <w:rPr>
          <w:noProof/>
        </w:rPr>
      </w:pPr>
      <w:r>
        <w:rPr>
          <w:noProof/>
        </w:rPr>
        <w:t xml:space="preserve">Jekk jippersistu differenzi fil-livelli ta’ ambizzjoni klimatika madwar id-dinja, il-Kummissjoni se tipproponi </w:t>
      </w:r>
      <w:r>
        <w:rPr>
          <w:b/>
          <w:noProof/>
        </w:rPr>
        <w:t>Mekkaniżmu ta’ Aġġustament fil-Fruntieri tal-Karbonju</w:t>
      </w:r>
      <w:r>
        <w:rPr>
          <w:noProof/>
        </w:rPr>
        <w:t xml:space="preserve"> fl-2021 biex jitnaqqas ir-riskju ta’ rilokazzjoni tal-emissjonijiet tal-karbonju, b’konformità sħiħa mar-regoli tad-WTO. Din tkun riżorsa proprja ġdida għall-baġit tal-UE, li tgħin biex jitħallsu lura l-fondi miġbura għal NextGenerationEU fil-futur.</w:t>
      </w:r>
    </w:p>
    <w:p>
      <w:pPr>
        <w:pStyle w:val="Heading2"/>
        <w:rPr>
          <w:b w:val="0"/>
          <w:i/>
          <w:noProof/>
          <w:sz w:val="24"/>
          <w:szCs w:val="24"/>
        </w:rPr>
      </w:pPr>
      <w:r>
        <w:rPr>
          <w:b w:val="0"/>
          <w:i/>
          <w:noProof/>
          <w:sz w:val="24"/>
          <w:szCs w:val="24"/>
        </w:rPr>
        <w:t>Koordinazzjoni aktar b’saħħitha dwar is-saħħa pubblika u t-titjib tal-ġestjoni tal-kriżijiet</w:t>
      </w:r>
    </w:p>
    <w:p>
      <w:pPr>
        <w:rPr>
          <w:noProof/>
        </w:rPr>
      </w:pPr>
      <w:r>
        <w:rPr>
          <w:noProof/>
        </w:rPr>
        <w:t xml:space="preserve">Il-kriżi tas-saħħa pubblika li qed tiffaċċja bħalissa l-Unjoni tagħna wriet is-saħħa, il-ħiliet u l-kuraġġ tal-ħaddiema tal-kura tas-saħħa fl-Ewropa. Madankollu, is-sistemi tas-saħħa pubblika tagħna, li jibqgħu wħud mill-aħjar u l-aktar aċċessibbli fid-dinja, jinsabu taħt pressjoni qawwija. U l-koordinazzjoni bejn l-Istati Membri dwar kwistjonijiet ta’ saħħa ġiet ittestjata wkoll fil-bidu immedjat tal-kriżi. </w:t>
      </w:r>
    </w:p>
    <w:p>
      <w:pPr>
        <w:rPr>
          <w:noProof/>
        </w:rPr>
      </w:pPr>
      <w:r>
        <w:rPr>
          <w:noProof/>
        </w:rPr>
        <w:t xml:space="preserve">B’dan il-ħsieb, u sabiex tittejjeb it-tħejjija konġunta għal kwalunkwe kriżi futura tas-saħħa, il-Kummissjoni se tipproponi li </w:t>
      </w:r>
      <w:r>
        <w:rPr>
          <w:b/>
          <w:bCs/>
          <w:noProof/>
        </w:rPr>
        <w:t>ssaħħaħ l-Aġenzija Ewropea għall-Mediċini</w:t>
      </w:r>
      <w:r>
        <w:rPr>
          <w:noProof/>
        </w:rPr>
        <w:t xml:space="preserve"> fil-monitoraġġ tal-produzzjoni u l-provvista ta’ mediċini essenzjali fl-UE biex jiġu evitati l-iskarsezzi. Se tagħti wkoll </w:t>
      </w:r>
      <w:r>
        <w:rPr>
          <w:b/>
          <w:bCs/>
          <w:noProof/>
        </w:rPr>
        <w:t>rwol aktar b’saħħtu liċ-Ċentru Ewropew għall-Prevenzjoni u l-Kontroll tal-Mard (ECDC)</w:t>
      </w:r>
      <w:r>
        <w:rPr>
          <w:noProof/>
        </w:rPr>
        <w:t xml:space="preserve"> fil-koordinazzjoni tas-sorveljanza, it-tħejjija u r-rispons għall-kriżijiet tas-saħħa. </w:t>
      </w:r>
    </w:p>
    <w:p>
      <w:pPr>
        <w:rPr>
          <w:noProof/>
        </w:rPr>
      </w:pPr>
      <w:r>
        <w:rPr>
          <w:noProof/>
        </w:rPr>
        <w:t xml:space="preserve">Il-qafas regolatorju tas-saħħa tal-UE jenħtieġ li jissaħħaħ ukoll u l-użu ta’ akkwisti konġunti għall-provvisti tas-saħħa għandhom jiżdiedu. Dan għandu jikseb tagħlimiet mill-kriżi, fejn l-ewwel ħidma tkun l-akkwist ta’ vaċċini f’terminu immedjat. Se nipproponu wkoll li jinħoloq </w:t>
      </w:r>
      <w:r>
        <w:rPr>
          <w:b/>
          <w:bCs/>
          <w:noProof/>
        </w:rPr>
        <w:t>Spazju Ewropew għad-</w:t>
      </w:r>
      <w:r>
        <w:rPr>
          <w:b/>
          <w:bCs/>
          <w:i/>
          <w:iCs/>
          <w:noProof/>
        </w:rPr>
        <w:t>Data</w:t>
      </w:r>
      <w:r>
        <w:rPr>
          <w:b/>
          <w:bCs/>
          <w:noProof/>
        </w:rPr>
        <w:t xml:space="preserve"> tas-Saħħa</w:t>
      </w:r>
      <w:r>
        <w:rPr>
          <w:noProof/>
        </w:rPr>
        <w:t xml:space="preserve"> biex jiġi promoss l-iskambju ta’ </w:t>
      </w:r>
      <w:r>
        <w:rPr>
          <w:i/>
          <w:iCs/>
          <w:noProof/>
        </w:rPr>
        <w:t>data</w:t>
      </w:r>
      <w:r>
        <w:rPr>
          <w:noProof/>
        </w:rPr>
        <w:t xml:space="preserve"> dwar is-saħħa u biex tiġi appoġġata r-riċerka b’rispett sħiħ tal-protezzjoni tad-</w:t>
      </w:r>
      <w:r>
        <w:rPr>
          <w:i/>
          <w:iCs/>
          <w:noProof/>
        </w:rPr>
        <w:t>data</w:t>
      </w:r>
      <w:r>
        <w:rPr>
          <w:noProof/>
        </w:rPr>
        <w:t>.</w:t>
      </w:r>
    </w:p>
    <w:p>
      <w:pPr>
        <w:rPr>
          <w:noProof/>
        </w:rPr>
      </w:pPr>
      <w:r>
        <w:rPr>
          <w:noProof/>
        </w:rPr>
        <w:t xml:space="preserve">Jeħtieġ li jkun hemm sistemi tas-saħħa aktar reżiljenti li jeħtieġu investiment xieraq u appoġġ finanzjarju li jaqbel mar-rwol ewlieni tagħhom. Illum il-Kummissjoni qed tipproponi </w:t>
      </w:r>
      <w:r>
        <w:rPr>
          <w:b/>
          <w:bCs/>
          <w:noProof/>
        </w:rPr>
        <w:t>programm awtonomu EU4Health</w:t>
      </w:r>
      <w:r>
        <w:rPr>
          <w:noProof/>
        </w:rPr>
        <w:t xml:space="preserve"> biex tappoġġa lill-Istati Membri u lill-UE biex jibnu l-kapaċità u t-tħejjija għal kriżijiet futuri tas-saħħa. Dan se jgħin biex ikun hemm viżjoni fit-tul għas-sistemi tas-saħħa pubblika li jaħdmu sew u reżiljenti, b’mod partikolari billi jsir investiment fil-prevenzjoni u s-sorveljanza tal-mard, u billi jitjieb l-aċċess għall-kura tas-saħħa, id-dijanjożi u t-trattament. </w:t>
      </w:r>
    </w:p>
    <w:p>
      <w:pPr>
        <w:rPr>
          <w:noProof/>
        </w:rPr>
      </w:pPr>
      <w:r>
        <w:rPr>
          <w:b/>
          <w:noProof/>
        </w:rPr>
        <w:t>Ir-riċerka u l-innovazzjoni</w:t>
      </w:r>
      <w:r>
        <w:rPr>
          <w:noProof/>
        </w:rPr>
        <w:t xml:space="preserve"> se jkunu essenzjali biex jiżdied l-għarfien tagħna dwar il-mard, it-trattamenti u l-vaċċini, u biex insaħħu l-awtonomija u t-tmexxija tagħna fil-ktajjen tal-valur. Din hija r-raġuni għaliex bħala parti mill-baġit fit-tul li jmiss, il-Kummissjoni qed tipproponi li ssaħħaħ </w:t>
      </w:r>
      <w:r>
        <w:rPr>
          <w:b/>
          <w:noProof/>
        </w:rPr>
        <w:t>Orizzont Ewropa</w:t>
      </w:r>
      <w:r>
        <w:rPr>
          <w:noProof/>
        </w:rPr>
        <w:t xml:space="preserve"> biex tappoġġa r-riċerka u l-innovazzjoni fil-qasam tas-saħħa, testendi l-provi kliniċi, ittejjeb l-aċċess għall-infrastruttura tar-riċerka u tgħin biex ix-xjenza soda tiġi ankrata fil-qalba tal-proċess ta’ politika.</w:t>
      </w:r>
    </w:p>
    <w:p>
      <w:pPr>
        <w:rPr>
          <w:noProof/>
        </w:rPr>
      </w:pPr>
      <w:r>
        <w:rPr>
          <w:noProof/>
        </w:rPr>
        <w:t xml:space="preserve">Il-kriżi attwali enfasizzat ukoll il-ħtieġa għal </w:t>
      </w:r>
      <w:r>
        <w:rPr>
          <w:b/>
          <w:noProof/>
        </w:rPr>
        <w:t>koordinazzjoni u rispons għall-kriżijiet fil-livell Ewropew</w:t>
      </w:r>
      <w:r>
        <w:rPr>
          <w:noProof/>
        </w:rPr>
        <w:t xml:space="preserve">. Filwaqt li l-koordinazzjoni bejn l-Istati Membri żdiedet malajr wara bidu kajman, hemm bżonn li nitgħallmu mill-kriżi. Dan ifisser li ndaħħlu fis-seħħ tħejjija aktar b’saħħitha għall-kriżijiet u l-ġestjoni ta’ kriżijiet għal xenarji futuri. </w:t>
      </w:r>
    </w:p>
    <w:p>
      <w:pPr>
        <w:rPr>
          <w:noProof/>
        </w:rPr>
      </w:pPr>
      <w:r>
        <w:rPr>
          <w:noProof/>
        </w:rPr>
        <w:t xml:space="preserve">Illum il-Kummissjoni qed tipproponi li </w:t>
      </w:r>
      <w:r>
        <w:rPr>
          <w:b/>
          <w:bCs/>
          <w:noProof/>
        </w:rPr>
        <w:t>ssaħħaħ rescEU</w:t>
      </w:r>
      <w:r>
        <w:rPr>
          <w:noProof/>
        </w:rPr>
        <w:t xml:space="preserve"> biex tibni l-kapaċità permanenti biex timmaniġġja t-tipi kollha ta’ emerġenzi. Dan se jsaħħaħ il-kapaċità tagħha li tinvesti f’infrastruttura ta’ rispons ta’ emerġenza, f’kapaċità ta’ trasport u f’timijiet ta’ appoġġ ta’ emerġenza. Se toħloq riżervi fil-livell tal-UE ta’ provvisti u tagħmir essenzjali li għandhom jiġu mobilizzati b’reazzjoni għal emerġenzi kbar.</w:t>
      </w:r>
    </w:p>
    <w:p>
      <w:pPr>
        <w:rPr>
          <w:noProof/>
        </w:rPr>
      </w:pPr>
      <w:r>
        <w:rPr>
          <w:noProof/>
        </w:rPr>
        <w:t>Tagħlima oħra hija l-ħtieġa għal rispons rapidu, flessibbli u koordinat tal-UE għall-kriżijiet. F’dan l-ispirtu, il-Kummissjoni qed tipproponi li ssaħħaħ l-għodod ta’ emerġenza tagħha u tagħmilhom aktar flessibbli sabiex ir-riżorsi jkunu jistgħu jintużaw malajr u fuq skala kbira meta jkun meħtieġ. Dan jinkludi l-Fond Ewropew ta’ Solidarjetà u l-Fond Ewropew ta’ Aġġustament għall-Globalizzazzjoni. Ir-</w:t>
      </w:r>
      <w:r>
        <w:rPr>
          <w:b/>
          <w:bCs/>
          <w:noProof/>
        </w:rPr>
        <w:t>Riżerva ta’ Għajnuna għas-Solidarjetà u l-Emerġenza</w:t>
      </w:r>
      <w:r>
        <w:rPr>
          <w:noProof/>
        </w:rPr>
        <w:t xml:space="preserve"> se tissaħħaħ b’mod sinifikanti wkoll biex tippermetti reazzjoni rapida għal kriżijiet kemm fl-UE kif ukoll barra minnha.</w:t>
      </w:r>
    </w:p>
    <w:p>
      <w:pPr>
        <w:pStyle w:val="Heading1"/>
        <w:rPr>
          <w:noProof/>
          <w:sz w:val="22"/>
        </w:rPr>
      </w:pPr>
      <w:r>
        <w:rPr>
          <w:noProof/>
          <w:sz w:val="22"/>
        </w:rPr>
        <w:t>Irkupru bbażat fuq il-valuri tal-UE u d-drittijiet fundamentali</w:t>
      </w:r>
    </w:p>
    <w:p>
      <w:pPr>
        <w:rPr>
          <w:noProof/>
        </w:rPr>
      </w:pPr>
      <w:r>
        <w:rPr>
          <w:noProof/>
        </w:rPr>
        <w:t xml:space="preserve">Il-kriżi qed tittestja l-istil ta’ ħajja tal-Ewropa. Biex ngħinu nsalvaw il-ħajjiet, uħud mil-libertajiet tagħna ġew ristretti. Elementi essenzjali li bihom tiffunzjona s-soċjetà tagħna ħafna drabi ġew sospiżi. Ir-reżiljenza demokratika tagħna ġiet ittestjata. Madankollu, l-Ewropa qatt ma għandha tikkomprometti l-valuri tagħha. </w:t>
      </w:r>
      <w:r>
        <w:rPr>
          <w:b/>
          <w:noProof/>
        </w:rPr>
        <w:t>L-irkupru jrid ikun ibbażat fuq drittijiet fundamentali u rispett sħiħ tal-istat tad-dritt</w:t>
      </w:r>
      <w:r>
        <w:rPr>
          <w:noProof/>
        </w:rPr>
        <w:t xml:space="preserve">.  </w:t>
      </w:r>
    </w:p>
    <w:p>
      <w:pPr>
        <w:rPr>
          <w:noProof/>
        </w:rPr>
      </w:pPr>
      <w:r>
        <w:rPr>
          <w:noProof/>
        </w:rPr>
        <w:t xml:space="preserve">Fid-dawl tal-kriżi, l-Istati Membri kollha kellhom jadottaw miżuri ta’ emerġenza. Il-Kummissjoni għamlitha ċara li l-miżuri ta’ emerġenza jridu jkunu strettament proporzjonati u limitati fiż-żmien u fin-natura tagħhom. Dawn il-miżuri kollha jridu jkunu soġġetti għal skrutinju regolari u d-drittijiet kollha għandhom jiġu rispettati bis-sħiħ. </w:t>
      </w:r>
    </w:p>
    <w:p>
      <w:pPr>
        <w:rPr>
          <w:noProof/>
        </w:rPr>
      </w:pPr>
      <w:r>
        <w:rPr>
          <w:noProof/>
        </w:rPr>
        <w:t xml:space="preserve">Il-kriżi esponiet ukoll għadd ta’ vulnerabbiltajiet fl-istat tad-dritt. Dan kien ivarja mill-istress fuq is-sistemi tal-ġustizzja għal kapaċità mhux uniformi ta’ kontrolli u bilanċi istituzzjonali biex jaħdmu b’mod effettiv. Il-midja u s-soċjetà ċivili ħabbtu wiċċhom ma’ ostakli ġodda biex jaqdu r-rwol tagħhom fid-dibattitu demokratiku. </w:t>
      </w:r>
      <w:r>
        <w:rPr>
          <w:b/>
          <w:noProof/>
        </w:rPr>
        <w:t>Ir-rapport Annwali dwar l-Istat tad-Dritt</w:t>
      </w:r>
      <w:r>
        <w:rPr>
          <w:noProof/>
        </w:rPr>
        <w:t xml:space="preserve"> tal-Kummissjoni se jħares aktar mill-qrib lejn dan fl-Istati Membri kollha. Il-proposta tal-Kummissjoni għal Regolament </w:t>
      </w:r>
      <w:r>
        <w:rPr>
          <w:b/>
          <w:bCs/>
          <w:noProof/>
        </w:rPr>
        <w:t>dwar il-protezzjoni tal-baġit tal-UE kontra nuqqasijiet ġeneralizzati fl-istat tad-dritt</w:t>
      </w:r>
      <w:r>
        <w:rPr>
          <w:noProof/>
        </w:rPr>
        <w:t xml:space="preserve"> hija wkoll fattur ewlieni.</w:t>
      </w:r>
    </w:p>
    <w:p>
      <w:pPr>
        <w:rPr>
          <w:noProof/>
        </w:rPr>
      </w:pPr>
      <w:r>
        <w:rPr>
          <w:noProof/>
        </w:rPr>
        <w:t>Il-kriżi enfasizzat ukoll it-theddid għad-demokrazija tagħna. Din ġabet magħha “infodemika” ġdida minn dawk li jridu jimmanipulaw l-ispazju pubbliku u jxerrdu messaġġi foloz, propaganda u narrattivi ta’ mibegħda. Filwaqt li tħares il-libertà tal-espressjoni u tappoġġa lill-media, il-Kummissjoni se tindirizza l-isfidi ta’ diżinformazzjoni l-aktar immedjati marbuta mal-pandemija u se tuża wkoll il-</w:t>
      </w:r>
      <w:r>
        <w:rPr>
          <w:b/>
          <w:bCs/>
          <w:noProof/>
        </w:rPr>
        <w:t>Pjan ta’ Azzjoni Ewropew għad-Demokrazija</w:t>
      </w:r>
      <w:r>
        <w:rPr>
          <w:noProof/>
        </w:rPr>
        <w:t xml:space="preserve"> biex tieħu t-tagħlimiet u tibni r-reżiljenza għall-futur. </w:t>
      </w:r>
    </w:p>
    <w:p>
      <w:pPr>
        <w:rPr>
          <w:noProof/>
        </w:rPr>
      </w:pPr>
      <w:r>
        <w:rPr>
          <w:noProof/>
        </w:rPr>
        <w:t>Dan kollu jirrifletti l-bżonn saħansitra aktar importanti li d-demokrazija tagħna tissaħħaħ u titrawwem. Dan jibda billi n-nies jingħataw vuċi akbar fil-futur tagħhom. Permezz tal-</w:t>
      </w:r>
      <w:r>
        <w:rPr>
          <w:b/>
          <w:noProof/>
        </w:rPr>
        <w:t>Konferenza dwar il-Futur tal-Ewropa</w:t>
      </w:r>
      <w:r>
        <w:rPr>
          <w:noProof/>
        </w:rPr>
        <w:t xml:space="preserve">, iċ-ċittadini jenħtieġ li jkollhom sehem ewlieni u attiv fl-istabbiliment tal-prijoritajiet tagħna u l-livell ta’ ambizzjoni tagħna fil-bini ta’ Ewropa aktar reżiljenti, sostenibbli u ġusta. </w:t>
      </w:r>
    </w:p>
    <w:p>
      <w:pPr>
        <w:pStyle w:val="Heading1"/>
        <w:rPr>
          <w:noProof/>
          <w:sz w:val="22"/>
        </w:rPr>
      </w:pPr>
      <w:r>
        <w:rPr>
          <w:noProof/>
          <w:sz w:val="22"/>
        </w:rPr>
        <w:t xml:space="preserve">Ewropa aktar b’saħħitha fid-dinja </w:t>
      </w:r>
    </w:p>
    <w:p>
      <w:pPr>
        <w:spacing w:after="120"/>
        <w:rPr>
          <w:noProof/>
        </w:rPr>
      </w:pPr>
      <w:r>
        <w:rPr>
          <w:noProof/>
        </w:rPr>
        <w:t>Il-pandemija u l-kriżi ekonomika se jiddefinixxu mill-ġdid il-mod kif is-setgħat dinjija u l-imsieħba jinteraġixxu. It-theddida ta’ erożjoni potenzjali u frammentazzjoni tal-ordni dinji żdiedet b’mod ċar. Fl-istess ħin, virus li ma jafx fruntieri joħloq sfida komuni u jagħmel każ b’saħħtu u urġenti għall-multilateraliżmu msaħħaħ u ordni internazzjonali bbażat fuq ir-regoli.  Aktar minn qatt qabel, l-</w:t>
      </w:r>
      <w:r>
        <w:rPr>
          <w:b/>
          <w:noProof/>
        </w:rPr>
        <w:t>isfidi dinjija jeħtieġu kooperazzjoni internazzjonali u soluzzjonijiet komuni</w:t>
      </w:r>
      <w:r>
        <w:rPr>
          <w:noProof/>
        </w:rPr>
        <w:t>.</w:t>
      </w:r>
    </w:p>
    <w:p>
      <w:pPr>
        <w:spacing w:after="120"/>
        <w:rPr>
          <w:noProof/>
        </w:rPr>
      </w:pPr>
      <w:r>
        <w:rPr>
          <w:noProof/>
        </w:rPr>
        <w:t>Ir-rabtiet bejnietna għandhom bżonn ta’ manutenzjoni kontinwa biex nadattaw għar-realtajiet ġodda u biex niffaċċjaw l-iżviluppi fixkiela tas-Seklu 21. Id-dinja trid tevita “logħba kbira” dinjija biex toħroġ l-ewwel u fuq nett, għad-detriment ta’ oħrajn. Jenħtieġ li niffokaw fuq dak li nistgħu nagħmlu flimkien, mis-sigurtà għall-klima u l-ambjent, mill-ġlieda kontra l-inugwaljanzi għat-tisħiħ tal-kummerċ internazzjonali u tal-istituzzjonijiet internazzjonali.</w:t>
      </w:r>
    </w:p>
    <w:p>
      <w:pPr>
        <w:spacing w:after="120"/>
        <w:rPr>
          <w:noProof/>
        </w:rPr>
      </w:pPr>
      <w:r>
        <w:rPr>
          <w:noProof/>
        </w:rPr>
        <w:t>L-UE qed tmexxi r-rispons dinji, b’ħidma mill-qrib man-Nazzjonijiet Uniti (inklużi l-Organizzazzjoni Dinjija tas-Saħħa u l-Organizzazzjoni Internazzjonali tax-Xogħol), il-G20, il-G7, il-Fond Monetarju Internazzjonali u l-Bank Dinji. B’hekk, l-UE u l-Istati Membri tagħha se jkunu jistgħu jingranaw is-saħħa kollettiva tagħhom fix-xena dinja.</w:t>
      </w:r>
    </w:p>
    <w:p>
      <w:pPr>
        <w:spacing w:before="240"/>
        <w:rPr>
          <w:noProof/>
        </w:rPr>
      </w:pPr>
      <w:r>
        <w:rPr>
          <w:noProof/>
        </w:rPr>
        <w:t xml:space="preserve">F’dan l-ispirtu, il-Kummissjoni ospitat konferenza tad-donaturi biex tindirzza EUR 7,5 biljun għall-iżvilupp ta’ vaċċini, trattamenti u għodod bħala ġid komuni dinja. </w:t>
      </w:r>
      <w:r>
        <w:rPr>
          <w:b/>
          <w:noProof/>
        </w:rPr>
        <w:t>Kull vaċċin futur irid jiġi prodott mid-dinja, għad-dinja kollha u jkun affordabbli u aċċessibbli għal kulħadd</w:t>
      </w:r>
      <w:r>
        <w:rPr>
          <w:noProof/>
        </w:rPr>
        <w:t>.</w:t>
      </w:r>
    </w:p>
    <w:p>
      <w:pPr>
        <w:spacing w:before="240"/>
        <w:rPr>
          <w:noProof/>
        </w:rPr>
      </w:pPr>
      <w:r>
        <w:rPr>
          <w:noProof/>
        </w:rPr>
        <w:t xml:space="preserve">Fi żmien itwal, l-UE se tirkupra biss b’suċċess jekk is-sħab tagħna madwar id-dinja jirkupraw ukoll. L-investiment fl-irkupru dinji sostenibbli għalhekk huwa fl-interess tal-UE. Dan se jkun jeħtieġ rispons massiv u koordinat, xprunat mis-solidarjetà, il-ftuħ u t-tmexxija internazzjonali. Bħala potenza ekonomika ewlenija u l-akbar donatur ta’ għajnuna internazzjonali fid-dinja, l-UE dejjem se tkun miftuħa u lesta li tappoġġa s-sħab tagħha. Dan huwa muri b’aktar minn EUR 23 biljun immobilizzati minn </w:t>
      </w:r>
      <w:r>
        <w:rPr>
          <w:b/>
          <w:bCs/>
          <w:noProof/>
        </w:rPr>
        <w:t>Team Europe</w:t>
      </w:r>
      <w:r>
        <w:rPr>
          <w:noProof/>
        </w:rPr>
        <w:t xml:space="preserve"> għall-appoġġ ta’ pajjiżi sħab u organizzazzjonijiet internazzjonali biex jiffaċċjaw l-impatt umanitarju, tas-saħħa, soċjali u ekonomiku tal-kriżi.</w:t>
      </w:r>
    </w:p>
    <w:p>
      <w:pPr>
        <w:spacing w:after="120"/>
        <w:rPr>
          <w:noProof/>
        </w:rPr>
      </w:pPr>
      <w:r>
        <w:rPr>
          <w:noProof/>
        </w:rPr>
        <w:t xml:space="preserve">L-UE pprovdiet appoġġ lill-imsieħba tagħha u lill-ġirien tagħha matul din il-kriżi u hija lesta li tagħmel aktar. Biex dan iseħħ, illum il-Kummissjoni qed tipproponi li </w:t>
      </w:r>
      <w:r>
        <w:rPr>
          <w:b/>
          <w:bCs/>
          <w:noProof/>
        </w:rPr>
        <w:t>ssaħħaħ l-Istrument ta’ Viċinat, ta’ Kooperazzjoni għall-Iżvilupp u ta’ Kooperazzjoni Internazzjonali</w:t>
      </w:r>
      <w:r>
        <w:rPr>
          <w:noProof/>
        </w:rPr>
        <w:t xml:space="preserve"> billi tistabbilixxih fil-livell ta’ EUR 86 biljun. Strument ta’ Għajnuna Umanitarja msaħħaħ se jiżgura li l-Ewropa tista’ tipprovdi solidarjetà tanġibbli lil dawk l-aktar fil-bżonn. Biex tappoġġa l-imsieħba tagħna fil-Balkani tal-Punent, il-Kummissjoni qed tipproponi li żżid l-għajnuna ta’ qabel l-adeżjoni għal EUR 12,9 biljun. </w:t>
      </w:r>
    </w:p>
    <w:p>
      <w:pPr>
        <w:spacing w:after="120"/>
        <w:rPr>
          <w:noProof/>
        </w:rPr>
      </w:pPr>
      <w:r>
        <w:rPr>
          <w:noProof/>
        </w:rPr>
        <w:t xml:space="preserve">Minħabba l-kriżi li wasslet għal aktar tensjonijiet ġeostrateġiċi, jeħtieġ li l-Ewropej jieħdu aktar responsabbiltà biex jiżguraw is-sikurezza tagħhom stess. F’kooperazzjoni mas-sħab tagħha, l-UE għandha tkompli ssaħħaħ ir-rwol tagħha bħala fornitur tas-sigurtà u pilastru ta’ stabbiltà fl-ordni dinjija. Għal dak il-għan, se tkompli tappoġġa l-multilateraliżmu u tippromwovi b’mod aktar effettiv l-interessi ekonomiċi u strateġiċi tagħha. Hija għandha ssaħħaħ ukoll l-awtonomija teknoloġika u l-kooperazzjoni tagħha fl-iżvilupp tal-kapaċitajiet ta’ difiża.  </w:t>
      </w:r>
    </w:p>
    <w:p>
      <w:pPr>
        <w:spacing w:after="120"/>
        <w:rPr>
          <w:noProof/>
        </w:rPr>
      </w:pPr>
    </w:p>
    <w:p>
      <w:pPr>
        <w:pStyle w:val="Heading1"/>
        <w:rPr>
          <w:noProof/>
          <w:sz w:val="22"/>
        </w:rPr>
      </w:pPr>
      <w:r>
        <w:rPr>
          <w:noProof/>
          <w:sz w:val="22"/>
        </w:rPr>
        <w:t>Konklużjoni — Il-mument tal-Ewropa</w:t>
      </w:r>
    </w:p>
    <w:p>
      <w:pPr>
        <w:rPr>
          <w:noProof/>
        </w:rPr>
      </w:pPr>
      <w:r>
        <w:rPr>
          <w:noProof/>
        </w:rPr>
        <w:t xml:space="preserve">Dan huwa l-mument tal-Ewropa. Ir-rieda tagħna li naġixxu trid tilqa’ l-isfidi li qed niffaċċjaw. L-isforzi nazzjonali waħedhom mhux se jkunu biżżejjed — l-Ewropa tinsab f’pożizzjoni unika biex tkun tista’ tinvesti f’irkupru kollettiv u futur aħjar għall-ġenerazzjonijiet li jmiss. </w:t>
      </w:r>
    </w:p>
    <w:p>
      <w:pPr>
        <w:rPr>
          <w:noProof/>
        </w:rPr>
      </w:pPr>
      <w:r>
        <w:rPr>
          <w:noProof/>
        </w:rPr>
        <w:t xml:space="preserve">Dan huwa l-kompitu ġenerazzjonali tagħna. L-investiment li nagħmlu permezz ta’ NextGenerationEU mhux biss se jgħin biex tingħata spinta lill-ekonomiji u biex illum il-ħaddiema, il-kumpaniji u r-reġjuni jiġu appoġġati. Din se tinvesti fil-futur u se tagħmilna aktar reżiljenti sabiex inkunu nistgħu noħorġu aktar b’saħħitna u aktar ‘l quddiem minn qabel. Aħna se naċċelleraw it-tranżizzjoni doppja ekoloġika u diġitali u niżguraw li n-nies ikunu fil-qalba tal-irkupru. </w:t>
      </w:r>
    </w:p>
    <w:p>
      <w:pPr>
        <w:rPr>
          <w:noProof/>
        </w:rPr>
      </w:pPr>
      <w:r>
        <w:rPr>
          <w:noProof/>
        </w:rPr>
        <w:t xml:space="preserve">Il-Kummissjoni Ewropea tistieden lill-Kunsill Ewropew u lill-koleġiżlaturi biex jeżaminaw malajr dawn il-proposti, bil-ħsieb li jintlaħaq qbil politiku fil-Kunsill Ewropew. Deċiżjoni bikrija tippermetti li l-fondi jkunu disponibbli minnufih u li jiġu indirizzati l-oqsma l-aktar urġenti. </w:t>
      </w:r>
    </w:p>
    <w:p>
      <w:pPr>
        <w:rPr>
          <w:noProof/>
        </w:rPr>
      </w:pPr>
      <w:r>
        <w:rPr>
          <w:noProof/>
        </w:rPr>
        <w:t xml:space="preserve">Il-Kummissjoni mbagħad se taħdem mill-qrib mal-Parlament Ewropew u mal-Kunsill biex tiffinalizza ftehim dwar il-qafas futur fit-tul u l-programmi settorjali li jakkumpanjawha. It-tlestija ta’ dan ix-xogħol fil-bidu tal-ħarifa se jfisser li l-baġit il-ġdid fit-tul jista’ jkun operattiv u jmexxi l-irkupru tal-Ewropa fl-1 ta’ Jannar 2021. </w:t>
      </w:r>
    </w:p>
    <w:p>
      <w:pPr>
        <w:rPr>
          <w:noProof/>
        </w:rPr>
      </w:pPr>
      <w:r>
        <w:rPr>
          <w:noProof/>
        </w:rPr>
        <w:t xml:space="preserve">L-irkupru tal-Ewropa u l-bini ta’ futur aħjar għall-ġenerazzjoni li jmiss mhux se jkunu faċli u ma jistax isir waħdu. Dan se jkun jeħtieġ rieda politika u kuraġġ u aċċettazzjoni mis-soċjetà kollha. </w:t>
      </w:r>
      <w:r>
        <w:rPr>
          <w:b/>
          <w:noProof/>
        </w:rPr>
        <w:t>Dan huwa ġid komuni għall-ġejjieni komuni tagħna.</w:t>
      </w:r>
      <w:r>
        <w:rPr>
          <w:noProof/>
        </w:rPr>
        <w:t xml:space="preserve"> </w:t>
      </w:r>
    </w:p>
    <w:sectPr>
      <w:headerReference w:type="even" r:id="rId19"/>
      <w:headerReference w:type="default" r:id="rId20"/>
      <w:footerReference w:type="even" r:id="rId21"/>
      <w:footerReference w:type="default" r:id="rId22"/>
      <w:headerReference w:type="first" r:id="rId23"/>
      <w:footerReference w:type="first" r:id="rId24"/>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ont225">
    <w:altName w:val="Times New Roman"/>
    <w:charset w:val="00"/>
    <w:family w:val="auto"/>
    <w:pitch w:val="variable"/>
  </w:font>
  <w:font w:name="Arial Unicode MS">
    <w:panose1 w:val="020B0604020202020204"/>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MT</w:t>
    </w:r>
    <w:r>
      <w:rPr>
        <w:rFonts w:ascii="Arial" w:hAnsi="Arial" w:cs="Arial"/>
        <w:b/>
        <w:sz w:val="48"/>
      </w:rPr>
      <w:tab/>
    </w:r>
    <w:r>
      <w:rPr>
        <w:rFonts w:ascii="Arial" w:hAnsi="Arial" w:cs="Arial"/>
        <w:b/>
        <w:sz w:val="48"/>
      </w:rPr>
      <w:tab/>
    </w:r>
    <w:r>
      <w:tab/>
    </w:r>
    <w:r>
      <w:rPr>
        <w:rFonts w:ascii="Arial" w:hAnsi="Arial" w:cs="Arial"/>
        <w:b/>
        <w:sz w:val="48"/>
      </w:rPr>
      <w:t>MT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1713892"/>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2</w:t>
        </w:r>
        <w: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0549739"/>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fldChar w:fldCharType="end"/>
        </w:r>
      </w:p>
    </w:sdtContent>
  </w:sdt>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FootnoteText"/>
        <w:spacing w:after="0"/>
      </w:pPr>
      <w:r>
        <w:rPr>
          <w:rStyle w:val="FootnoteReference"/>
          <w:rFonts w:eastAsia="SimSun"/>
        </w:rPr>
        <w:footnoteRef/>
      </w:r>
      <w:r>
        <w:tab/>
      </w:r>
      <w:r>
        <w:rPr>
          <w:color w:val="000000"/>
          <w:szCs w:val="24"/>
          <w:bdr w:val="none" w:sz="0" w:space="0" w:color="auto" w:frame="1"/>
        </w:rPr>
        <w:t>Sakemm ma jkunx indikat mod ieħor, l-ammonti jiġu espressi fi prezzijiet kostanti tal-2018</w:t>
      </w:r>
      <w:r>
        <w:t>.</w:t>
      </w:r>
    </w:p>
  </w:footnote>
  <w:footnote w:id="2">
    <w:p>
      <w:pPr>
        <w:pStyle w:val="FootnoteText"/>
      </w:pPr>
      <w:r>
        <w:rPr>
          <w:rStyle w:val="FootnoteReference"/>
        </w:rPr>
        <w:footnoteRef/>
      </w:r>
      <w:r>
        <w:t xml:space="preserve"> SWD(2020) 98</w:t>
      </w:r>
    </w:p>
  </w:footnote>
  <w:footnote w:id="3">
    <w:p>
      <w:pPr>
        <w:pStyle w:val="FootnoteText"/>
      </w:pPr>
      <w:r>
        <w:rPr>
          <w:rStyle w:val="FootnoteReference"/>
        </w:rPr>
        <w:footnoteRef/>
      </w:r>
      <w:r>
        <w:t xml:space="preserve"> COM(2020) 442</w:t>
      </w:r>
    </w:p>
  </w:footnote>
  <w:footnote w:id="4">
    <w:p>
      <w:pPr>
        <w:pStyle w:val="FootnoteText"/>
      </w:pPr>
      <w:r>
        <w:rPr>
          <w:rStyle w:val="FootnoteReference"/>
        </w:rPr>
        <w:footnoteRef/>
      </w:r>
      <w:r>
        <w:t xml:space="preserve"> COM(2020) 102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jc w:val="right"/>
      <w:rPr>
        <w:i/>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Num5"/>
    <w:lvl w:ilvl="0">
      <w:start w:val="1"/>
      <w:numFmt w:val="bullet"/>
      <w:lvlText w:val=""/>
      <w:lvlJc w:val="left"/>
      <w:pPr>
        <w:tabs>
          <w:tab w:val="num" w:pos="0"/>
        </w:tabs>
        <w:ind w:left="1080" w:hanging="360"/>
      </w:pPr>
      <w:rPr>
        <w:rFonts w:ascii="Wingdings" w:hAnsi="Wingdings"/>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1">
    <w:nsid w:val="03D53185"/>
    <w:multiLevelType w:val="hybridMultilevel"/>
    <w:tmpl w:val="E62A5FFC"/>
    <w:lvl w:ilvl="0" w:tplc="A352EFA2">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7BB350E"/>
    <w:multiLevelType w:val="multilevel"/>
    <w:tmpl w:val="1DC2E06C"/>
    <w:lvl w:ilvl="0">
      <w:start w:val="4"/>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1672" w:hanging="720"/>
      </w:pPr>
      <w:rPr>
        <w:rFonts w:hint="default"/>
      </w:rPr>
    </w:lvl>
    <w:lvl w:ilvl="3">
      <w:start w:val="1"/>
      <w:numFmt w:val="decimal"/>
      <w:lvlText w:val="%1.%2.%3.%4"/>
      <w:lvlJc w:val="left"/>
      <w:pPr>
        <w:ind w:left="2148" w:hanging="720"/>
      </w:pPr>
      <w:rPr>
        <w:rFonts w:hint="default"/>
      </w:rPr>
    </w:lvl>
    <w:lvl w:ilvl="4">
      <w:start w:val="1"/>
      <w:numFmt w:val="decimal"/>
      <w:lvlText w:val="%1.%2.%3.%4.%5"/>
      <w:lvlJc w:val="left"/>
      <w:pPr>
        <w:ind w:left="2984" w:hanging="1080"/>
      </w:pPr>
      <w:rPr>
        <w:rFonts w:hint="default"/>
      </w:rPr>
    </w:lvl>
    <w:lvl w:ilvl="5">
      <w:start w:val="1"/>
      <w:numFmt w:val="decimal"/>
      <w:lvlText w:val="%1.%2.%3.%4.%5.%6"/>
      <w:lvlJc w:val="left"/>
      <w:pPr>
        <w:ind w:left="3460" w:hanging="1080"/>
      </w:pPr>
      <w:rPr>
        <w:rFonts w:hint="default"/>
      </w:rPr>
    </w:lvl>
    <w:lvl w:ilvl="6">
      <w:start w:val="1"/>
      <w:numFmt w:val="decimal"/>
      <w:lvlText w:val="%1.%2.%3.%4.%5.%6.%7"/>
      <w:lvlJc w:val="left"/>
      <w:pPr>
        <w:ind w:left="4296" w:hanging="1440"/>
      </w:pPr>
      <w:rPr>
        <w:rFonts w:hint="default"/>
      </w:rPr>
    </w:lvl>
    <w:lvl w:ilvl="7">
      <w:start w:val="1"/>
      <w:numFmt w:val="decimal"/>
      <w:lvlText w:val="%1.%2.%3.%4.%5.%6.%7.%8"/>
      <w:lvlJc w:val="left"/>
      <w:pPr>
        <w:ind w:left="4772" w:hanging="1440"/>
      </w:pPr>
      <w:rPr>
        <w:rFonts w:hint="default"/>
      </w:rPr>
    </w:lvl>
    <w:lvl w:ilvl="8">
      <w:start w:val="1"/>
      <w:numFmt w:val="decimal"/>
      <w:lvlText w:val="%1.%2.%3.%4.%5.%6.%7.%8.%9"/>
      <w:lvlJc w:val="left"/>
      <w:pPr>
        <w:ind w:left="5248" w:hanging="1440"/>
      </w:pPr>
      <w:rPr>
        <w:rFonts w:hint="default"/>
      </w:rPr>
    </w:lvl>
  </w:abstractNum>
  <w:abstractNum w:abstractNumId="3">
    <w:nsid w:val="1262685D"/>
    <w:multiLevelType w:val="multilevel"/>
    <w:tmpl w:val="E13424C8"/>
    <w:name w:val="ListBullet4Numbering"/>
    <w:lvl w:ilvl="0">
      <w:start w:val="1"/>
      <w:numFmt w:val="bullet"/>
      <w:lvlText w:val=""/>
      <w:lvlJc w:val="left"/>
      <w:pPr>
        <w:tabs>
          <w:tab w:val="num" w:pos="1485"/>
        </w:tabs>
        <w:ind w:left="1485" w:hanging="283"/>
      </w:pPr>
      <w:rPr>
        <w:rFonts w:ascii="Symbol" w:hAnsi="Symbol"/>
      </w:rPr>
    </w:lvl>
    <w:lvl w:ilvl="1">
      <w:start w:val="1"/>
      <w:numFmt w:val="bullet"/>
      <w:lvlText w:val=""/>
      <w:lvlJc w:val="left"/>
      <w:pPr>
        <w:tabs>
          <w:tab w:val="num" w:pos="1769"/>
        </w:tabs>
        <w:ind w:left="1769" w:hanging="284"/>
      </w:pPr>
      <w:rPr>
        <w:rFonts w:ascii="Symbol" w:hAnsi="Symbol"/>
      </w:rPr>
    </w:lvl>
    <w:lvl w:ilvl="2">
      <w:start w:val="1"/>
      <w:numFmt w:val="bullet"/>
      <w:lvlText w:val=""/>
      <w:lvlJc w:val="left"/>
      <w:pPr>
        <w:tabs>
          <w:tab w:val="num" w:pos="2052"/>
        </w:tabs>
        <w:ind w:left="2052" w:hanging="283"/>
      </w:pPr>
      <w:rPr>
        <w:rFonts w:ascii="Symbol" w:hAnsi="Symbol"/>
      </w:rPr>
    </w:lvl>
    <w:lvl w:ilvl="3">
      <w:start w:val="1"/>
      <w:numFmt w:val="bullet"/>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nsid w:val="14996626"/>
    <w:multiLevelType w:val="hybridMultilevel"/>
    <w:tmpl w:val="167E1E8A"/>
    <w:lvl w:ilvl="0" w:tplc="1F961EDC">
      <w:start w:val="1"/>
      <w:numFmt w:val="bullet"/>
      <w:pStyle w:val="Briefinglist1"/>
      <w:lvlText w:val=""/>
      <w:lvlJc w:val="left"/>
      <w:pPr>
        <w:tabs>
          <w:tab w:val="num" w:pos="1004"/>
        </w:tabs>
        <w:ind w:left="1004" w:hanging="284"/>
      </w:pPr>
      <w:rPr>
        <w:rFonts w:ascii="Symbol" w:hAnsi="Symbol" w:hint="default"/>
        <w:b w:val="0"/>
        <w:i w:val="0"/>
        <w:color w:val="auto"/>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5">
    <w:nsid w:val="1EB11FD0"/>
    <w:multiLevelType w:val="hybridMultilevel"/>
    <w:tmpl w:val="68A26BFE"/>
    <w:lvl w:ilvl="0" w:tplc="A1023D60">
      <w:start w:val="1"/>
      <w:numFmt w:val="bullet"/>
      <w:lvlText w:val="»"/>
      <w:lvlJc w:val="left"/>
      <w:pPr>
        <w:ind w:left="720" w:hanging="360"/>
      </w:pPr>
      <w:rPr>
        <w:rFonts w:ascii="Courier New" w:hAnsi="Courier New"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2F000000"/>
    <w:multiLevelType w:val="multilevel"/>
    <w:tmpl w:val="1F0020D3"/>
    <w:lvl w:ilvl="0">
      <w:start w:val="1"/>
      <w:numFmt w:val="bullet"/>
      <w:pStyle w:val="ListDash4"/>
      <w:lvlText w:val="–"/>
      <w:lvlJc w:val="left"/>
      <w:pPr>
        <w:tabs>
          <w:tab w:val="left" w:pos="3163"/>
        </w:tabs>
        <w:ind w:left="3163" w:hanging="283"/>
        <w:jc w:val="both"/>
      </w:pPr>
      <w:rPr>
        <w:rFonts w:ascii="Times New Roman" w:eastAsia="Times New Roman" w:hAnsi="Times New Roman"/>
        <w:w w:val="100"/>
        <w:sz w:val="20"/>
        <w:szCs w:val="20"/>
        <w:shd w:val="clear" w:color="auto" w:fill="auto"/>
      </w:rPr>
    </w:lvl>
    <w:lvl w:ilvl="1">
      <w:start w:val="1"/>
      <w:numFmt w:val="bullet"/>
      <w:pStyle w:val="ListDash4Level2"/>
      <w:lvlText w:val="–"/>
      <w:lvlJc w:val="left"/>
      <w:pPr>
        <w:tabs>
          <w:tab w:val="left" w:pos="3447"/>
        </w:tabs>
        <w:ind w:left="3447" w:hanging="284"/>
        <w:jc w:val="both"/>
      </w:pPr>
      <w:rPr>
        <w:rFonts w:ascii="Times New Roman" w:eastAsia="Times New Roman" w:hAnsi="Times New Roman"/>
        <w:w w:val="100"/>
        <w:sz w:val="20"/>
        <w:szCs w:val="20"/>
        <w:shd w:val="clear" w:color="auto" w:fill="auto"/>
      </w:rPr>
    </w:lvl>
    <w:lvl w:ilvl="2">
      <w:start w:val="1"/>
      <w:numFmt w:val="bullet"/>
      <w:pStyle w:val="ListDash4Level3"/>
      <w:lvlText w:val="–"/>
      <w:lvlJc w:val="left"/>
      <w:pPr>
        <w:tabs>
          <w:tab w:val="left" w:pos="3730"/>
        </w:tabs>
        <w:ind w:left="3730" w:hanging="283"/>
        <w:jc w:val="both"/>
      </w:pPr>
      <w:rPr>
        <w:rFonts w:ascii="Times New Roman" w:eastAsia="Times New Roman" w:hAnsi="Times New Roman"/>
        <w:w w:val="100"/>
        <w:sz w:val="20"/>
        <w:szCs w:val="20"/>
        <w:shd w:val="clear" w:color="auto" w:fill="auto"/>
      </w:rPr>
    </w:lvl>
    <w:lvl w:ilvl="3">
      <w:start w:val="1"/>
      <w:numFmt w:val="bullet"/>
      <w:pStyle w:val="ListDash4Level4"/>
      <w:lvlText w:val="–"/>
      <w:lvlJc w:val="left"/>
      <w:pPr>
        <w:tabs>
          <w:tab w:val="left" w:pos="4014"/>
        </w:tabs>
        <w:ind w:left="4014" w:hanging="284"/>
        <w:jc w:val="both"/>
      </w:pPr>
      <w:rPr>
        <w:rFonts w:ascii="Times New Roman" w:eastAsia="Times New Roman" w:hAnsi="Times New Roman"/>
        <w:w w:val="100"/>
        <w:sz w:val="20"/>
        <w:szCs w:val="20"/>
        <w:shd w:val="clear" w:color="auto" w:fill="auto"/>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F000001"/>
    <w:multiLevelType w:val="multilevel"/>
    <w:tmpl w:val="276B1D78"/>
    <w:lvl w:ilvl="0">
      <w:start w:val="1"/>
      <w:numFmt w:val="decimal"/>
      <w:pStyle w:val="ListNumber3"/>
      <w:lvlText w:val="(%1)"/>
      <w:lvlJc w:val="left"/>
      <w:pPr>
        <w:tabs>
          <w:tab w:val="left" w:pos="2625"/>
        </w:tabs>
        <w:ind w:left="2625" w:hanging="709"/>
        <w:jc w:val="both"/>
      </w:pPr>
    </w:lvl>
    <w:lvl w:ilvl="1">
      <w:start w:val="1"/>
      <w:numFmt w:val="lowerLetter"/>
      <w:pStyle w:val="ListNumber3Level2"/>
      <w:lvlText w:val="(%2)"/>
      <w:lvlJc w:val="left"/>
      <w:pPr>
        <w:tabs>
          <w:tab w:val="left" w:pos="3334"/>
        </w:tabs>
        <w:ind w:left="3334" w:hanging="709"/>
        <w:jc w:val="both"/>
      </w:pPr>
    </w:lvl>
    <w:lvl w:ilvl="2">
      <w:start w:val="1"/>
      <w:numFmt w:val="bullet"/>
      <w:pStyle w:val="ListNumber3Level3"/>
      <w:lvlText w:val="–"/>
      <w:lvlJc w:val="left"/>
      <w:pPr>
        <w:tabs>
          <w:tab w:val="left" w:pos="4042"/>
        </w:tabs>
        <w:ind w:left="4042" w:hanging="708"/>
        <w:jc w:val="both"/>
      </w:pPr>
      <w:rPr>
        <w:rFonts w:ascii="Times New Roman" w:eastAsia="Times New Roman" w:hAnsi="Times New Roman"/>
        <w:w w:val="100"/>
        <w:sz w:val="20"/>
        <w:szCs w:val="20"/>
        <w:shd w:val="clear" w:color="auto" w:fill="auto"/>
      </w:rPr>
    </w:lvl>
    <w:lvl w:ilvl="3">
      <w:start w:val="1"/>
      <w:numFmt w:val="bullet"/>
      <w:pStyle w:val="ListNumber3Level4"/>
      <w:lvlText w:val="·"/>
      <w:lvlJc w:val="left"/>
      <w:pPr>
        <w:tabs>
          <w:tab w:val="left" w:pos="4751"/>
        </w:tabs>
        <w:ind w:left="4751" w:hanging="709"/>
        <w:jc w:val="both"/>
      </w:pPr>
      <w:rPr>
        <w:rFonts w:ascii="Symbol" w:eastAsia="Symbol" w:hAnsi="Symbol"/>
        <w:w w:val="100"/>
        <w:sz w:val="20"/>
        <w:szCs w:val="20"/>
        <w:shd w:val="clear" w:color="auto" w:fill="auto"/>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F000002"/>
    <w:multiLevelType w:val="multilevel"/>
    <w:tmpl w:val="4F5BD66C"/>
    <w:lvl w:ilvl="0">
      <w:start w:val="1"/>
      <w:numFmt w:val="decimal"/>
      <w:pStyle w:val="ListNumber"/>
      <w:lvlText w:val="(%1)"/>
      <w:lvlJc w:val="left"/>
      <w:pPr>
        <w:tabs>
          <w:tab w:val="left" w:pos="709"/>
        </w:tabs>
        <w:ind w:left="709" w:hanging="709"/>
        <w:jc w:val="both"/>
      </w:pPr>
    </w:lvl>
    <w:lvl w:ilvl="1">
      <w:start w:val="1"/>
      <w:numFmt w:val="lowerLetter"/>
      <w:pStyle w:val="ListNumberLevel2"/>
      <w:lvlText w:val="(%2)"/>
      <w:lvlJc w:val="left"/>
      <w:pPr>
        <w:tabs>
          <w:tab w:val="left" w:pos="1417"/>
        </w:tabs>
        <w:ind w:left="1417" w:hanging="708"/>
        <w:jc w:val="both"/>
      </w:pPr>
    </w:lvl>
    <w:lvl w:ilvl="2">
      <w:start w:val="1"/>
      <w:numFmt w:val="bullet"/>
      <w:pStyle w:val="ListNumberLevel3"/>
      <w:lvlText w:val="–"/>
      <w:lvlJc w:val="left"/>
      <w:pPr>
        <w:tabs>
          <w:tab w:val="left" w:pos="2126"/>
        </w:tabs>
        <w:ind w:left="2126" w:hanging="709"/>
        <w:jc w:val="both"/>
      </w:pPr>
      <w:rPr>
        <w:rFonts w:ascii="Times New Roman" w:eastAsia="Times New Roman" w:hAnsi="Times New Roman"/>
        <w:w w:val="100"/>
        <w:sz w:val="20"/>
        <w:szCs w:val="20"/>
        <w:shd w:val="clear" w:color="auto" w:fill="auto"/>
      </w:rPr>
    </w:lvl>
    <w:lvl w:ilvl="3">
      <w:start w:val="1"/>
      <w:numFmt w:val="bullet"/>
      <w:pStyle w:val="ListNumberLevel4"/>
      <w:lvlText w:val="·"/>
      <w:lvlJc w:val="left"/>
      <w:pPr>
        <w:tabs>
          <w:tab w:val="left" w:pos="2835"/>
        </w:tabs>
        <w:ind w:left="2835" w:hanging="709"/>
        <w:jc w:val="both"/>
      </w:pPr>
      <w:rPr>
        <w:rFonts w:ascii="Symbol" w:eastAsia="Symbol" w:hAnsi="Symbol"/>
        <w:w w:val="100"/>
        <w:sz w:val="20"/>
        <w:szCs w:val="20"/>
        <w:shd w:val="clear" w:color="auto" w:fill="auto"/>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F000003"/>
    <w:multiLevelType w:val="multilevel"/>
    <w:tmpl w:val="3C5A8615"/>
    <w:lvl w:ilvl="0">
      <w:start w:val="1"/>
      <w:numFmt w:val="bullet"/>
      <w:pStyle w:val="ListBullet4"/>
      <w:lvlText w:val="·"/>
      <w:lvlJc w:val="left"/>
      <w:pPr>
        <w:tabs>
          <w:tab w:val="left" w:pos="3163"/>
        </w:tabs>
        <w:ind w:left="3163" w:hanging="283"/>
        <w:jc w:val="both"/>
      </w:pPr>
      <w:rPr>
        <w:rFonts w:ascii="Symbol" w:eastAsia="Symbol" w:hAnsi="Symbol"/>
        <w:w w:val="100"/>
        <w:sz w:val="20"/>
        <w:szCs w:val="20"/>
        <w:shd w:val="clear" w:color="auto" w:fill="auto"/>
      </w:rPr>
    </w:lvl>
    <w:lvl w:ilvl="1">
      <w:start w:val="1"/>
      <w:numFmt w:val="bullet"/>
      <w:pStyle w:val="ListBullet4Level2"/>
      <w:lvlText w:val="·"/>
      <w:lvlJc w:val="left"/>
      <w:pPr>
        <w:tabs>
          <w:tab w:val="left" w:pos="3447"/>
        </w:tabs>
        <w:ind w:left="3447" w:hanging="284"/>
        <w:jc w:val="both"/>
      </w:pPr>
      <w:rPr>
        <w:rFonts w:ascii="Symbol" w:eastAsia="Symbol" w:hAnsi="Symbol"/>
        <w:w w:val="100"/>
        <w:sz w:val="20"/>
        <w:szCs w:val="20"/>
        <w:shd w:val="clear" w:color="auto" w:fill="auto"/>
      </w:rPr>
    </w:lvl>
    <w:lvl w:ilvl="2">
      <w:start w:val="1"/>
      <w:numFmt w:val="bullet"/>
      <w:pStyle w:val="ListBullet4Level3"/>
      <w:lvlText w:val="·"/>
      <w:lvlJc w:val="left"/>
      <w:pPr>
        <w:tabs>
          <w:tab w:val="left" w:pos="3730"/>
        </w:tabs>
        <w:ind w:left="3730" w:hanging="283"/>
        <w:jc w:val="both"/>
      </w:pPr>
      <w:rPr>
        <w:rFonts w:ascii="Symbol" w:eastAsia="Symbol" w:hAnsi="Symbol"/>
        <w:w w:val="100"/>
        <w:sz w:val="20"/>
        <w:szCs w:val="20"/>
        <w:shd w:val="clear" w:color="auto" w:fill="auto"/>
      </w:rPr>
    </w:lvl>
    <w:lvl w:ilvl="3">
      <w:start w:val="1"/>
      <w:numFmt w:val="bullet"/>
      <w:pStyle w:val="ListBullet4Level4"/>
      <w:lvlText w:val="·"/>
      <w:lvlJc w:val="left"/>
      <w:pPr>
        <w:tabs>
          <w:tab w:val="left" w:pos="4014"/>
        </w:tabs>
        <w:ind w:left="4014" w:hanging="284"/>
        <w:jc w:val="both"/>
      </w:pPr>
      <w:rPr>
        <w:rFonts w:ascii="Symbol" w:eastAsia="Symbol" w:hAnsi="Symbol"/>
        <w:w w:val="100"/>
        <w:sz w:val="20"/>
        <w:szCs w:val="20"/>
        <w:shd w:val="clear" w:color="auto" w:fill="auto"/>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F000004"/>
    <w:multiLevelType w:val="multilevel"/>
    <w:tmpl w:val="4118DBC1"/>
    <w:lvl w:ilvl="0">
      <w:start w:val="1"/>
      <w:numFmt w:val="bullet"/>
      <w:pStyle w:val="ListBullet3"/>
      <w:lvlText w:val="·"/>
      <w:lvlJc w:val="left"/>
      <w:pPr>
        <w:tabs>
          <w:tab w:val="left" w:pos="284"/>
        </w:tabs>
        <w:ind w:left="284" w:hanging="284"/>
        <w:jc w:val="both"/>
      </w:pPr>
      <w:rPr>
        <w:rFonts w:ascii="Symbol" w:eastAsia="Symbol" w:hAnsi="Symbol"/>
        <w:w w:val="100"/>
        <w:sz w:val="20"/>
        <w:szCs w:val="20"/>
        <w:shd w:val="clear" w:color="auto" w:fill="auto"/>
      </w:rPr>
    </w:lvl>
    <w:lvl w:ilvl="1">
      <w:start w:val="1"/>
      <w:numFmt w:val="bullet"/>
      <w:pStyle w:val="ListBullet3Level2"/>
      <w:lvlText w:val="·"/>
      <w:lvlJc w:val="left"/>
      <w:pPr>
        <w:tabs>
          <w:tab w:val="left" w:pos="567"/>
        </w:tabs>
        <w:ind w:left="567" w:hanging="283"/>
        <w:jc w:val="both"/>
      </w:pPr>
      <w:rPr>
        <w:rFonts w:ascii="Symbol" w:eastAsia="Symbol" w:hAnsi="Symbol"/>
        <w:w w:val="100"/>
        <w:sz w:val="20"/>
        <w:szCs w:val="20"/>
        <w:shd w:val="clear" w:color="auto" w:fill="auto"/>
      </w:rPr>
    </w:lvl>
    <w:lvl w:ilvl="2">
      <w:start w:val="1"/>
      <w:numFmt w:val="bullet"/>
      <w:pStyle w:val="ListBullet3Level3"/>
      <w:lvlText w:val="Ø"/>
      <w:lvlJc w:val="left"/>
      <w:pPr>
        <w:tabs>
          <w:tab w:val="left" w:pos="851"/>
        </w:tabs>
        <w:ind w:left="851" w:hanging="284"/>
        <w:jc w:val="both"/>
      </w:pPr>
      <w:rPr>
        <w:rFonts w:ascii="Wingdings" w:eastAsia="Wingdings" w:hAnsi="Wingdings"/>
        <w:w w:val="100"/>
        <w:sz w:val="20"/>
        <w:szCs w:val="20"/>
        <w:shd w:val="clear" w:color="auto" w:fill="auto"/>
      </w:rPr>
    </w:lvl>
    <w:lvl w:ilvl="3">
      <w:start w:val="1"/>
      <w:numFmt w:val="bullet"/>
      <w:pStyle w:val="ListBullet3Level4"/>
      <w:lvlText w:val="·"/>
      <w:lvlJc w:val="left"/>
      <w:pPr>
        <w:tabs>
          <w:tab w:val="left" w:pos="1134"/>
        </w:tabs>
        <w:ind w:left="1134" w:hanging="283"/>
        <w:jc w:val="both"/>
      </w:pPr>
      <w:rPr>
        <w:rFonts w:ascii="Symbol" w:eastAsia="Symbol" w:hAnsi="Symbol"/>
        <w:w w:val="100"/>
        <w:sz w:val="20"/>
        <w:szCs w:val="20"/>
        <w:shd w:val="clear" w:color="auto" w:fill="auto"/>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F000005"/>
    <w:multiLevelType w:val="multilevel"/>
    <w:tmpl w:val="2D036D64"/>
    <w:lvl w:ilvl="0">
      <w:start w:val="1"/>
      <w:numFmt w:val="decimal"/>
      <w:pStyle w:val="ListNumber2"/>
      <w:lvlText w:val="(%1)"/>
      <w:lvlJc w:val="left"/>
      <w:pPr>
        <w:tabs>
          <w:tab w:val="left" w:pos="1786"/>
        </w:tabs>
        <w:ind w:left="1786" w:hanging="709"/>
        <w:jc w:val="both"/>
      </w:pPr>
    </w:lvl>
    <w:lvl w:ilvl="1">
      <w:start w:val="1"/>
      <w:numFmt w:val="lowerLetter"/>
      <w:pStyle w:val="ListNumber2Level2"/>
      <w:lvlText w:val="(%2)"/>
      <w:lvlJc w:val="left"/>
      <w:pPr>
        <w:tabs>
          <w:tab w:val="left" w:pos="2494"/>
        </w:tabs>
        <w:ind w:left="2494" w:hanging="708"/>
        <w:jc w:val="both"/>
      </w:pPr>
    </w:lvl>
    <w:lvl w:ilvl="2">
      <w:start w:val="1"/>
      <w:numFmt w:val="bullet"/>
      <w:pStyle w:val="ListNumber2Level3"/>
      <w:lvlText w:val="–"/>
      <w:lvlJc w:val="left"/>
      <w:pPr>
        <w:tabs>
          <w:tab w:val="left" w:pos="3203"/>
        </w:tabs>
        <w:ind w:left="3203" w:hanging="697"/>
        <w:jc w:val="both"/>
      </w:pPr>
      <w:rPr>
        <w:rFonts w:ascii="Times New Roman" w:eastAsia="Times New Roman" w:hAnsi="Times New Roman"/>
        <w:w w:val="100"/>
        <w:sz w:val="20"/>
        <w:szCs w:val="20"/>
        <w:shd w:val="clear" w:color="auto" w:fill="auto"/>
      </w:rPr>
    </w:lvl>
    <w:lvl w:ilvl="3">
      <w:start w:val="1"/>
      <w:numFmt w:val="bullet"/>
      <w:pStyle w:val="ListNumber2Level4"/>
      <w:lvlText w:val="·"/>
      <w:lvlJc w:val="left"/>
      <w:pPr>
        <w:tabs>
          <w:tab w:val="left" w:pos="3912"/>
        </w:tabs>
        <w:ind w:left="3912" w:hanging="709"/>
        <w:jc w:val="both"/>
      </w:pPr>
      <w:rPr>
        <w:rFonts w:ascii="Symbol" w:eastAsia="Symbol" w:hAnsi="Symbol"/>
        <w:w w:val="100"/>
        <w:sz w:val="20"/>
        <w:szCs w:val="20"/>
        <w:shd w:val="clear" w:color="auto" w:fill="auto"/>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F000006"/>
    <w:multiLevelType w:val="multilevel"/>
    <w:tmpl w:val="2202C76C"/>
    <w:lvl w:ilvl="0">
      <w:start w:val="1"/>
      <w:numFmt w:val="bullet"/>
      <w:pStyle w:val="ListDash2"/>
      <w:lvlText w:val="–"/>
      <w:lvlJc w:val="left"/>
      <w:pPr>
        <w:tabs>
          <w:tab w:val="left" w:pos="1361"/>
        </w:tabs>
        <w:ind w:left="1361" w:hanging="284"/>
        <w:jc w:val="both"/>
      </w:pPr>
      <w:rPr>
        <w:rFonts w:ascii="Times New Roman" w:eastAsia="Times New Roman" w:hAnsi="Times New Roman"/>
        <w:w w:val="100"/>
        <w:sz w:val="20"/>
        <w:szCs w:val="20"/>
        <w:shd w:val="clear" w:color="auto" w:fill="auto"/>
      </w:rPr>
    </w:lvl>
    <w:lvl w:ilvl="1">
      <w:start w:val="1"/>
      <w:numFmt w:val="bullet"/>
      <w:pStyle w:val="ListDash2Level2"/>
      <w:lvlText w:val="–"/>
      <w:lvlJc w:val="left"/>
      <w:pPr>
        <w:tabs>
          <w:tab w:val="left" w:pos="1644"/>
        </w:tabs>
        <w:ind w:left="1644" w:hanging="283"/>
        <w:jc w:val="both"/>
      </w:pPr>
      <w:rPr>
        <w:rFonts w:ascii="Times New Roman" w:eastAsia="Times New Roman" w:hAnsi="Times New Roman"/>
        <w:w w:val="100"/>
        <w:sz w:val="20"/>
        <w:szCs w:val="20"/>
        <w:shd w:val="clear" w:color="auto" w:fill="auto"/>
      </w:rPr>
    </w:lvl>
    <w:lvl w:ilvl="2">
      <w:start w:val="1"/>
      <w:numFmt w:val="bullet"/>
      <w:pStyle w:val="ListDash2Level3"/>
      <w:lvlText w:val="–"/>
      <w:lvlJc w:val="left"/>
      <w:pPr>
        <w:tabs>
          <w:tab w:val="left" w:pos="1928"/>
        </w:tabs>
        <w:ind w:left="1928" w:hanging="284"/>
        <w:jc w:val="both"/>
      </w:pPr>
      <w:rPr>
        <w:rFonts w:ascii="Times New Roman" w:eastAsia="Times New Roman" w:hAnsi="Times New Roman"/>
        <w:w w:val="100"/>
        <w:sz w:val="20"/>
        <w:szCs w:val="20"/>
        <w:shd w:val="clear" w:color="auto" w:fill="auto"/>
      </w:rPr>
    </w:lvl>
    <w:lvl w:ilvl="3">
      <w:start w:val="1"/>
      <w:numFmt w:val="bullet"/>
      <w:pStyle w:val="ListDash2Level4"/>
      <w:lvlText w:val="–"/>
      <w:lvlJc w:val="left"/>
      <w:pPr>
        <w:tabs>
          <w:tab w:val="left" w:pos="2211"/>
        </w:tabs>
        <w:ind w:left="2211" w:hanging="283"/>
        <w:jc w:val="both"/>
      </w:pPr>
      <w:rPr>
        <w:rFonts w:ascii="Times New Roman" w:eastAsia="Times New Roman" w:hAnsi="Times New Roman"/>
        <w:w w:val="100"/>
        <w:sz w:val="20"/>
        <w:szCs w:val="20"/>
        <w:shd w:val="clear" w:color="auto" w:fill="auto"/>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F000007"/>
    <w:multiLevelType w:val="multilevel"/>
    <w:tmpl w:val="4A7284FF"/>
    <w:lvl w:ilvl="0">
      <w:start w:val="1"/>
      <w:numFmt w:val="bullet"/>
      <w:pStyle w:val="ListBullet2"/>
      <w:lvlText w:val="·"/>
      <w:lvlJc w:val="left"/>
      <w:pPr>
        <w:tabs>
          <w:tab w:val="left" w:pos="568"/>
        </w:tabs>
        <w:ind w:left="568" w:hanging="284"/>
        <w:jc w:val="both"/>
      </w:pPr>
      <w:rPr>
        <w:rFonts w:ascii="Symbol" w:eastAsia="Symbol" w:hAnsi="Symbol"/>
        <w:w w:val="100"/>
        <w:sz w:val="20"/>
        <w:szCs w:val="20"/>
        <w:shd w:val="clear" w:color="auto" w:fill="auto"/>
      </w:rPr>
    </w:lvl>
    <w:lvl w:ilvl="1">
      <w:start w:val="1"/>
      <w:numFmt w:val="bullet"/>
      <w:pStyle w:val="ListBullet2Level2"/>
      <w:lvlText w:val="·"/>
      <w:lvlJc w:val="left"/>
      <w:pPr>
        <w:tabs>
          <w:tab w:val="left" w:pos="851"/>
        </w:tabs>
        <w:ind w:left="851" w:hanging="283"/>
        <w:jc w:val="both"/>
      </w:pPr>
      <w:rPr>
        <w:rFonts w:ascii="Symbol" w:eastAsia="Symbol" w:hAnsi="Symbol"/>
        <w:w w:val="100"/>
        <w:sz w:val="20"/>
        <w:szCs w:val="20"/>
        <w:shd w:val="clear" w:color="auto" w:fill="auto"/>
      </w:rPr>
    </w:lvl>
    <w:lvl w:ilvl="2">
      <w:start w:val="1"/>
      <w:numFmt w:val="bullet"/>
      <w:pStyle w:val="ListBullet2Level3"/>
      <w:lvlText w:val="·"/>
      <w:lvlJc w:val="left"/>
      <w:pPr>
        <w:tabs>
          <w:tab w:val="left" w:pos="1135"/>
        </w:tabs>
        <w:ind w:left="1135" w:hanging="284"/>
        <w:jc w:val="both"/>
      </w:pPr>
      <w:rPr>
        <w:rFonts w:ascii="Symbol" w:eastAsia="Symbol" w:hAnsi="Symbol"/>
        <w:w w:val="100"/>
        <w:sz w:val="20"/>
        <w:szCs w:val="20"/>
        <w:shd w:val="clear" w:color="auto" w:fill="auto"/>
      </w:rPr>
    </w:lvl>
    <w:lvl w:ilvl="3">
      <w:start w:val="1"/>
      <w:numFmt w:val="bullet"/>
      <w:pStyle w:val="ListBullet2Level4"/>
      <w:lvlText w:val="·"/>
      <w:lvlJc w:val="left"/>
      <w:pPr>
        <w:tabs>
          <w:tab w:val="left" w:pos="1418"/>
        </w:tabs>
        <w:ind w:left="1418" w:hanging="283"/>
        <w:jc w:val="both"/>
      </w:pPr>
      <w:rPr>
        <w:rFonts w:ascii="Symbol" w:eastAsia="Symbol" w:hAnsi="Symbol"/>
        <w:w w:val="100"/>
        <w:sz w:val="20"/>
        <w:szCs w:val="20"/>
        <w:shd w:val="clear" w:color="auto" w:fill="auto"/>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F000008"/>
    <w:multiLevelType w:val="multilevel"/>
    <w:tmpl w:val="4A7997A1"/>
    <w:lvl w:ilvl="0">
      <w:start w:val="1"/>
      <w:numFmt w:val="decimal"/>
      <w:pStyle w:val="LegalNumPar"/>
      <w:lvlText w:val="%1."/>
      <w:lvlJc w:val="left"/>
      <w:pPr>
        <w:tabs>
          <w:tab w:val="left" w:pos="476"/>
        </w:tabs>
        <w:ind w:left="476" w:hanging="476"/>
        <w:jc w:val="both"/>
      </w:pPr>
      <w:rPr>
        <w:w w:val="100"/>
        <w:sz w:val="20"/>
        <w:szCs w:val="20"/>
        <w:shd w:val="clear" w:color="auto" w:fill="auto"/>
      </w:rPr>
    </w:lvl>
    <w:lvl w:ilvl="1">
      <w:start w:val="1"/>
      <w:numFmt w:val="lowerLetter"/>
      <w:pStyle w:val="LegalNumPar2"/>
      <w:lvlText w:val="%2."/>
      <w:lvlJc w:val="left"/>
      <w:pPr>
        <w:tabs>
          <w:tab w:val="left" w:pos="952"/>
        </w:tabs>
        <w:ind w:left="952" w:hanging="476"/>
        <w:jc w:val="both"/>
      </w:pPr>
      <w:rPr>
        <w:w w:val="100"/>
        <w:sz w:val="20"/>
        <w:szCs w:val="20"/>
        <w:shd w:val="clear" w:color="auto" w:fill="auto"/>
      </w:rPr>
    </w:lvl>
    <w:lvl w:ilvl="2">
      <w:start w:val="1"/>
      <w:numFmt w:val="lowerRoman"/>
      <w:pStyle w:val="LegalNumPar3"/>
      <w:lvlText w:val="%3."/>
      <w:lvlJc w:val="left"/>
      <w:pPr>
        <w:tabs>
          <w:tab w:val="left" w:pos="1429"/>
        </w:tabs>
        <w:ind w:left="1429" w:hanging="477"/>
        <w:jc w:val="both"/>
      </w:pPr>
      <w:rPr>
        <w:w w:val="100"/>
        <w:sz w:val="20"/>
        <w:szCs w:val="20"/>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F000009"/>
    <w:multiLevelType w:val="multilevel"/>
    <w:tmpl w:val="5AD20226"/>
    <w:lvl w:ilvl="0">
      <w:start w:val="1"/>
      <w:numFmt w:val="bullet"/>
      <w:pStyle w:val="ListDash3"/>
      <w:lvlText w:val="–"/>
      <w:lvlJc w:val="left"/>
      <w:pPr>
        <w:tabs>
          <w:tab w:val="left" w:pos="2200"/>
        </w:tabs>
        <w:ind w:left="2200" w:hanging="284"/>
        <w:jc w:val="both"/>
      </w:pPr>
      <w:rPr>
        <w:rFonts w:ascii="Times New Roman" w:eastAsia="Times New Roman" w:hAnsi="Times New Roman"/>
        <w:w w:val="100"/>
        <w:sz w:val="20"/>
        <w:szCs w:val="20"/>
        <w:shd w:val="clear" w:color="auto" w:fill="auto"/>
      </w:rPr>
    </w:lvl>
    <w:lvl w:ilvl="1">
      <w:start w:val="1"/>
      <w:numFmt w:val="bullet"/>
      <w:pStyle w:val="ListDash3Level2"/>
      <w:lvlText w:val="–"/>
      <w:lvlJc w:val="left"/>
      <w:pPr>
        <w:tabs>
          <w:tab w:val="left" w:pos="2483"/>
        </w:tabs>
        <w:ind w:left="2483" w:hanging="283"/>
        <w:jc w:val="both"/>
      </w:pPr>
      <w:rPr>
        <w:rFonts w:ascii="Times New Roman" w:eastAsia="Times New Roman" w:hAnsi="Times New Roman"/>
        <w:w w:val="100"/>
        <w:sz w:val="20"/>
        <w:szCs w:val="20"/>
        <w:shd w:val="clear" w:color="auto" w:fill="auto"/>
      </w:rPr>
    </w:lvl>
    <w:lvl w:ilvl="2">
      <w:start w:val="1"/>
      <w:numFmt w:val="bullet"/>
      <w:pStyle w:val="ListDash3Level3"/>
      <w:lvlText w:val="–"/>
      <w:lvlJc w:val="left"/>
      <w:pPr>
        <w:tabs>
          <w:tab w:val="left" w:pos="2767"/>
        </w:tabs>
        <w:ind w:left="2767" w:hanging="284"/>
        <w:jc w:val="both"/>
      </w:pPr>
      <w:rPr>
        <w:rFonts w:ascii="Times New Roman" w:eastAsia="Times New Roman" w:hAnsi="Times New Roman"/>
        <w:w w:val="100"/>
        <w:sz w:val="20"/>
        <w:szCs w:val="20"/>
        <w:shd w:val="clear" w:color="auto" w:fill="auto"/>
      </w:rPr>
    </w:lvl>
    <w:lvl w:ilvl="3">
      <w:start w:val="1"/>
      <w:numFmt w:val="bullet"/>
      <w:pStyle w:val="ListDash3Level4"/>
      <w:lvlText w:val="–"/>
      <w:lvlJc w:val="left"/>
      <w:pPr>
        <w:tabs>
          <w:tab w:val="left" w:pos="3050"/>
        </w:tabs>
        <w:ind w:left="3050" w:hanging="283"/>
        <w:jc w:val="both"/>
      </w:pPr>
      <w:rPr>
        <w:rFonts w:ascii="Times New Roman" w:eastAsia="Times New Roman" w:hAnsi="Times New Roman"/>
        <w:w w:val="100"/>
        <w:sz w:val="20"/>
        <w:szCs w:val="20"/>
        <w:shd w:val="clear" w:color="auto" w:fill="auto"/>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F00000A"/>
    <w:multiLevelType w:val="multilevel"/>
    <w:tmpl w:val="378B4C4C"/>
    <w:lvl w:ilvl="0">
      <w:start w:val="1"/>
      <w:numFmt w:val="bullet"/>
      <w:pStyle w:val="ListDash1"/>
      <w:lvlText w:val="–"/>
      <w:lvlJc w:val="left"/>
      <w:pPr>
        <w:tabs>
          <w:tab w:val="left" w:pos="765"/>
        </w:tabs>
        <w:ind w:left="765" w:hanging="283"/>
        <w:jc w:val="both"/>
      </w:pPr>
      <w:rPr>
        <w:rFonts w:ascii="Times New Roman" w:eastAsia="Times New Roman" w:hAnsi="Times New Roman"/>
        <w:w w:val="100"/>
        <w:sz w:val="20"/>
        <w:szCs w:val="20"/>
        <w:shd w:val="clear" w:color="auto" w:fill="auto"/>
      </w:rPr>
    </w:lvl>
    <w:lvl w:ilvl="1">
      <w:start w:val="1"/>
      <w:numFmt w:val="bullet"/>
      <w:pStyle w:val="ListDash1Level2"/>
      <w:lvlText w:val="–"/>
      <w:lvlJc w:val="left"/>
      <w:pPr>
        <w:tabs>
          <w:tab w:val="left" w:pos="1049"/>
        </w:tabs>
        <w:ind w:left="1049" w:hanging="284"/>
        <w:jc w:val="both"/>
      </w:pPr>
      <w:rPr>
        <w:rFonts w:ascii="Times New Roman" w:eastAsia="Times New Roman" w:hAnsi="Times New Roman"/>
        <w:w w:val="100"/>
        <w:sz w:val="20"/>
        <w:szCs w:val="20"/>
        <w:shd w:val="clear" w:color="auto" w:fill="auto"/>
      </w:rPr>
    </w:lvl>
    <w:lvl w:ilvl="2">
      <w:start w:val="1"/>
      <w:numFmt w:val="bullet"/>
      <w:pStyle w:val="ListDash1Level3"/>
      <w:lvlText w:val="–"/>
      <w:lvlJc w:val="left"/>
      <w:pPr>
        <w:tabs>
          <w:tab w:val="left" w:pos="1332"/>
        </w:tabs>
        <w:ind w:left="1332" w:hanging="283"/>
        <w:jc w:val="both"/>
      </w:pPr>
      <w:rPr>
        <w:rFonts w:ascii="Times New Roman" w:eastAsia="Times New Roman" w:hAnsi="Times New Roman"/>
        <w:w w:val="100"/>
        <w:sz w:val="20"/>
        <w:szCs w:val="20"/>
        <w:shd w:val="clear" w:color="auto" w:fill="auto"/>
      </w:rPr>
    </w:lvl>
    <w:lvl w:ilvl="3">
      <w:start w:val="1"/>
      <w:numFmt w:val="bullet"/>
      <w:pStyle w:val="ListDash1Level4"/>
      <w:lvlText w:val="–"/>
      <w:lvlJc w:val="left"/>
      <w:pPr>
        <w:tabs>
          <w:tab w:val="left" w:pos="1616"/>
        </w:tabs>
        <w:ind w:left="1616" w:hanging="284"/>
        <w:jc w:val="both"/>
      </w:pPr>
      <w:rPr>
        <w:rFonts w:ascii="Times New Roman" w:eastAsia="Times New Roman" w:hAnsi="Times New Roman"/>
        <w:w w:val="100"/>
        <w:sz w:val="20"/>
        <w:szCs w:val="20"/>
        <w:shd w:val="clear" w:color="auto" w:fill="auto"/>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F00000B"/>
    <w:multiLevelType w:val="multilevel"/>
    <w:tmpl w:val="403E1E2A"/>
    <w:lvl w:ilvl="0">
      <w:start w:val="1"/>
      <w:numFmt w:val="bullet"/>
      <w:pStyle w:val="ListBullet1"/>
      <w:lvlText w:val="·"/>
      <w:lvlJc w:val="left"/>
      <w:pPr>
        <w:tabs>
          <w:tab w:val="left" w:pos="765"/>
        </w:tabs>
        <w:ind w:left="765" w:hanging="283"/>
        <w:jc w:val="both"/>
      </w:pPr>
      <w:rPr>
        <w:rFonts w:ascii="Symbol" w:eastAsia="Symbol" w:hAnsi="Symbol"/>
        <w:w w:val="100"/>
        <w:sz w:val="20"/>
        <w:szCs w:val="20"/>
        <w:shd w:val="clear" w:color="auto" w:fill="auto"/>
      </w:rPr>
    </w:lvl>
    <w:lvl w:ilvl="1">
      <w:start w:val="1"/>
      <w:numFmt w:val="bullet"/>
      <w:pStyle w:val="ListBullet1Level2"/>
      <w:lvlText w:val="·"/>
      <w:lvlJc w:val="left"/>
      <w:pPr>
        <w:tabs>
          <w:tab w:val="left" w:pos="1049"/>
        </w:tabs>
        <w:ind w:left="1049" w:hanging="284"/>
        <w:jc w:val="both"/>
      </w:pPr>
      <w:rPr>
        <w:rFonts w:ascii="Symbol" w:eastAsia="Symbol" w:hAnsi="Symbol"/>
        <w:w w:val="100"/>
        <w:sz w:val="20"/>
        <w:szCs w:val="20"/>
        <w:shd w:val="clear" w:color="auto" w:fill="auto"/>
      </w:rPr>
    </w:lvl>
    <w:lvl w:ilvl="2">
      <w:start w:val="1"/>
      <w:numFmt w:val="bullet"/>
      <w:pStyle w:val="ListBullet1Level3"/>
      <w:lvlText w:val="·"/>
      <w:lvlJc w:val="left"/>
      <w:pPr>
        <w:tabs>
          <w:tab w:val="left" w:pos="1332"/>
        </w:tabs>
        <w:ind w:left="1332" w:hanging="283"/>
        <w:jc w:val="both"/>
      </w:pPr>
      <w:rPr>
        <w:rFonts w:ascii="Symbol" w:eastAsia="Symbol" w:hAnsi="Symbol"/>
        <w:w w:val="100"/>
        <w:sz w:val="20"/>
        <w:szCs w:val="20"/>
        <w:shd w:val="clear" w:color="auto" w:fill="auto"/>
      </w:rPr>
    </w:lvl>
    <w:lvl w:ilvl="3">
      <w:start w:val="1"/>
      <w:numFmt w:val="bullet"/>
      <w:pStyle w:val="ListBullet1Level4"/>
      <w:lvlText w:val="·"/>
      <w:lvlJc w:val="left"/>
      <w:pPr>
        <w:tabs>
          <w:tab w:val="left" w:pos="1616"/>
        </w:tabs>
        <w:ind w:left="1616" w:hanging="284"/>
        <w:jc w:val="both"/>
      </w:pPr>
      <w:rPr>
        <w:rFonts w:ascii="Symbol" w:eastAsia="Symbol" w:hAnsi="Symbol"/>
        <w:w w:val="100"/>
        <w:sz w:val="20"/>
        <w:szCs w:val="20"/>
        <w:shd w:val="clear" w:color="auto" w:fill="auto"/>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F00000C"/>
    <w:multiLevelType w:val="multilevel"/>
    <w:tmpl w:val="542E8946"/>
    <w:lvl w:ilvl="0">
      <w:start w:val="1"/>
      <w:numFmt w:val="decimal"/>
      <w:pStyle w:val="ListNumber1"/>
      <w:lvlText w:val="(%1)"/>
      <w:lvlJc w:val="left"/>
      <w:pPr>
        <w:tabs>
          <w:tab w:val="left" w:pos="1191"/>
        </w:tabs>
        <w:ind w:left="1191" w:hanging="709"/>
        <w:jc w:val="both"/>
      </w:pPr>
    </w:lvl>
    <w:lvl w:ilvl="1">
      <w:start w:val="1"/>
      <w:numFmt w:val="lowerLetter"/>
      <w:pStyle w:val="ListNumber1Level2"/>
      <w:lvlText w:val="(%2)"/>
      <w:lvlJc w:val="left"/>
      <w:pPr>
        <w:tabs>
          <w:tab w:val="left" w:pos="1899"/>
        </w:tabs>
        <w:ind w:left="1899" w:hanging="708"/>
        <w:jc w:val="both"/>
      </w:pPr>
    </w:lvl>
    <w:lvl w:ilvl="2">
      <w:start w:val="1"/>
      <w:numFmt w:val="bullet"/>
      <w:pStyle w:val="ListNumber1Level3"/>
      <w:lvlText w:val="–"/>
      <w:lvlJc w:val="left"/>
      <w:pPr>
        <w:tabs>
          <w:tab w:val="left" w:pos="2608"/>
        </w:tabs>
        <w:ind w:left="2608" w:hanging="709"/>
        <w:jc w:val="both"/>
      </w:pPr>
      <w:rPr>
        <w:rFonts w:ascii="Times New Roman" w:eastAsia="Times New Roman" w:hAnsi="Times New Roman"/>
        <w:w w:val="100"/>
        <w:sz w:val="20"/>
        <w:szCs w:val="20"/>
        <w:shd w:val="clear" w:color="auto" w:fill="auto"/>
      </w:rPr>
    </w:lvl>
    <w:lvl w:ilvl="3">
      <w:start w:val="1"/>
      <w:numFmt w:val="bullet"/>
      <w:pStyle w:val="ListNumber1Level4"/>
      <w:lvlText w:val="·"/>
      <w:lvlJc w:val="left"/>
      <w:pPr>
        <w:tabs>
          <w:tab w:val="left" w:pos="3317"/>
        </w:tabs>
        <w:ind w:left="3317" w:hanging="709"/>
        <w:jc w:val="both"/>
      </w:pPr>
      <w:rPr>
        <w:rFonts w:ascii="Symbol" w:eastAsia="Symbol" w:hAnsi="Symbol"/>
        <w:w w:val="100"/>
        <w:sz w:val="20"/>
        <w:szCs w:val="20"/>
        <w:shd w:val="clear" w:color="auto" w:fill="auto"/>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F00000D"/>
    <w:multiLevelType w:val="multilevel"/>
    <w:tmpl w:val="21366DF1"/>
    <w:lvl w:ilvl="0">
      <w:start w:val="1"/>
      <w:numFmt w:val="bullet"/>
      <w:pStyle w:val="ListBullet"/>
      <w:lvlText w:val="·"/>
      <w:lvlJc w:val="left"/>
      <w:pPr>
        <w:tabs>
          <w:tab w:val="left" w:pos="283"/>
        </w:tabs>
        <w:ind w:left="283" w:hanging="283"/>
        <w:jc w:val="both"/>
      </w:pPr>
      <w:rPr>
        <w:rFonts w:ascii="Symbol" w:eastAsia="Symbol" w:hAnsi="Symbol"/>
        <w:w w:val="100"/>
        <w:sz w:val="20"/>
        <w:szCs w:val="20"/>
        <w:shd w:val="clear" w:color="auto" w:fill="auto"/>
      </w:rPr>
    </w:lvl>
    <w:lvl w:ilvl="1">
      <w:start w:val="1"/>
      <w:numFmt w:val="bullet"/>
      <w:pStyle w:val="ListBulletLevel2"/>
      <w:lvlText w:val="·"/>
      <w:lvlJc w:val="left"/>
      <w:pPr>
        <w:tabs>
          <w:tab w:val="left" w:pos="567"/>
        </w:tabs>
        <w:ind w:left="567" w:hanging="284"/>
        <w:jc w:val="both"/>
      </w:pPr>
      <w:rPr>
        <w:rFonts w:ascii="Symbol" w:eastAsia="Symbol" w:hAnsi="Symbol"/>
        <w:w w:val="100"/>
        <w:sz w:val="20"/>
        <w:szCs w:val="20"/>
        <w:shd w:val="clear" w:color="auto" w:fill="auto"/>
      </w:rPr>
    </w:lvl>
    <w:lvl w:ilvl="2">
      <w:start w:val="1"/>
      <w:numFmt w:val="bullet"/>
      <w:pStyle w:val="ListBulletLevel3"/>
      <w:lvlText w:val="·"/>
      <w:lvlJc w:val="left"/>
      <w:pPr>
        <w:tabs>
          <w:tab w:val="left" w:pos="850"/>
        </w:tabs>
        <w:ind w:left="850" w:hanging="283"/>
        <w:jc w:val="both"/>
      </w:pPr>
      <w:rPr>
        <w:rFonts w:ascii="Symbol" w:eastAsia="Symbol" w:hAnsi="Symbol"/>
        <w:w w:val="100"/>
        <w:sz w:val="20"/>
        <w:szCs w:val="20"/>
        <w:shd w:val="clear" w:color="auto" w:fill="auto"/>
      </w:rPr>
    </w:lvl>
    <w:lvl w:ilvl="3">
      <w:start w:val="1"/>
      <w:numFmt w:val="bullet"/>
      <w:pStyle w:val="ListBulletLevel4"/>
      <w:lvlText w:val="·"/>
      <w:lvlJc w:val="left"/>
      <w:pPr>
        <w:tabs>
          <w:tab w:val="left" w:pos="1134"/>
        </w:tabs>
        <w:ind w:left="1134" w:hanging="284"/>
        <w:jc w:val="both"/>
      </w:pPr>
      <w:rPr>
        <w:rFonts w:ascii="Symbol" w:eastAsia="Symbol" w:hAnsi="Symbol"/>
        <w:w w:val="100"/>
        <w:sz w:val="20"/>
        <w:szCs w:val="20"/>
        <w:shd w:val="clear" w:color="auto" w:fill="auto"/>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F00000E"/>
    <w:multiLevelType w:val="multilevel"/>
    <w:tmpl w:val="226BEA59"/>
    <w:lvl w:ilvl="0">
      <w:start w:val="1"/>
      <w:numFmt w:val="bullet"/>
      <w:pStyle w:val="ListDash"/>
      <w:lvlText w:val="–"/>
      <w:lvlJc w:val="left"/>
      <w:pPr>
        <w:tabs>
          <w:tab w:val="left" w:pos="283"/>
        </w:tabs>
        <w:ind w:left="283" w:hanging="283"/>
        <w:jc w:val="both"/>
      </w:pPr>
      <w:rPr>
        <w:rFonts w:ascii="Times New Roman" w:eastAsia="Times New Roman" w:hAnsi="Times New Roman"/>
        <w:w w:val="100"/>
        <w:sz w:val="20"/>
        <w:szCs w:val="20"/>
        <w:shd w:val="clear" w:color="auto" w:fill="auto"/>
      </w:rPr>
    </w:lvl>
    <w:lvl w:ilvl="1">
      <w:start w:val="1"/>
      <w:numFmt w:val="bullet"/>
      <w:pStyle w:val="ListDashLevel2"/>
      <w:lvlText w:val="–"/>
      <w:lvlJc w:val="left"/>
      <w:pPr>
        <w:tabs>
          <w:tab w:val="left" w:pos="567"/>
        </w:tabs>
        <w:ind w:left="567" w:hanging="284"/>
        <w:jc w:val="both"/>
      </w:pPr>
      <w:rPr>
        <w:rFonts w:ascii="Times New Roman" w:eastAsia="Times New Roman" w:hAnsi="Times New Roman"/>
        <w:w w:val="100"/>
        <w:sz w:val="20"/>
        <w:szCs w:val="20"/>
        <w:shd w:val="clear" w:color="auto" w:fill="auto"/>
      </w:rPr>
    </w:lvl>
    <w:lvl w:ilvl="2">
      <w:start w:val="1"/>
      <w:numFmt w:val="bullet"/>
      <w:pStyle w:val="ListDashLevel3"/>
      <w:lvlText w:val="–"/>
      <w:lvlJc w:val="left"/>
      <w:pPr>
        <w:tabs>
          <w:tab w:val="left" w:pos="850"/>
        </w:tabs>
        <w:ind w:left="850" w:hanging="283"/>
        <w:jc w:val="both"/>
      </w:pPr>
      <w:rPr>
        <w:rFonts w:ascii="Times New Roman" w:eastAsia="Times New Roman" w:hAnsi="Times New Roman"/>
        <w:w w:val="100"/>
        <w:sz w:val="20"/>
        <w:szCs w:val="20"/>
        <w:shd w:val="clear" w:color="auto" w:fill="auto"/>
      </w:rPr>
    </w:lvl>
    <w:lvl w:ilvl="3">
      <w:start w:val="1"/>
      <w:numFmt w:val="bullet"/>
      <w:pStyle w:val="ListDashLevel4"/>
      <w:lvlText w:val="–"/>
      <w:lvlJc w:val="left"/>
      <w:pPr>
        <w:tabs>
          <w:tab w:val="left" w:pos="1134"/>
        </w:tabs>
        <w:ind w:left="1134" w:hanging="284"/>
        <w:jc w:val="both"/>
      </w:pPr>
      <w:rPr>
        <w:rFonts w:ascii="Times New Roman" w:eastAsia="Times New Roman" w:hAnsi="Times New Roman"/>
        <w:w w:val="100"/>
        <w:sz w:val="20"/>
        <w:szCs w:val="20"/>
        <w:shd w:val="clear" w:color="auto" w:fill="auto"/>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F000010"/>
    <w:multiLevelType w:val="multilevel"/>
    <w:tmpl w:val="49F41C8B"/>
    <w:lvl w:ilvl="0">
      <w:start w:val="1"/>
      <w:numFmt w:val="decimal"/>
      <w:pStyle w:val="ListNumber4"/>
      <w:lvlText w:val="(%1)"/>
      <w:lvlJc w:val="left"/>
      <w:pPr>
        <w:tabs>
          <w:tab w:val="left" w:pos="3589"/>
        </w:tabs>
        <w:ind w:left="3589" w:hanging="709"/>
        <w:jc w:val="both"/>
      </w:pPr>
    </w:lvl>
    <w:lvl w:ilvl="1">
      <w:start w:val="1"/>
      <w:numFmt w:val="lowerLetter"/>
      <w:pStyle w:val="ListNumber4Level2"/>
      <w:lvlText w:val="(%2)"/>
      <w:lvlJc w:val="left"/>
      <w:pPr>
        <w:tabs>
          <w:tab w:val="left" w:pos="4297"/>
        </w:tabs>
        <w:ind w:left="4297" w:hanging="708"/>
        <w:jc w:val="both"/>
      </w:pPr>
    </w:lvl>
    <w:lvl w:ilvl="2">
      <w:start w:val="1"/>
      <w:numFmt w:val="bullet"/>
      <w:pStyle w:val="ListNumber4Level3"/>
      <w:lvlText w:val="–"/>
      <w:lvlJc w:val="left"/>
      <w:pPr>
        <w:tabs>
          <w:tab w:val="left" w:pos="5006"/>
        </w:tabs>
        <w:ind w:left="5006" w:hanging="709"/>
        <w:jc w:val="both"/>
      </w:pPr>
      <w:rPr>
        <w:rFonts w:ascii="Times New Roman" w:eastAsia="Times New Roman" w:hAnsi="Times New Roman"/>
        <w:w w:val="100"/>
        <w:sz w:val="20"/>
        <w:szCs w:val="20"/>
        <w:shd w:val="clear" w:color="auto" w:fill="auto"/>
      </w:rPr>
    </w:lvl>
    <w:lvl w:ilvl="3">
      <w:start w:val="1"/>
      <w:numFmt w:val="bullet"/>
      <w:pStyle w:val="ListNumber4Level4"/>
      <w:lvlText w:val="·"/>
      <w:lvlJc w:val="left"/>
      <w:pPr>
        <w:tabs>
          <w:tab w:val="left" w:pos="5715"/>
        </w:tabs>
        <w:ind w:left="5715" w:hanging="709"/>
        <w:jc w:val="both"/>
      </w:pPr>
      <w:rPr>
        <w:rFonts w:ascii="Symbol" w:eastAsia="Symbol" w:hAnsi="Symbol"/>
        <w:w w:val="100"/>
        <w:sz w:val="20"/>
        <w:szCs w:val="20"/>
        <w:shd w:val="clear" w:color="auto" w:fill="auto"/>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F000011"/>
    <w:multiLevelType w:val="multilevel"/>
    <w:tmpl w:val="1F7E2088"/>
    <w:lvl w:ilvl="0">
      <w:start w:val="1"/>
      <w:numFmt w:val="decimal"/>
      <w:pStyle w:val="Heading1"/>
      <w:lvlText w:val="%1."/>
      <w:lvlJc w:val="left"/>
      <w:pPr>
        <w:tabs>
          <w:tab w:val="left" w:pos="482"/>
        </w:tabs>
        <w:ind w:left="482" w:hanging="482"/>
        <w:jc w:val="both"/>
      </w:pPr>
    </w:lvl>
    <w:lvl w:ilvl="1">
      <w:start w:val="1"/>
      <w:numFmt w:val="decimal"/>
      <w:pStyle w:val="Heading2"/>
      <w:lvlText w:val="%1.%2."/>
      <w:lvlJc w:val="left"/>
      <w:pPr>
        <w:tabs>
          <w:tab w:val="left" w:pos="1311"/>
        </w:tabs>
        <w:ind w:left="1311" w:hanging="601"/>
        <w:jc w:val="both"/>
      </w:pPr>
    </w:lvl>
    <w:lvl w:ilvl="2">
      <w:start w:val="1"/>
      <w:numFmt w:val="decimal"/>
      <w:pStyle w:val="Heading3"/>
      <w:lvlText w:val="%1.%2.%3."/>
      <w:lvlJc w:val="left"/>
      <w:pPr>
        <w:tabs>
          <w:tab w:val="left" w:pos="1922"/>
        </w:tabs>
        <w:ind w:left="1922" w:hanging="839"/>
        <w:jc w:val="both"/>
      </w:pPr>
    </w:lvl>
    <w:lvl w:ilvl="3">
      <w:start w:val="1"/>
      <w:numFmt w:val="decimal"/>
      <w:pStyle w:val="Heading4"/>
      <w:lvlText w:val="%1.%2.%3.%4."/>
      <w:lvlJc w:val="left"/>
      <w:pPr>
        <w:tabs>
          <w:tab w:val="left" w:pos="2880"/>
        </w:tabs>
        <w:ind w:left="2880" w:hanging="958"/>
        <w:jc w:val="both"/>
      </w:pPr>
    </w:lvl>
    <w:lvl w:ilvl="4">
      <w:start w:val="1"/>
      <w:numFmt w:val="decimal"/>
      <w:pStyle w:val="Heading5"/>
      <w:lvlText w:val="%1.%2.%3.%4.%5."/>
      <w:lvlJc w:val="left"/>
      <w:pPr>
        <w:tabs>
          <w:tab w:val="left" w:pos="2880"/>
        </w:tabs>
        <w:ind w:left="3838" w:hanging="958"/>
        <w:jc w:val="both"/>
      </w:pPr>
    </w:lvl>
    <w:lvl w:ilvl="5">
      <w:start w:val="1"/>
      <w:numFmt w:val="decimal"/>
      <w:pStyle w:val="Heading6"/>
      <w:lvlText w:val="%1.%2.%3.%4.%5.%6."/>
      <w:lvlJc w:val="left"/>
      <w:pPr>
        <w:tabs>
          <w:tab w:val="left" w:pos="2880"/>
        </w:tabs>
        <w:ind w:left="3838" w:hanging="958"/>
        <w:jc w:val="both"/>
      </w:pPr>
    </w:lvl>
    <w:lvl w:ilvl="6">
      <w:start w:val="1"/>
      <w:numFmt w:val="decimal"/>
      <w:pStyle w:val="Heading7"/>
      <w:lvlText w:val="%1.%2.%3.%4.%5.%6.%7."/>
      <w:lvlJc w:val="left"/>
      <w:pPr>
        <w:tabs>
          <w:tab w:val="left" w:pos="2880"/>
        </w:tabs>
        <w:ind w:left="3838" w:hanging="958"/>
        <w:jc w:val="both"/>
      </w:pPr>
    </w:lvl>
    <w:lvl w:ilvl="7">
      <w:start w:val="1"/>
      <w:numFmt w:val="decimal"/>
      <w:pStyle w:val="Heading8"/>
      <w:lvlText w:val="%1.%2.%3.%4.%5.%6.%7.%8."/>
      <w:lvlJc w:val="left"/>
      <w:pPr>
        <w:tabs>
          <w:tab w:val="left" w:pos="2880"/>
        </w:tabs>
        <w:ind w:left="3838" w:hanging="958"/>
        <w:jc w:val="both"/>
      </w:pPr>
    </w:lvl>
    <w:lvl w:ilvl="8">
      <w:start w:val="1"/>
      <w:numFmt w:val="decimal"/>
      <w:pStyle w:val="Heading9"/>
      <w:lvlText w:val="%1.%2.%3.%4.%5.%6.%7.%8.%9."/>
      <w:lvlJc w:val="left"/>
      <w:pPr>
        <w:tabs>
          <w:tab w:val="left" w:pos="2880"/>
        </w:tabs>
        <w:ind w:left="3838" w:hanging="958"/>
        <w:jc w:val="both"/>
      </w:pPr>
    </w:lvl>
  </w:abstractNum>
  <w:abstractNum w:abstractNumId="23">
    <w:nsid w:val="2F000012"/>
    <w:multiLevelType w:val="multilevel"/>
    <w:tmpl w:val="64CC4E3A"/>
    <w:lvl w:ilvl="0">
      <w:start w:val="1"/>
      <w:numFmt w:val="upperLetter"/>
      <w:pStyle w:val="AnnexTitle"/>
      <w:lvlText w:val="Annex %1"/>
      <w:lvlJc w:val="left"/>
      <w:pPr>
        <w:tabs>
          <w:tab w:val="left" w:pos="2268"/>
        </w:tabs>
        <w:ind w:left="2268" w:hanging="2268"/>
        <w:jc w:val="both"/>
      </w:pPr>
      <w:rPr>
        <w:w w:val="100"/>
        <w:sz w:val="20"/>
        <w:szCs w:val="20"/>
        <w:shd w:val="clear" w:color="auto" w:fill="auto"/>
      </w:rPr>
    </w:lvl>
    <w:lvl w:ilvl="1">
      <w:start w:val="1"/>
      <w:numFmt w:val="upperLetter"/>
      <w:lvlText w:val="Annex %1"/>
      <w:lvlJc w:val="left"/>
      <w:pPr>
        <w:tabs>
          <w:tab w:val="left" w:pos="2268"/>
        </w:tabs>
        <w:ind w:left="2268" w:hanging="2268"/>
        <w:jc w:val="both"/>
      </w:pPr>
      <w:rPr>
        <w:w w:val="100"/>
        <w:sz w:val="20"/>
        <w:szCs w:val="20"/>
        <w:shd w:val="clear" w:color="auto" w:fill="auto"/>
      </w:rPr>
    </w:lvl>
    <w:lvl w:ilvl="2">
      <w:start w:val="1"/>
      <w:numFmt w:val="upperLetter"/>
      <w:lvlText w:val="Annex %1"/>
      <w:lvlJc w:val="left"/>
      <w:pPr>
        <w:tabs>
          <w:tab w:val="left" w:pos="2268"/>
        </w:tabs>
        <w:ind w:left="2268" w:hanging="2268"/>
        <w:jc w:val="both"/>
      </w:pPr>
      <w:rPr>
        <w:w w:val="100"/>
        <w:sz w:val="20"/>
        <w:szCs w:val="20"/>
        <w:shd w:val="clear" w:color="auto" w:fill="auto"/>
      </w:rPr>
    </w:lvl>
    <w:lvl w:ilvl="3">
      <w:start w:val="1"/>
      <w:numFmt w:val="upperLetter"/>
      <w:lvlText w:val="Annex %1"/>
      <w:lvlJc w:val="left"/>
      <w:pPr>
        <w:tabs>
          <w:tab w:val="left" w:pos="2268"/>
        </w:tabs>
        <w:ind w:left="2268" w:hanging="2268"/>
        <w:jc w:val="both"/>
      </w:pPr>
      <w:rPr>
        <w:w w:val="100"/>
        <w:sz w:val="20"/>
        <w:szCs w:val="20"/>
        <w:shd w:val="clear" w:color="auto" w:fill="auto"/>
      </w:rPr>
    </w:lvl>
    <w:lvl w:ilvl="4">
      <w:start w:val="1"/>
      <w:numFmt w:val="upperLetter"/>
      <w:lvlText w:val="Annex %1"/>
      <w:lvlJc w:val="left"/>
      <w:pPr>
        <w:tabs>
          <w:tab w:val="left" w:pos="2268"/>
        </w:tabs>
        <w:ind w:left="2268" w:hanging="2268"/>
        <w:jc w:val="both"/>
      </w:pPr>
      <w:rPr>
        <w:w w:val="100"/>
        <w:sz w:val="20"/>
        <w:szCs w:val="20"/>
        <w:shd w:val="clear" w:color="auto" w:fill="auto"/>
      </w:rPr>
    </w:lvl>
    <w:lvl w:ilvl="5">
      <w:start w:val="1"/>
      <w:numFmt w:val="upperLetter"/>
      <w:lvlText w:val="Annex %1"/>
      <w:lvlJc w:val="left"/>
      <w:pPr>
        <w:tabs>
          <w:tab w:val="left" w:pos="2268"/>
        </w:tabs>
        <w:ind w:left="2268" w:hanging="2268"/>
        <w:jc w:val="both"/>
      </w:pPr>
      <w:rPr>
        <w:w w:val="100"/>
        <w:sz w:val="20"/>
        <w:szCs w:val="20"/>
        <w:shd w:val="clear" w:color="auto" w:fill="auto"/>
      </w:rPr>
    </w:lvl>
    <w:lvl w:ilvl="6">
      <w:start w:val="1"/>
      <w:numFmt w:val="upperLetter"/>
      <w:lvlText w:val="Annex %1"/>
      <w:lvlJc w:val="left"/>
      <w:pPr>
        <w:tabs>
          <w:tab w:val="left" w:pos="2268"/>
        </w:tabs>
        <w:ind w:left="2268" w:hanging="2268"/>
        <w:jc w:val="both"/>
      </w:pPr>
      <w:rPr>
        <w:w w:val="100"/>
        <w:sz w:val="20"/>
        <w:szCs w:val="20"/>
        <w:shd w:val="clear" w:color="auto" w:fill="auto"/>
      </w:rPr>
    </w:lvl>
    <w:lvl w:ilvl="7">
      <w:start w:val="1"/>
      <w:numFmt w:val="upperLetter"/>
      <w:lvlText w:val="Annex %1"/>
      <w:lvlJc w:val="left"/>
      <w:pPr>
        <w:tabs>
          <w:tab w:val="left" w:pos="2268"/>
        </w:tabs>
        <w:ind w:left="2268" w:hanging="2268"/>
        <w:jc w:val="both"/>
      </w:pPr>
      <w:rPr>
        <w:w w:val="100"/>
        <w:sz w:val="20"/>
        <w:szCs w:val="20"/>
        <w:shd w:val="clear" w:color="auto" w:fill="auto"/>
      </w:rPr>
    </w:lvl>
    <w:lvl w:ilvl="8">
      <w:start w:val="1"/>
      <w:numFmt w:val="upperLetter"/>
      <w:lvlText w:val="Annex %1"/>
      <w:lvlJc w:val="left"/>
      <w:pPr>
        <w:tabs>
          <w:tab w:val="left" w:pos="2268"/>
        </w:tabs>
        <w:ind w:left="2268" w:hanging="2268"/>
        <w:jc w:val="both"/>
      </w:pPr>
      <w:rPr>
        <w:w w:val="100"/>
        <w:sz w:val="20"/>
        <w:szCs w:val="20"/>
        <w:shd w:val="clear" w:color="auto" w:fill="auto"/>
      </w:rPr>
    </w:lvl>
  </w:abstractNum>
  <w:abstractNum w:abstractNumId="24">
    <w:nsid w:val="38EC675C"/>
    <w:multiLevelType w:val="hybridMultilevel"/>
    <w:tmpl w:val="FF088C74"/>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nsid w:val="3C554C7A"/>
    <w:multiLevelType w:val="hybridMultilevel"/>
    <w:tmpl w:val="69EC15AE"/>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nsid w:val="5BB15AA0"/>
    <w:multiLevelType w:val="hybridMultilevel"/>
    <w:tmpl w:val="C4CC38F2"/>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nsid w:val="67031C03"/>
    <w:multiLevelType w:val="hybridMultilevel"/>
    <w:tmpl w:val="23189B3C"/>
    <w:lvl w:ilvl="0" w:tplc="EB5A9EFE">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14"/>
  </w:num>
  <w:num w:numId="3">
    <w:abstractNumId w:val="22"/>
  </w:num>
  <w:num w:numId="4">
    <w:abstractNumId w:val="19"/>
  </w:num>
  <w:num w:numId="5">
    <w:abstractNumId w:val="17"/>
  </w:num>
  <w:num w:numId="6">
    <w:abstractNumId w:val="13"/>
  </w:num>
  <w:num w:numId="7">
    <w:abstractNumId w:val="10"/>
  </w:num>
  <w:num w:numId="8">
    <w:abstractNumId w:val="9"/>
  </w:num>
  <w:num w:numId="9">
    <w:abstractNumId w:val="8"/>
  </w:num>
  <w:num w:numId="10">
    <w:abstractNumId w:val="18"/>
  </w:num>
  <w:num w:numId="11">
    <w:abstractNumId w:val="11"/>
  </w:num>
  <w:num w:numId="12">
    <w:abstractNumId w:val="7"/>
  </w:num>
  <w:num w:numId="13">
    <w:abstractNumId w:val="21"/>
  </w:num>
  <w:num w:numId="14">
    <w:abstractNumId w:val="20"/>
  </w:num>
  <w:num w:numId="15">
    <w:abstractNumId w:val="16"/>
  </w:num>
  <w:num w:numId="16">
    <w:abstractNumId w:val="12"/>
  </w:num>
  <w:num w:numId="17">
    <w:abstractNumId w:val="15"/>
  </w:num>
  <w:num w:numId="18">
    <w:abstractNumId w:val="6"/>
  </w:num>
  <w:num w:numId="19">
    <w:abstractNumId w:val="4"/>
  </w:num>
  <w:num w:numId="20">
    <w:abstractNumId w:val="22"/>
    <w:lvlOverride w:ilvl="0">
      <w:startOverride w:val="2"/>
    </w:lvlOverride>
    <w:lvlOverride w:ilvl="1">
      <w:startOverride w:val="3"/>
    </w:lvlOverride>
  </w:num>
  <w:num w:numId="21">
    <w:abstractNumId w:val="5"/>
  </w:num>
  <w:num w:numId="22">
    <w:abstractNumId w:val="1"/>
  </w:num>
  <w:num w:numId="23">
    <w:abstractNumId w:val="2"/>
  </w:num>
  <w:num w:numId="24">
    <w:abstractNumId w:val="26"/>
  </w:num>
  <w:num w:numId="25">
    <w:abstractNumId w:val="24"/>
  </w:num>
  <w:num w:numId="26">
    <w:abstractNumId w:val="25"/>
  </w:num>
  <w:num w:numId="27">
    <w:abstractNumId w:val="27"/>
  </w:num>
  <w:num w:numId="28">
    <w:abstractNumId w:val="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DateAndTime/>
  <w:hideSpellingErrors/>
  <w:hideGrammaticalErrors/>
  <w:revisionView w:markup="0"/>
  <w:defaultTabStop w:val="720"/>
  <w:hyphenationZone w:val="425"/>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
  <w:docVars>
    <w:docVar w:name="DocStatus" w:val="Green"/>
    <w:docVar w:name="LW_CORRIGENDUM" w:val="&lt;UNUSED&gt;"/>
    <w:docVar w:name="LW_COVERPAGE_EXISTS" w:val="True"/>
    <w:docVar w:name="LW_COVERPAGE_GUID" w:val="C45EF9AD-0465-42C8-9FB9-1AD587AE10EE"/>
    <w:docVar w:name="LW_COVERPAGE_TYPE" w:val="1"/>
    <w:docVar w:name="LW_CROSSREFERENCE" w:val="{SWD(2020) 98 final}"/>
    <w:docVar w:name="LW_DocType" w:val="EUROLOOK"/>
    <w:docVar w:name="LW_EMISSION" w:val="27.5.2020"/>
    <w:docVar w:name="LW_EMISSION_ISODATE" w:val="2020-05-27"/>
    <w:docVar w:name="LW_EMISSION_LOCATION" w:val="BRX"/>
    <w:docVar w:name="LW_EMISSION_PREFIX" w:val="Brussell, "/>
    <w:docVar w:name="LW_EMISSION_SUFFIX" w:val=" "/>
    <w:docVar w:name="LW_ID_DOCTYPE_NONLW" w:val="CP-009"/>
    <w:docVar w:name="LW_LANGUE" w:val="MT"/>
    <w:docVar w:name="LW_LEVEL_OF_SENSITIVITY" w:val="Standard treatment"/>
    <w:docVar w:name="LW_NOM.INST" w:val="IL-KUMMISSJONI EWROPEA"/>
    <w:docVar w:name="LW_NOM.INST_JOINTDOC" w:val="&lt;EMPTY&gt;"/>
    <w:docVar w:name="LW_PART_NBR" w:val="1"/>
    <w:docVar w:name="LW_PART_NBR_TOTAL" w:val="1"/>
    <w:docVar w:name="LW_REF.INST.NEW" w:val="COM"/>
    <w:docVar w:name="LW_REF.INST.NEW_ADOPTED" w:val="final"/>
    <w:docVar w:name="LW_REF.INST.NEW_TEXT" w:val="(2020) 45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lt;FMT:Bold&gt;Il-mument tal-Ewropa: Tiswija u T\u295?ejjija g\u295?all-\u288?enerazzjoni li Jmiss&lt;/FMT&gt;"/>
    <w:docVar w:name="LW_TYPE.DOC.CP" w:val="KOMUNIKAZZJONI TAL-KUMMISSJONI"/>
    <w:docVar w:name="LW_TYPE.DOC.CP.USERTEXT" w:val="&lt;EMPTY&gt;"/>
  </w:docVar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mt-MT"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7" w:unhideWhenUsed="0" w:qFormat="1"/>
    <w:lsdException w:name="heading 2" w:uiPriority="8" w:qFormat="1"/>
    <w:lsdException w:name="heading 3" w:uiPriority="9" w:qFormat="1"/>
    <w:lsdException w:name="heading 4" w:uiPriority="10" w:qFormat="1"/>
    <w:lsdException w:name="heading 5" w:uiPriority="11" w:qFormat="1"/>
    <w:lsdException w:name="heading 6" w:uiPriority="12" w:qFormat="1"/>
    <w:lsdException w:name="heading 7" w:uiPriority="13" w:qFormat="1"/>
    <w:lsdException w:name="heading 8" w:uiPriority="14" w:qFormat="1"/>
    <w:lsdException w:name="heading 9" w:uiPriority="15"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List Bullet" w:uiPriority="0"/>
    <w:lsdException w:name="List Bullet 2" w:uiPriority="0"/>
    <w:lsdException w:name="List Bullet 3" w:uiPriority="0"/>
    <w:lsdException w:name="List Bullet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spacing w:before="120" w:after="240"/>
      <w:jc w:val="both"/>
    </w:pPr>
  </w:style>
  <w:style w:type="paragraph" w:styleId="Heading1">
    <w:name w:val="heading 1"/>
    <w:basedOn w:val="Normal"/>
    <w:link w:val="Heading1Char"/>
    <w:uiPriority w:val="7"/>
    <w:qFormat/>
    <w:pPr>
      <w:keepNext/>
      <w:numPr>
        <w:numId w:val="3"/>
      </w:numPr>
      <w:outlineLvl w:val="0"/>
    </w:pPr>
    <w:rPr>
      <w:b/>
      <w:smallCaps/>
      <w:sz w:val="20"/>
      <w:szCs w:val="20"/>
    </w:rPr>
  </w:style>
  <w:style w:type="paragraph" w:styleId="Heading2">
    <w:name w:val="heading 2"/>
    <w:basedOn w:val="Normal"/>
    <w:link w:val="Heading2Char"/>
    <w:uiPriority w:val="8"/>
    <w:qFormat/>
    <w:pPr>
      <w:keepNext/>
      <w:numPr>
        <w:ilvl w:val="1"/>
        <w:numId w:val="3"/>
      </w:numPr>
      <w:tabs>
        <w:tab w:val="left" w:pos="482"/>
      </w:tabs>
      <w:outlineLvl w:val="1"/>
    </w:pPr>
    <w:rPr>
      <w:b/>
      <w:sz w:val="20"/>
      <w:szCs w:val="20"/>
    </w:rPr>
  </w:style>
  <w:style w:type="paragraph" w:styleId="Heading3">
    <w:name w:val="heading 3"/>
    <w:basedOn w:val="Normal"/>
    <w:link w:val="Heading3Char"/>
    <w:uiPriority w:val="9"/>
    <w:qFormat/>
    <w:pPr>
      <w:keepNext/>
      <w:numPr>
        <w:ilvl w:val="2"/>
        <w:numId w:val="3"/>
      </w:numPr>
      <w:tabs>
        <w:tab w:val="left" w:pos="482"/>
      </w:tabs>
      <w:outlineLvl w:val="2"/>
    </w:pPr>
    <w:rPr>
      <w:i/>
      <w:sz w:val="20"/>
      <w:szCs w:val="20"/>
    </w:rPr>
  </w:style>
  <w:style w:type="paragraph" w:styleId="Heading4">
    <w:name w:val="heading 4"/>
    <w:basedOn w:val="Normal"/>
    <w:uiPriority w:val="10"/>
    <w:qFormat/>
    <w:pPr>
      <w:keepNext/>
      <w:numPr>
        <w:ilvl w:val="3"/>
        <w:numId w:val="3"/>
      </w:numPr>
      <w:tabs>
        <w:tab w:val="left" w:pos="482"/>
      </w:tabs>
      <w:outlineLvl w:val="3"/>
    </w:pPr>
  </w:style>
  <w:style w:type="paragraph" w:styleId="Heading5">
    <w:name w:val="heading 5"/>
    <w:basedOn w:val="Normal"/>
    <w:next w:val="Normal"/>
    <w:uiPriority w:val="11"/>
    <w:semiHidden/>
    <w:pPr>
      <w:keepNext/>
      <w:numPr>
        <w:ilvl w:val="4"/>
        <w:numId w:val="3"/>
      </w:numPr>
      <w:tabs>
        <w:tab w:val="left" w:pos="482"/>
      </w:tabs>
      <w:outlineLvl w:val="4"/>
    </w:pPr>
  </w:style>
  <w:style w:type="paragraph" w:styleId="Heading6">
    <w:name w:val="heading 6"/>
    <w:basedOn w:val="Normal"/>
    <w:next w:val="Normal"/>
    <w:uiPriority w:val="12"/>
    <w:semiHidden/>
    <w:pPr>
      <w:keepNext/>
      <w:numPr>
        <w:ilvl w:val="5"/>
        <w:numId w:val="3"/>
      </w:numPr>
      <w:tabs>
        <w:tab w:val="left" w:pos="482"/>
      </w:tabs>
      <w:outlineLvl w:val="5"/>
    </w:pPr>
  </w:style>
  <w:style w:type="paragraph" w:styleId="Heading7">
    <w:name w:val="heading 7"/>
    <w:basedOn w:val="Normal"/>
    <w:next w:val="Normal"/>
    <w:uiPriority w:val="13"/>
    <w:semiHidden/>
    <w:pPr>
      <w:keepNext/>
      <w:numPr>
        <w:ilvl w:val="6"/>
        <w:numId w:val="3"/>
      </w:numPr>
      <w:tabs>
        <w:tab w:val="left" w:pos="482"/>
      </w:tabs>
      <w:outlineLvl w:val="6"/>
    </w:pPr>
  </w:style>
  <w:style w:type="paragraph" w:styleId="Heading8">
    <w:name w:val="heading 8"/>
    <w:basedOn w:val="Normal"/>
    <w:next w:val="Normal"/>
    <w:uiPriority w:val="14"/>
    <w:semiHidden/>
    <w:pPr>
      <w:keepNext/>
      <w:numPr>
        <w:ilvl w:val="7"/>
        <w:numId w:val="3"/>
      </w:numPr>
      <w:tabs>
        <w:tab w:val="left" w:pos="482"/>
      </w:tabs>
      <w:outlineLvl w:val="7"/>
    </w:pPr>
  </w:style>
  <w:style w:type="paragraph" w:styleId="Heading9">
    <w:name w:val="heading 9"/>
    <w:basedOn w:val="Normal"/>
    <w:next w:val="Normal"/>
    <w:uiPriority w:val="15"/>
    <w:semiHidden/>
    <w:pPr>
      <w:keepNext/>
      <w:numPr>
        <w:ilvl w:val="8"/>
        <w:numId w:val="3"/>
      </w:numPr>
      <w:tabs>
        <w:tab w:val="left" w:pos="482"/>
      </w:tabs>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6"/>
    <w:pPr>
      <w:jc w:val="center"/>
    </w:pPr>
    <w:rPr>
      <w:b/>
      <w:sz w:val="48"/>
      <w:szCs w:val="48"/>
    </w:rPr>
  </w:style>
  <w:style w:type="paragraph" w:styleId="ListParagraph">
    <w:name w:val="List Paragraph"/>
    <w:aliases w:val="FooterText,Paragraphe de liste1,List Paragraph (bulleted list),Bullet 1 List,Dot pt,F5 List Paragraph,List Paragraph1,No Spacing1,List Paragraph Char Char Char,Indicator Text,Colorful List - Accent 11,Numbered Para 1,Bullet 1,Nad,L"/>
    <w:basedOn w:val="Normal"/>
    <w:link w:val="ListParagraphChar"/>
    <w:uiPriority w:val="34"/>
    <w:qFormat/>
    <w:pPr>
      <w:ind w:left="720"/>
    </w:pPr>
  </w:style>
  <w:style w:type="paragraph" w:styleId="TOCHeading">
    <w:name w:val="TOC Heading"/>
    <w:basedOn w:val="Normal"/>
    <w:next w:val="Normal"/>
    <w:uiPriority w:val="27"/>
    <w:semiHidden/>
    <w:pPr>
      <w:jc w:val="center"/>
    </w:pPr>
    <w:rPr>
      <w:rFonts w:ascii="Times New Roman Bold" w:eastAsia="Times New Roman Bold" w:hAnsi="Times New Roman Bold"/>
      <w:b/>
      <w:caps/>
      <w:sz w:val="20"/>
      <w:szCs w:val="20"/>
    </w:rPr>
  </w:style>
  <w:style w:type="paragraph" w:styleId="TOC1">
    <w:name w:val="toc 1"/>
    <w:basedOn w:val="Normal"/>
    <w:next w:val="Normal"/>
    <w:uiPriority w:val="28"/>
    <w:semiHidden/>
    <w:pPr>
      <w:tabs>
        <w:tab w:val="right" w:leader="dot" w:pos="8640"/>
      </w:tabs>
      <w:ind w:left="482" w:right="720" w:hanging="482"/>
    </w:pPr>
    <w:rPr>
      <w:caps/>
      <w:sz w:val="20"/>
      <w:szCs w:val="20"/>
    </w:rPr>
  </w:style>
  <w:style w:type="paragraph" w:styleId="TOC2">
    <w:name w:val="toc 2"/>
    <w:basedOn w:val="Normal"/>
    <w:next w:val="Normal"/>
    <w:uiPriority w:val="29"/>
    <w:semiHidden/>
    <w:pPr>
      <w:tabs>
        <w:tab w:val="right" w:leader="dot" w:pos="8640"/>
      </w:tabs>
      <w:ind w:left="1077" w:right="720" w:hanging="595"/>
    </w:pPr>
    <w:rPr>
      <w:sz w:val="20"/>
      <w:szCs w:val="20"/>
    </w:rPr>
  </w:style>
  <w:style w:type="paragraph" w:styleId="TOC3">
    <w:name w:val="toc 3"/>
    <w:basedOn w:val="Normal"/>
    <w:next w:val="Normal"/>
    <w:uiPriority w:val="30"/>
    <w:semiHidden/>
    <w:pPr>
      <w:tabs>
        <w:tab w:val="right" w:leader="dot" w:pos="8640"/>
      </w:tabs>
      <w:ind w:left="1916" w:right="720" w:hanging="839"/>
    </w:pPr>
  </w:style>
  <w:style w:type="paragraph" w:styleId="TOC4">
    <w:name w:val="toc 4"/>
    <w:basedOn w:val="Normal"/>
    <w:next w:val="Normal"/>
    <w:uiPriority w:val="31"/>
    <w:semiHidden/>
    <w:pPr>
      <w:tabs>
        <w:tab w:val="right" w:leader="dot" w:pos="8640"/>
      </w:tabs>
      <w:ind w:left="2880" w:right="720" w:hanging="964"/>
    </w:pPr>
    <w:rPr>
      <w:sz w:val="20"/>
      <w:szCs w:val="20"/>
    </w:rPr>
  </w:style>
  <w:style w:type="paragraph" w:styleId="TOC5">
    <w:name w:val="toc 5"/>
    <w:basedOn w:val="Normal"/>
    <w:next w:val="Normal"/>
    <w:uiPriority w:val="32"/>
    <w:semiHidden/>
    <w:pPr>
      <w:tabs>
        <w:tab w:val="right" w:leader="dot" w:pos="8640"/>
      </w:tabs>
      <w:ind w:right="720"/>
    </w:pPr>
    <w:rPr>
      <w:caps/>
      <w:sz w:val="20"/>
      <w:szCs w:val="20"/>
    </w:rPr>
  </w:style>
  <w:style w:type="paragraph" w:styleId="TOC6">
    <w:name w:val="toc 6"/>
    <w:basedOn w:val="Normal"/>
    <w:next w:val="Normal"/>
    <w:uiPriority w:val="33"/>
    <w:semiHidden/>
    <w:pPr>
      <w:tabs>
        <w:tab w:val="left" w:pos="2880"/>
        <w:tab w:val="right" w:leader="dot" w:pos="8640"/>
      </w:tabs>
      <w:ind w:left="1916" w:right="720" w:hanging="1916"/>
    </w:pPr>
    <w:rPr>
      <w:caps/>
      <w:sz w:val="20"/>
      <w:szCs w:val="20"/>
    </w:rPr>
  </w:style>
  <w:style w:type="paragraph" w:styleId="TOC7">
    <w:name w:val="toc 7"/>
    <w:basedOn w:val="Normal"/>
    <w:next w:val="Normal"/>
    <w:uiPriority w:val="34"/>
    <w:semiHidden/>
    <w:pPr>
      <w:tabs>
        <w:tab w:val="right" w:leader="dot" w:pos="8640"/>
      </w:tabs>
    </w:pPr>
  </w:style>
  <w:style w:type="paragraph" w:styleId="TOC8">
    <w:name w:val="toc 8"/>
    <w:basedOn w:val="Normal"/>
    <w:next w:val="Normal"/>
    <w:uiPriority w:val="35"/>
    <w:semiHidden/>
    <w:pPr>
      <w:tabs>
        <w:tab w:val="right" w:leader="dot" w:pos="8640"/>
      </w:tabs>
    </w:pPr>
  </w:style>
  <w:style w:type="paragraph" w:styleId="TOC9">
    <w:name w:val="toc 9"/>
    <w:basedOn w:val="Normal"/>
    <w:next w:val="Normal"/>
    <w:uiPriority w:val="36"/>
    <w:semiHidden/>
    <w:pPr>
      <w:tabs>
        <w:tab w:val="right" w:leader="dot" w:pos="8640"/>
      </w:tabs>
    </w:pPr>
  </w:style>
  <w:style w:type="character" w:customStyle="1" w:styleId="CrossReference">
    <w:name w:val="Cross Reference"/>
    <w:basedOn w:val="DefaultParagraphFont"/>
    <w:rPr>
      <w:i/>
      <w:w w:val="100"/>
      <w:sz w:val="20"/>
      <w:szCs w:val="20"/>
      <w:shd w:val="clear" w:color="auto" w:fill="auto"/>
    </w:rPr>
  </w:style>
  <w:style w:type="character" w:customStyle="1" w:styleId="MarkingText">
    <w:name w:val="MarkingText"/>
    <w:semiHidden/>
    <w:rPr>
      <w:i/>
      <w:w w:val="100"/>
      <w:sz w:val="28"/>
      <w:szCs w:val="28"/>
      <w:shd w:val="clear" w:color="auto" w:fill="auto"/>
    </w:rPr>
  </w:style>
  <w:style w:type="character" w:customStyle="1" w:styleId="MarkingLabel">
    <w:name w:val="MarkingLabel"/>
    <w:semiHidden/>
    <w:rPr>
      <w:b/>
      <w:caps/>
      <w:w w:val="100"/>
      <w:sz w:val="28"/>
      <w:szCs w:val="28"/>
      <w:shd w:val="clear" w:color="auto" w:fill="auto"/>
    </w:rPr>
  </w:style>
  <w:style w:type="character" w:customStyle="1" w:styleId="BodyPlaceholderText">
    <w:name w:val="BodyPlaceholderText"/>
    <w:semiHidden/>
    <w:rPr>
      <w:color w:val="3366CC"/>
      <w:w w:val="100"/>
      <w:sz w:val="20"/>
      <w:szCs w:val="20"/>
      <w:shd w:val="clear" w:color="auto" w:fill="auto"/>
    </w:rPr>
  </w:style>
  <w:style w:type="character" w:styleId="PlaceholderText">
    <w:name w:val="Placeholder Text"/>
    <w:basedOn w:val="DefaultParagraphFont"/>
    <w:semiHidden/>
    <w:rPr>
      <w:color w:val="288061"/>
      <w:w w:val="100"/>
      <w:sz w:val="20"/>
      <w:szCs w:val="20"/>
      <w:shd w:val="clear" w:color="auto" w:fill="auto"/>
    </w:rPr>
  </w:style>
  <w:style w:type="paragraph" w:customStyle="1" w:styleId="Copies">
    <w:name w:val="Copies"/>
    <w:basedOn w:val="Normal"/>
    <w:pPr>
      <w:tabs>
        <w:tab w:val="left" w:pos="5669"/>
      </w:tabs>
      <w:ind w:left="1984" w:hanging="1984"/>
    </w:pPr>
  </w:style>
  <w:style w:type="paragraph" w:customStyle="1" w:styleId="Participants">
    <w:name w:val="Participants"/>
    <w:basedOn w:val="Normal"/>
    <w:pPr>
      <w:tabs>
        <w:tab w:val="left" w:pos="2551"/>
        <w:tab w:val="left" w:pos="2835"/>
        <w:tab w:val="left" w:pos="5669"/>
        <w:tab w:val="left" w:pos="6378"/>
        <w:tab w:val="left" w:pos="6803"/>
      </w:tabs>
      <w:ind w:left="1984" w:hanging="1984"/>
    </w:pPr>
  </w:style>
  <w:style w:type="paragraph" w:customStyle="1" w:styleId="Enclosures">
    <w:name w:val="Enclosures"/>
    <w:basedOn w:val="Normal"/>
    <w:pPr>
      <w:keepNext/>
      <w:keepLines/>
      <w:tabs>
        <w:tab w:val="left" w:pos="5669"/>
      </w:tabs>
      <w:ind w:left="1984" w:hanging="1984"/>
    </w:pPr>
  </w:style>
  <w:style w:type="paragraph" w:customStyle="1" w:styleId="DoubSign">
    <w:name w:val="DoubSign"/>
    <w:basedOn w:val="Normal"/>
    <w:pPr>
      <w:tabs>
        <w:tab w:val="left" w:pos="5102"/>
      </w:tabs>
    </w:pPr>
  </w:style>
  <w:style w:type="paragraph" w:customStyle="1" w:styleId="SignatureL">
    <w:name w:val="SignatureL"/>
    <w:basedOn w:val="Normal"/>
    <w:pPr>
      <w:tabs>
        <w:tab w:val="left" w:pos="5102"/>
      </w:tabs>
    </w:pPr>
  </w:style>
  <w:style w:type="paragraph" w:styleId="Signature">
    <w:name w:val="Signature"/>
    <w:basedOn w:val="Normal"/>
    <w:pPr>
      <w:tabs>
        <w:tab w:val="left" w:pos="5102"/>
      </w:tabs>
      <w:ind w:left="5102"/>
      <w:jc w:val="center"/>
    </w:pPr>
  </w:style>
  <w:style w:type="paragraph" w:customStyle="1" w:styleId="ClosingL">
    <w:name w:val="ClosingL"/>
    <w:basedOn w:val="Normal"/>
    <w:next w:val="Signature"/>
  </w:style>
  <w:style w:type="paragraph" w:styleId="Closing">
    <w:name w:val="Closing"/>
    <w:basedOn w:val="Normal"/>
    <w:next w:val="Signature"/>
    <w:pPr>
      <w:tabs>
        <w:tab w:val="left" w:pos="5102"/>
      </w:tabs>
      <w:ind w:left="5102"/>
    </w:pPr>
  </w:style>
  <w:style w:type="paragraph" w:customStyle="1" w:styleId="YReferences">
    <w:name w:val="YReferences"/>
    <w:basedOn w:val="Normal"/>
    <w:pPr>
      <w:ind w:left="1531" w:hanging="1531"/>
    </w:pPr>
  </w:style>
  <w:style w:type="paragraph" w:customStyle="1" w:styleId="Subject">
    <w:name w:val="Subject"/>
    <w:basedOn w:val="Normal"/>
    <w:pPr>
      <w:ind w:left="1531" w:hanging="1531"/>
    </w:pPr>
    <w:rPr>
      <w:b/>
      <w:sz w:val="20"/>
      <w:szCs w:val="20"/>
    </w:rPr>
  </w:style>
  <w:style w:type="paragraph" w:customStyle="1" w:styleId="NoteColumn">
    <w:name w:val="NoteColumn"/>
    <w:basedOn w:val="Normal"/>
    <w:pPr>
      <w:tabs>
        <w:tab w:val="left" w:pos="850"/>
        <w:tab w:val="left" w:pos="1570"/>
        <w:tab w:val="left" w:pos="5102"/>
        <w:tab w:val="left" w:pos="5822"/>
      </w:tabs>
      <w:ind w:left="850"/>
    </w:pPr>
    <w:rPr>
      <w:b/>
      <w:smallCaps/>
      <w:sz w:val="20"/>
      <w:szCs w:val="20"/>
    </w:rPr>
  </w:style>
  <w:style w:type="paragraph" w:customStyle="1" w:styleId="NoteList">
    <w:name w:val="NoteList"/>
    <w:basedOn w:val="Normal"/>
    <w:pPr>
      <w:tabs>
        <w:tab w:val="left" w:pos="5822"/>
      </w:tabs>
      <w:ind w:left="5102" w:hanging="3118"/>
    </w:pPr>
    <w:rPr>
      <w:b/>
      <w:smallCaps/>
      <w:sz w:val="20"/>
      <w:szCs w:val="20"/>
    </w:rPr>
  </w:style>
  <w:style w:type="paragraph" w:customStyle="1" w:styleId="NoteHead">
    <w:name w:val="NoteHead"/>
    <w:basedOn w:val="Normal"/>
    <w:pPr>
      <w:jc w:val="center"/>
    </w:pPr>
    <w:rPr>
      <w:b/>
      <w:smallCaps/>
      <w:sz w:val="20"/>
      <w:szCs w:val="20"/>
    </w:rPr>
  </w:style>
  <w:style w:type="paragraph" w:styleId="NoteHeading">
    <w:name w:val="Note Heading"/>
    <w:basedOn w:val="Normal"/>
    <w:next w:val="Normal"/>
  </w:style>
  <w:style w:type="paragraph" w:customStyle="1" w:styleId="LegalNumPar3">
    <w:name w:val="LegalNumPar3"/>
    <w:basedOn w:val="Normal"/>
    <w:pPr>
      <w:numPr>
        <w:ilvl w:val="2"/>
        <w:numId w:val="2"/>
      </w:numPr>
    </w:pPr>
  </w:style>
  <w:style w:type="paragraph" w:customStyle="1" w:styleId="LegalNumPar2">
    <w:name w:val="LegalNumPar2"/>
    <w:basedOn w:val="Normal"/>
    <w:pPr>
      <w:numPr>
        <w:ilvl w:val="1"/>
        <w:numId w:val="2"/>
      </w:numPr>
    </w:pPr>
  </w:style>
  <w:style w:type="paragraph" w:customStyle="1" w:styleId="LegalNumPar">
    <w:name w:val="LegalNumPar"/>
    <w:basedOn w:val="Normal"/>
    <w:qFormat/>
    <w:pPr>
      <w:numPr>
        <w:numId w:val="2"/>
      </w:numPr>
    </w:pPr>
  </w:style>
  <w:style w:type="paragraph" w:customStyle="1" w:styleId="Marking">
    <w:name w:val="Marking"/>
    <w:basedOn w:val="Normal"/>
    <w:pPr>
      <w:ind w:left="5102" w:right="-567"/>
    </w:pPr>
    <w:rPr>
      <w:sz w:val="28"/>
      <w:szCs w:val="28"/>
    </w:rPr>
  </w:style>
  <w:style w:type="paragraph" w:customStyle="1" w:styleId="ListNumber4Level4">
    <w:name w:val="List Number 4 (Level 4)"/>
    <w:semiHidden/>
    <w:unhideWhenUsed/>
    <w:pPr>
      <w:numPr>
        <w:ilvl w:val="3"/>
        <w:numId w:val="13"/>
      </w:numPr>
    </w:pPr>
  </w:style>
  <w:style w:type="paragraph" w:customStyle="1" w:styleId="ListNumber4Level3">
    <w:name w:val="List Number 4 (Level 3)"/>
    <w:semiHidden/>
    <w:unhideWhenUsed/>
    <w:pPr>
      <w:numPr>
        <w:ilvl w:val="2"/>
        <w:numId w:val="13"/>
      </w:numPr>
    </w:pPr>
  </w:style>
  <w:style w:type="paragraph" w:customStyle="1" w:styleId="ListNumber4Level2">
    <w:name w:val="List Number 4 (Level 2)"/>
    <w:pPr>
      <w:numPr>
        <w:ilvl w:val="1"/>
        <w:numId w:val="13"/>
      </w:numPr>
    </w:pPr>
  </w:style>
  <w:style w:type="paragraph" w:styleId="ListNumber4">
    <w:name w:val="List Number 4"/>
    <w:pPr>
      <w:numPr>
        <w:numId w:val="13"/>
      </w:numPr>
    </w:pPr>
  </w:style>
  <w:style w:type="paragraph" w:customStyle="1" w:styleId="ListNumber3Level4">
    <w:name w:val="List Number 3 (Level 4)"/>
    <w:semiHidden/>
    <w:unhideWhenUsed/>
    <w:pPr>
      <w:numPr>
        <w:ilvl w:val="3"/>
        <w:numId w:val="12"/>
      </w:numPr>
    </w:pPr>
  </w:style>
  <w:style w:type="paragraph" w:customStyle="1" w:styleId="ListNumber3Level3">
    <w:name w:val="List Number 3 (Level 3)"/>
    <w:semiHidden/>
    <w:unhideWhenUsed/>
    <w:pPr>
      <w:numPr>
        <w:ilvl w:val="2"/>
        <w:numId w:val="12"/>
      </w:numPr>
    </w:pPr>
  </w:style>
  <w:style w:type="paragraph" w:customStyle="1" w:styleId="ListNumber3Level2">
    <w:name w:val="List Number 3 (Level 2)"/>
    <w:pPr>
      <w:numPr>
        <w:ilvl w:val="1"/>
        <w:numId w:val="12"/>
      </w:numPr>
    </w:pPr>
  </w:style>
  <w:style w:type="paragraph" w:styleId="ListNumber3">
    <w:name w:val="List Number 3"/>
    <w:pPr>
      <w:numPr>
        <w:numId w:val="12"/>
      </w:numPr>
    </w:pPr>
  </w:style>
  <w:style w:type="paragraph" w:customStyle="1" w:styleId="ListNumber2Level4">
    <w:name w:val="List Number 2 (Level 4)"/>
    <w:semiHidden/>
    <w:unhideWhenUsed/>
    <w:pPr>
      <w:numPr>
        <w:ilvl w:val="3"/>
        <w:numId w:val="11"/>
      </w:numPr>
    </w:pPr>
  </w:style>
  <w:style w:type="paragraph" w:customStyle="1" w:styleId="ListNumber2Level3">
    <w:name w:val="List Number 2 (Level 3)"/>
    <w:semiHidden/>
    <w:unhideWhenUsed/>
    <w:pPr>
      <w:numPr>
        <w:ilvl w:val="2"/>
        <w:numId w:val="11"/>
      </w:numPr>
    </w:pPr>
  </w:style>
  <w:style w:type="paragraph" w:customStyle="1" w:styleId="ListNumber2Level2">
    <w:name w:val="List Number 2 (Level 2)"/>
    <w:pPr>
      <w:numPr>
        <w:ilvl w:val="1"/>
        <w:numId w:val="11"/>
      </w:numPr>
    </w:pPr>
  </w:style>
  <w:style w:type="paragraph" w:styleId="ListNumber2">
    <w:name w:val="List Number 2"/>
    <w:pPr>
      <w:numPr>
        <w:numId w:val="11"/>
      </w:numPr>
    </w:pPr>
  </w:style>
  <w:style w:type="paragraph" w:customStyle="1" w:styleId="ListNumber1Level4">
    <w:name w:val="List Number 1 (Level 4)"/>
    <w:semiHidden/>
    <w:unhideWhenUsed/>
    <w:pPr>
      <w:numPr>
        <w:ilvl w:val="3"/>
        <w:numId w:val="10"/>
      </w:numPr>
    </w:pPr>
  </w:style>
  <w:style w:type="paragraph" w:customStyle="1" w:styleId="ListNumber1Level3">
    <w:name w:val="List Number 1 (Level 3)"/>
    <w:semiHidden/>
    <w:unhideWhenUsed/>
    <w:pPr>
      <w:numPr>
        <w:ilvl w:val="2"/>
        <w:numId w:val="10"/>
      </w:numPr>
    </w:pPr>
  </w:style>
  <w:style w:type="paragraph" w:customStyle="1" w:styleId="ListNumber1Level2">
    <w:name w:val="List Number 1 (Level 2)"/>
    <w:pPr>
      <w:numPr>
        <w:ilvl w:val="1"/>
        <w:numId w:val="10"/>
      </w:numPr>
    </w:pPr>
  </w:style>
  <w:style w:type="paragraph" w:customStyle="1" w:styleId="ListNumber1">
    <w:name w:val="List Number 1"/>
    <w:pPr>
      <w:numPr>
        <w:numId w:val="10"/>
      </w:numPr>
    </w:pPr>
  </w:style>
  <w:style w:type="paragraph" w:customStyle="1" w:styleId="ListNumberLevel4">
    <w:name w:val="List Number (Level 4)"/>
    <w:basedOn w:val="Normal"/>
    <w:semiHidden/>
    <w:unhideWhenUsed/>
    <w:pPr>
      <w:numPr>
        <w:ilvl w:val="3"/>
        <w:numId w:val="9"/>
      </w:numPr>
    </w:pPr>
  </w:style>
  <w:style w:type="paragraph" w:customStyle="1" w:styleId="ListNumberLevel3">
    <w:name w:val="List Number (Level 3)"/>
    <w:basedOn w:val="Normal"/>
    <w:semiHidden/>
    <w:unhideWhenUsed/>
    <w:pPr>
      <w:numPr>
        <w:ilvl w:val="2"/>
        <w:numId w:val="9"/>
      </w:numPr>
    </w:pPr>
  </w:style>
  <w:style w:type="paragraph" w:customStyle="1" w:styleId="ListNumberLevel2">
    <w:name w:val="List Number (Level 2)"/>
    <w:basedOn w:val="Normal"/>
    <w:pPr>
      <w:numPr>
        <w:ilvl w:val="1"/>
        <w:numId w:val="9"/>
      </w:numPr>
    </w:pPr>
  </w:style>
  <w:style w:type="paragraph" w:styleId="ListNumber">
    <w:name w:val="List Number"/>
    <w:basedOn w:val="Normal"/>
    <w:pPr>
      <w:numPr>
        <w:numId w:val="9"/>
      </w:numPr>
    </w:pPr>
  </w:style>
  <w:style w:type="paragraph" w:customStyle="1" w:styleId="ListDash4Level4">
    <w:name w:val="List Dash 4 (Level 4)"/>
    <w:semiHidden/>
    <w:unhideWhenUsed/>
    <w:pPr>
      <w:numPr>
        <w:ilvl w:val="3"/>
        <w:numId w:val="18"/>
      </w:numPr>
    </w:pPr>
  </w:style>
  <w:style w:type="paragraph" w:customStyle="1" w:styleId="ListDash4Level3">
    <w:name w:val="List Dash 4 (Level 3)"/>
    <w:semiHidden/>
    <w:unhideWhenUsed/>
    <w:pPr>
      <w:numPr>
        <w:ilvl w:val="2"/>
        <w:numId w:val="18"/>
      </w:numPr>
    </w:pPr>
  </w:style>
  <w:style w:type="paragraph" w:customStyle="1" w:styleId="ListDash4Level2">
    <w:name w:val="List Dash 4 (Level 2)"/>
    <w:pPr>
      <w:numPr>
        <w:ilvl w:val="1"/>
        <w:numId w:val="18"/>
      </w:numPr>
    </w:pPr>
  </w:style>
  <w:style w:type="paragraph" w:customStyle="1" w:styleId="ListDash4">
    <w:name w:val="List Dash 4"/>
    <w:pPr>
      <w:numPr>
        <w:numId w:val="18"/>
      </w:numPr>
    </w:pPr>
  </w:style>
  <w:style w:type="paragraph" w:customStyle="1" w:styleId="ListDash3Level4">
    <w:name w:val="List Dash 3 (Level 4)"/>
    <w:semiHidden/>
    <w:unhideWhenUsed/>
    <w:pPr>
      <w:numPr>
        <w:ilvl w:val="3"/>
        <w:numId w:val="17"/>
      </w:numPr>
    </w:pPr>
  </w:style>
  <w:style w:type="paragraph" w:customStyle="1" w:styleId="ListDash3Level3">
    <w:name w:val="List Dash 3 (Level 3)"/>
    <w:semiHidden/>
    <w:unhideWhenUsed/>
    <w:pPr>
      <w:numPr>
        <w:ilvl w:val="2"/>
        <w:numId w:val="17"/>
      </w:numPr>
    </w:pPr>
  </w:style>
  <w:style w:type="paragraph" w:customStyle="1" w:styleId="ListDash3Level2">
    <w:name w:val="List Dash 3 (Level 2)"/>
    <w:pPr>
      <w:numPr>
        <w:ilvl w:val="1"/>
        <w:numId w:val="17"/>
      </w:numPr>
    </w:pPr>
  </w:style>
  <w:style w:type="paragraph" w:customStyle="1" w:styleId="ListDash3">
    <w:name w:val="List Dash 3"/>
    <w:pPr>
      <w:numPr>
        <w:numId w:val="17"/>
      </w:numPr>
    </w:pPr>
  </w:style>
  <w:style w:type="paragraph" w:customStyle="1" w:styleId="ListDash2Level4">
    <w:name w:val="List Dash 2 (Level 4)"/>
    <w:semiHidden/>
    <w:unhideWhenUsed/>
    <w:pPr>
      <w:numPr>
        <w:ilvl w:val="3"/>
        <w:numId w:val="16"/>
      </w:numPr>
    </w:pPr>
  </w:style>
  <w:style w:type="paragraph" w:customStyle="1" w:styleId="ListDash2Level3">
    <w:name w:val="List Dash 2 (Level 3)"/>
    <w:semiHidden/>
    <w:unhideWhenUsed/>
    <w:pPr>
      <w:numPr>
        <w:ilvl w:val="2"/>
        <w:numId w:val="16"/>
      </w:numPr>
    </w:pPr>
  </w:style>
  <w:style w:type="paragraph" w:customStyle="1" w:styleId="ListDash2Level2">
    <w:name w:val="List Dash 2 (Level 2)"/>
    <w:pPr>
      <w:numPr>
        <w:ilvl w:val="1"/>
        <w:numId w:val="16"/>
      </w:numPr>
    </w:pPr>
  </w:style>
  <w:style w:type="paragraph" w:customStyle="1" w:styleId="ListDash2">
    <w:name w:val="List Dash 2"/>
    <w:pPr>
      <w:numPr>
        <w:numId w:val="16"/>
      </w:numPr>
    </w:pPr>
  </w:style>
  <w:style w:type="paragraph" w:customStyle="1" w:styleId="ListDash1Level4">
    <w:name w:val="List Dash 1 (Level 4)"/>
    <w:semiHidden/>
    <w:unhideWhenUsed/>
    <w:pPr>
      <w:numPr>
        <w:ilvl w:val="3"/>
        <w:numId w:val="15"/>
      </w:numPr>
    </w:pPr>
  </w:style>
  <w:style w:type="paragraph" w:customStyle="1" w:styleId="ListDash1Level3">
    <w:name w:val="List Dash 1 (Level 3)"/>
    <w:semiHidden/>
    <w:unhideWhenUsed/>
    <w:pPr>
      <w:numPr>
        <w:ilvl w:val="2"/>
        <w:numId w:val="15"/>
      </w:numPr>
    </w:pPr>
  </w:style>
  <w:style w:type="paragraph" w:customStyle="1" w:styleId="ListDash1Level2">
    <w:name w:val="List Dash 1 (Level 2)"/>
    <w:pPr>
      <w:numPr>
        <w:ilvl w:val="1"/>
        <w:numId w:val="15"/>
      </w:numPr>
    </w:pPr>
  </w:style>
  <w:style w:type="paragraph" w:customStyle="1" w:styleId="ListDash1">
    <w:name w:val="List Dash 1"/>
    <w:pPr>
      <w:numPr>
        <w:numId w:val="15"/>
      </w:numPr>
    </w:pPr>
  </w:style>
  <w:style w:type="paragraph" w:customStyle="1" w:styleId="ListDashLevel4">
    <w:name w:val="List Dash (Level 4)"/>
    <w:basedOn w:val="Normal"/>
    <w:semiHidden/>
    <w:unhideWhenUsed/>
    <w:pPr>
      <w:numPr>
        <w:ilvl w:val="3"/>
        <w:numId w:val="14"/>
      </w:numPr>
    </w:pPr>
  </w:style>
  <w:style w:type="paragraph" w:customStyle="1" w:styleId="ListDashLevel3">
    <w:name w:val="List Dash (Level 3)"/>
    <w:basedOn w:val="Normal"/>
    <w:semiHidden/>
    <w:unhideWhenUsed/>
    <w:pPr>
      <w:numPr>
        <w:ilvl w:val="2"/>
        <w:numId w:val="14"/>
      </w:numPr>
    </w:pPr>
  </w:style>
  <w:style w:type="paragraph" w:customStyle="1" w:styleId="ListDashLevel2">
    <w:name w:val="List Dash (Level 2)"/>
    <w:basedOn w:val="Normal"/>
    <w:pPr>
      <w:numPr>
        <w:ilvl w:val="1"/>
        <w:numId w:val="14"/>
      </w:numPr>
    </w:pPr>
  </w:style>
  <w:style w:type="paragraph" w:customStyle="1" w:styleId="ListDash">
    <w:name w:val="List Dash"/>
    <w:basedOn w:val="Normal"/>
    <w:pPr>
      <w:numPr>
        <w:numId w:val="14"/>
      </w:numPr>
    </w:pPr>
  </w:style>
  <w:style w:type="paragraph" w:customStyle="1" w:styleId="ListBullet4Level4">
    <w:name w:val="List Bullet 4 (Level 4)"/>
    <w:semiHidden/>
    <w:unhideWhenUsed/>
    <w:pPr>
      <w:numPr>
        <w:ilvl w:val="3"/>
        <w:numId w:val="8"/>
      </w:numPr>
    </w:pPr>
  </w:style>
  <w:style w:type="paragraph" w:customStyle="1" w:styleId="ListBullet4Level3">
    <w:name w:val="List Bullet 4 (Level 3)"/>
    <w:semiHidden/>
    <w:unhideWhenUsed/>
    <w:pPr>
      <w:numPr>
        <w:ilvl w:val="2"/>
        <w:numId w:val="8"/>
      </w:numPr>
    </w:pPr>
  </w:style>
  <w:style w:type="paragraph" w:customStyle="1" w:styleId="ListBullet4Level2">
    <w:name w:val="List Bullet 4 (Level 2)"/>
    <w:pPr>
      <w:numPr>
        <w:ilvl w:val="1"/>
        <w:numId w:val="8"/>
      </w:numPr>
    </w:pPr>
  </w:style>
  <w:style w:type="paragraph" w:styleId="ListBullet4">
    <w:name w:val="List Bullet 4"/>
    <w:pPr>
      <w:numPr>
        <w:numId w:val="8"/>
      </w:numPr>
    </w:pPr>
  </w:style>
  <w:style w:type="paragraph" w:customStyle="1" w:styleId="ListBullet3Level4">
    <w:name w:val="List Bullet 3 (Level 4)"/>
    <w:semiHidden/>
    <w:unhideWhenUsed/>
    <w:pPr>
      <w:numPr>
        <w:ilvl w:val="3"/>
        <w:numId w:val="7"/>
      </w:numPr>
    </w:pPr>
  </w:style>
  <w:style w:type="paragraph" w:customStyle="1" w:styleId="ListBullet3Level3">
    <w:name w:val="List Bullet 3 (Level 3)"/>
    <w:unhideWhenUsed/>
    <w:pPr>
      <w:numPr>
        <w:ilvl w:val="2"/>
        <w:numId w:val="7"/>
      </w:numPr>
    </w:pPr>
  </w:style>
  <w:style w:type="paragraph" w:customStyle="1" w:styleId="ListBullet3Level2">
    <w:name w:val="List Bullet 3 (Level 2)"/>
    <w:pPr>
      <w:numPr>
        <w:ilvl w:val="1"/>
        <w:numId w:val="7"/>
      </w:numPr>
    </w:pPr>
  </w:style>
  <w:style w:type="paragraph" w:styleId="ListBullet3">
    <w:name w:val="List Bullet 3"/>
    <w:pPr>
      <w:numPr>
        <w:numId w:val="7"/>
      </w:numPr>
    </w:pPr>
  </w:style>
  <w:style w:type="paragraph" w:customStyle="1" w:styleId="ListBullet2Level4">
    <w:name w:val="List Bullet 2 (Level 4)"/>
    <w:semiHidden/>
    <w:unhideWhenUsed/>
    <w:pPr>
      <w:numPr>
        <w:ilvl w:val="3"/>
        <w:numId w:val="6"/>
      </w:numPr>
    </w:pPr>
  </w:style>
  <w:style w:type="paragraph" w:customStyle="1" w:styleId="ListBullet2Level3">
    <w:name w:val="List Bullet 2 (Level 3)"/>
    <w:semiHidden/>
    <w:unhideWhenUsed/>
    <w:pPr>
      <w:numPr>
        <w:ilvl w:val="2"/>
        <w:numId w:val="6"/>
      </w:numPr>
    </w:pPr>
  </w:style>
  <w:style w:type="paragraph" w:customStyle="1" w:styleId="ListBullet2Level2">
    <w:name w:val="List Bullet 2 (Level 2)"/>
    <w:pPr>
      <w:numPr>
        <w:ilvl w:val="1"/>
        <w:numId w:val="6"/>
      </w:numPr>
    </w:pPr>
  </w:style>
  <w:style w:type="paragraph" w:styleId="ListBullet2">
    <w:name w:val="List Bullet 2"/>
    <w:pPr>
      <w:numPr>
        <w:numId w:val="6"/>
      </w:numPr>
    </w:pPr>
  </w:style>
  <w:style w:type="paragraph" w:customStyle="1" w:styleId="ListBullet1Level4">
    <w:name w:val="List Bullet 1 (Level 4)"/>
    <w:semiHidden/>
    <w:unhideWhenUsed/>
    <w:pPr>
      <w:numPr>
        <w:ilvl w:val="3"/>
        <w:numId w:val="5"/>
      </w:numPr>
    </w:pPr>
  </w:style>
  <w:style w:type="paragraph" w:customStyle="1" w:styleId="ListBullet1Level3">
    <w:name w:val="List Bullet 1 (Level 3)"/>
    <w:semiHidden/>
    <w:unhideWhenUsed/>
    <w:pPr>
      <w:numPr>
        <w:ilvl w:val="2"/>
        <w:numId w:val="5"/>
      </w:numPr>
    </w:pPr>
  </w:style>
  <w:style w:type="paragraph" w:customStyle="1" w:styleId="ListBullet1Level2">
    <w:name w:val="List Bullet 1 (Level 2)"/>
    <w:pPr>
      <w:numPr>
        <w:ilvl w:val="1"/>
        <w:numId w:val="5"/>
      </w:numPr>
    </w:pPr>
  </w:style>
  <w:style w:type="paragraph" w:customStyle="1" w:styleId="ListBullet1">
    <w:name w:val="List Bullet 1"/>
    <w:pPr>
      <w:numPr>
        <w:numId w:val="5"/>
      </w:numPr>
    </w:pPr>
  </w:style>
  <w:style w:type="paragraph" w:customStyle="1" w:styleId="ListBulletLevel4">
    <w:name w:val="List Bullet (Level 4)"/>
    <w:semiHidden/>
    <w:unhideWhenUsed/>
    <w:pPr>
      <w:numPr>
        <w:ilvl w:val="3"/>
        <w:numId w:val="4"/>
      </w:numPr>
    </w:pPr>
  </w:style>
  <w:style w:type="paragraph" w:customStyle="1" w:styleId="ListBulletLevel3">
    <w:name w:val="List Bullet (Level 3)"/>
    <w:semiHidden/>
    <w:unhideWhenUsed/>
    <w:pPr>
      <w:numPr>
        <w:ilvl w:val="2"/>
        <w:numId w:val="4"/>
      </w:numPr>
    </w:pPr>
  </w:style>
  <w:style w:type="paragraph" w:customStyle="1" w:styleId="ListBulletLevel2">
    <w:name w:val="List Bullet (Level 2)"/>
    <w:pPr>
      <w:numPr>
        <w:ilvl w:val="1"/>
        <w:numId w:val="4"/>
      </w:numPr>
    </w:pPr>
  </w:style>
  <w:style w:type="paragraph" w:styleId="ListBullet">
    <w:name w:val="List Bullet"/>
    <w:basedOn w:val="Normal"/>
    <w:pPr>
      <w:numPr>
        <w:numId w:val="4"/>
      </w:numPr>
    </w:pPr>
  </w:style>
  <w:style w:type="paragraph" w:customStyle="1" w:styleId="AnnexTitle">
    <w:name w:val="AnnexTitle"/>
    <w:basedOn w:val="Normal"/>
    <w:next w:val="Normal"/>
    <w:qFormat/>
    <w:pPr>
      <w:pageBreakBefore/>
      <w:numPr>
        <w:numId w:val="1"/>
      </w:numPr>
    </w:pPr>
    <w:rPr>
      <w:b/>
      <w:sz w:val="32"/>
      <w:szCs w:val="32"/>
    </w:rPr>
  </w:style>
  <w:style w:type="paragraph" w:customStyle="1" w:styleId="NumPar4">
    <w:name w:val="NumPar 4"/>
    <w:basedOn w:val="Heading4"/>
    <w:qFormat/>
  </w:style>
  <w:style w:type="paragraph" w:customStyle="1" w:styleId="NumPar3">
    <w:name w:val="NumPar 3"/>
    <w:basedOn w:val="Heading3"/>
    <w:qFormat/>
  </w:style>
  <w:style w:type="paragraph" w:customStyle="1" w:styleId="NumPar2">
    <w:name w:val="NumPar 2"/>
    <w:basedOn w:val="Heading2"/>
    <w:qFormat/>
    <w:rPr>
      <w:b w:val="0"/>
    </w:rPr>
  </w:style>
  <w:style w:type="paragraph" w:customStyle="1" w:styleId="NumPar1">
    <w:name w:val="NumPar 1"/>
    <w:basedOn w:val="Heading1"/>
    <w:qFormat/>
    <w:rPr>
      <w:b w:val="0"/>
    </w:rPr>
  </w:style>
  <w:style w:type="paragraph" w:styleId="MacroText">
    <w:name w:val="macro"/>
    <w:basedOn w:val="Normal"/>
    <w:qFormat/>
    <w:pPr>
      <w:tabs>
        <w:tab w:val="left" w:pos="482"/>
        <w:tab w:val="left" w:pos="958"/>
        <w:tab w:val="left" w:pos="1440"/>
        <w:tab w:val="left" w:pos="1922"/>
        <w:tab w:val="left" w:pos="2398"/>
        <w:tab w:val="left" w:pos="2880"/>
        <w:tab w:val="left" w:pos="3362"/>
        <w:tab w:val="left" w:pos="3838"/>
        <w:tab w:val="left" w:pos="4320"/>
      </w:tabs>
    </w:pPr>
    <w:rPr>
      <w:rFonts w:ascii="Courier New" w:eastAsia="Courier New" w:hAnsi="Courier New"/>
      <w:sz w:val="22"/>
      <w:szCs w:val="22"/>
    </w:rPr>
  </w:style>
  <w:style w:type="paragraph" w:styleId="FootnoteText">
    <w:name w:val="footnote text"/>
    <w:aliases w:val="Footnote Text Char1 Char,Footnote Text Char Char Char,Footnote Text Char1 Char Char Char,Footnote Text Char Char Char Char Char,Footnote Text Char1 Char Char Char Char Char,Footnote Text Char1 Char1 Char,footnote text1,Fußnote,fn,Footnotes"/>
    <w:basedOn w:val="Normal"/>
    <w:link w:val="FootnoteTextChar"/>
    <w:qFormat/>
    <w:pPr>
      <w:ind w:left="357" w:hanging="357"/>
    </w:pPr>
    <w:rPr>
      <w:sz w:val="20"/>
      <w:szCs w:val="20"/>
    </w:rPr>
  </w:style>
  <w:style w:type="paragraph" w:customStyle="1" w:styleId="FooterLine">
    <w:name w:val="Footer Line"/>
    <w:pPr>
      <w:tabs>
        <w:tab w:val="right" w:pos="8646"/>
      </w:tabs>
    </w:pPr>
  </w:style>
  <w:style w:type="paragraph" w:styleId="Footer">
    <w:name w:val="footer"/>
    <w:basedOn w:val="Normal"/>
    <w:link w:val="FooterChar"/>
    <w:uiPriority w:val="99"/>
    <w:pPr>
      <w:ind w:right="-567"/>
    </w:pPr>
    <w:rPr>
      <w:sz w:val="16"/>
      <w:szCs w:val="16"/>
    </w:rPr>
  </w:style>
  <w:style w:type="paragraph" w:styleId="EndnoteText">
    <w:name w:val="endnote text"/>
    <w:basedOn w:val="Normal"/>
    <w:semiHidden/>
    <w:rPr>
      <w:sz w:val="20"/>
      <w:szCs w:val="20"/>
    </w:rPr>
  </w:style>
  <w:style w:type="paragraph" w:customStyle="1" w:styleId="TrsSecretUE">
    <w:name w:val="Très Secret UE"/>
    <w:basedOn w:val="Normal"/>
    <w:pPr>
      <w:jc w:val="center"/>
    </w:pPr>
    <w:rPr>
      <w:b/>
      <w:caps/>
      <w:color w:val="FF0000"/>
      <w:sz w:val="32"/>
      <w:szCs w:val="32"/>
      <w:bdr w:val="single" w:sz="18" w:space="0" w:color="FF0000"/>
    </w:rPr>
  </w:style>
  <w:style w:type="paragraph" w:customStyle="1" w:styleId="SecretUE">
    <w:name w:val="Secret UE"/>
    <w:basedOn w:val="Normal"/>
    <w:pPr>
      <w:jc w:val="center"/>
    </w:pPr>
    <w:rPr>
      <w:b/>
      <w:caps/>
      <w:color w:val="FF0000"/>
      <w:sz w:val="32"/>
      <w:szCs w:val="32"/>
      <w:bdr w:val="single" w:sz="18" w:space="0" w:color="FF0000"/>
    </w:rPr>
  </w:style>
  <w:style w:type="paragraph" w:customStyle="1" w:styleId="ConfidentialUE">
    <w:name w:val="Confidential UE"/>
    <w:basedOn w:val="Normal"/>
    <w:pPr>
      <w:jc w:val="center"/>
    </w:pPr>
    <w:rPr>
      <w:b/>
      <w:caps/>
      <w:sz w:val="32"/>
      <w:szCs w:val="32"/>
      <w:bdr w:val="single" w:sz="18" w:space="0" w:color="000000"/>
    </w:rPr>
  </w:style>
  <w:style w:type="paragraph" w:customStyle="1" w:styleId="RUE">
    <w:name w:val="RUE"/>
    <w:basedOn w:val="Normal"/>
    <w:pPr>
      <w:jc w:val="center"/>
    </w:pPr>
    <w:rPr>
      <w:b/>
      <w:caps/>
      <w:sz w:val="32"/>
      <w:szCs w:val="32"/>
      <w:bdr w:val="single" w:sz="18" w:space="0" w:color="000000"/>
    </w:rPr>
  </w:style>
  <w:style w:type="paragraph" w:customStyle="1" w:styleId="Releasable">
    <w:name w:val="Releasable"/>
    <w:basedOn w:val="Normal"/>
    <w:pPr>
      <w:jc w:val="center"/>
    </w:pPr>
    <w:rPr>
      <w:b/>
      <w:caps/>
      <w:sz w:val="32"/>
      <w:szCs w:val="32"/>
    </w:rPr>
  </w:style>
  <w:style w:type="paragraph" w:customStyle="1" w:styleId="Designator">
    <w:name w:val="Designator"/>
    <w:basedOn w:val="Normal"/>
    <w:pPr>
      <w:jc w:val="center"/>
    </w:pPr>
    <w:rPr>
      <w:b/>
      <w:caps/>
      <w:sz w:val="32"/>
      <w:szCs w:val="32"/>
    </w:rPr>
  </w:style>
  <w:style w:type="paragraph" w:customStyle="1" w:styleId="References">
    <w:name w:val="References"/>
    <w:basedOn w:val="Normal"/>
    <w:pPr>
      <w:ind w:left="5102" w:right="-567"/>
    </w:pPr>
    <w:rPr>
      <w:sz w:val="20"/>
      <w:szCs w:val="20"/>
    </w:rPr>
  </w:style>
  <w:style w:type="paragraph" w:styleId="Date">
    <w:name w:val="Date"/>
    <w:basedOn w:val="Normal"/>
    <w:next w:val="References"/>
    <w:pPr>
      <w:ind w:left="5102" w:right="-567"/>
    </w:pPr>
  </w:style>
  <w:style w:type="paragraph" w:customStyle="1" w:styleId="Contact">
    <w:name w:val="Contact"/>
    <w:basedOn w:val="Normal"/>
    <w:pPr>
      <w:ind w:left="567" w:hanging="567"/>
    </w:pPr>
  </w:style>
  <w:style w:type="paragraph" w:styleId="Caption">
    <w:name w:val="caption"/>
    <w:basedOn w:val="Normal"/>
    <w:next w:val="Normal"/>
    <w:rPr>
      <w:i/>
      <w:sz w:val="22"/>
      <w:szCs w:val="22"/>
    </w:rPr>
  </w:style>
  <w:style w:type="paragraph" w:customStyle="1" w:styleId="ZDGName">
    <w:name w:val="Z_DGName"/>
    <w:basedOn w:val="Normal"/>
    <w:semiHidden/>
    <w:pPr>
      <w:ind w:right="85"/>
    </w:pPr>
    <w:rPr>
      <w:sz w:val="16"/>
      <w:szCs w:val="16"/>
    </w:rPr>
  </w:style>
  <w:style w:type="paragraph" w:customStyle="1" w:styleId="ZCom">
    <w:name w:val="Z_Com"/>
    <w:basedOn w:val="Normal"/>
    <w:next w:val="Normal"/>
    <w:semiHidden/>
    <w:pPr>
      <w:ind w:right="85"/>
    </w:pPr>
  </w:style>
  <w:style w:type="paragraph" w:customStyle="1" w:styleId="ZFlag">
    <w:name w:val="Z_Flag"/>
    <w:basedOn w:val="Normal"/>
    <w:next w:val="Normal"/>
    <w:semiHidden/>
    <w:pPr>
      <w:ind w:right="85"/>
    </w:pPr>
  </w:style>
  <w:style w:type="paragraph" w:customStyle="1" w:styleId="Text1">
    <w:name w:val="Text 1"/>
    <w:basedOn w:val="Normal"/>
    <w:qFormat/>
    <w:pPr>
      <w:ind w:left="482"/>
    </w:pPr>
  </w:style>
  <w:style w:type="paragraph" w:customStyle="1" w:styleId="Text2">
    <w:name w:val="Text 2"/>
    <w:basedOn w:val="Normal"/>
    <w:uiPriority w:val="90"/>
    <w:qFormat/>
    <w:pPr>
      <w:ind w:left="1077"/>
    </w:pPr>
  </w:style>
  <w:style w:type="paragraph" w:customStyle="1" w:styleId="Text3">
    <w:name w:val="Text 3"/>
    <w:basedOn w:val="Normal"/>
    <w:qFormat/>
    <w:pPr>
      <w:ind w:left="1916"/>
    </w:pPr>
  </w:style>
  <w:style w:type="paragraph" w:customStyle="1" w:styleId="Text4">
    <w:name w:val="Text 4"/>
    <w:basedOn w:val="Normal"/>
    <w:qFormat/>
    <w:pPr>
      <w:ind w:left="2880"/>
    </w:pPr>
  </w:style>
  <w:style w:type="paragraph" w:styleId="Header">
    <w:name w:val="header"/>
    <w:basedOn w:val="Normal"/>
    <w:link w:val="HeaderChar"/>
    <w:pPr>
      <w:tabs>
        <w:tab w:val="center" w:pos="4150"/>
        <w:tab w:val="right" w:pos="8306"/>
      </w:tabs>
    </w:pPr>
  </w:style>
  <w:style w:type="character" w:customStyle="1" w:styleId="HeaderChar">
    <w:name w:val="Header Char"/>
    <w:basedOn w:val="DefaultParagraphFont"/>
    <w:link w:val="Header"/>
    <w:rPr>
      <w:w w:val="100"/>
      <w:sz w:val="24"/>
      <w:szCs w:val="24"/>
      <w:shd w:val="clear" w:color="auto" w:fill="auto"/>
    </w:rPr>
  </w:style>
  <w:style w:type="table" w:customStyle="1" w:styleId="TableLetterhead">
    <w:name w:val="Table Letterhead"/>
    <w:basedOn w:val="TableNormal"/>
    <w:tblPr>
      <w:tblCellMar>
        <w:left w:w="0" w:type="dxa"/>
        <w:bottom w:w="340" w:type="dxa"/>
        <w:right w:w="0" w:type="dxa"/>
      </w:tblCellMar>
    </w:tblPr>
  </w:style>
  <w:style w:type="character" w:customStyle="1" w:styleId="Heading2Char">
    <w:name w:val="Heading 2 Char"/>
    <w:basedOn w:val="DefaultParagraphFont"/>
    <w:link w:val="Heading2"/>
    <w:uiPriority w:val="8"/>
    <w:rPr>
      <w:b/>
      <w:sz w:val="20"/>
      <w:szCs w:val="20"/>
    </w:rPr>
  </w:style>
  <w:style w:type="character" w:styleId="CommentReference">
    <w:name w:val="annotation reference"/>
    <w:basedOn w:val="DefaultParagraphFont"/>
    <w:uiPriority w:val="99"/>
    <w:semiHidden/>
    <w:rPr>
      <w:w w:val="100"/>
      <w:sz w:val="16"/>
      <w:szCs w:val="16"/>
      <w:shd w:val="clear" w:color="auto" w:fill="auto"/>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rPr>
      <w:w w:val="100"/>
      <w:sz w:val="20"/>
      <w:szCs w:val="20"/>
      <w:shd w:val="clear" w:color="auto" w:fill="auto"/>
    </w:rPr>
  </w:style>
  <w:style w:type="paragraph" w:styleId="CommentSubject">
    <w:name w:val="annotation subject"/>
    <w:basedOn w:val="CommentText"/>
    <w:next w:val="CommentText"/>
    <w:link w:val="CommentSubjectChar"/>
    <w:semiHidden/>
    <w:rPr>
      <w:b/>
    </w:rPr>
  </w:style>
  <w:style w:type="character" w:customStyle="1" w:styleId="CommentSubjectChar">
    <w:name w:val="Comment Subject Char"/>
    <w:basedOn w:val="CommentTextChar"/>
    <w:link w:val="CommentSubject"/>
    <w:semiHidden/>
    <w:rPr>
      <w:b/>
      <w:w w:val="100"/>
      <w:sz w:val="20"/>
      <w:szCs w:val="20"/>
      <w:shd w:val="clear" w:color="auto" w:fill="auto"/>
    </w:rPr>
  </w:style>
  <w:style w:type="paragraph" w:styleId="BalloonText">
    <w:name w:val="Balloon Text"/>
    <w:basedOn w:val="Normal"/>
    <w:link w:val="BalloonTextChar"/>
    <w:semiHidden/>
    <w:rPr>
      <w:rFonts w:ascii="Segoe UI" w:eastAsia="Segoe UI" w:hAnsi="Segoe UI"/>
      <w:sz w:val="18"/>
      <w:szCs w:val="18"/>
    </w:rPr>
  </w:style>
  <w:style w:type="character" w:customStyle="1" w:styleId="BalloonTextChar">
    <w:name w:val="Balloon Text Char"/>
    <w:basedOn w:val="DefaultParagraphFont"/>
    <w:link w:val="BalloonText"/>
    <w:semiHidden/>
    <w:rPr>
      <w:rFonts w:ascii="Segoe UI" w:eastAsia="Segoe UI" w:hAnsi="Segoe UI"/>
      <w:w w:val="100"/>
      <w:sz w:val="18"/>
      <w:szCs w:val="18"/>
      <w:shd w:val="clear" w:color="auto" w:fill="auto"/>
    </w:rPr>
  </w:style>
  <w:style w:type="character" w:styleId="FootnoteReference">
    <w:name w:val="footnote reference"/>
    <w:aliases w:val="Nota Char,Char1 Char,(NECG) Footnote Reference Char,fr Char,Appel note de bas de p Char,o Char,Style 6 Char,Signature Ch Char,Footnote symbol,Footnote reference number,Footnote,Times 10 Point,Exposant 3 Point,Ref,de nota al pie,SUPERS"/>
    <w:basedOn w:val="DefaultParagraphFont"/>
    <w:link w:val="Nota"/>
    <w:qFormat/>
    <w:rPr>
      <w:w w:val="100"/>
      <w:sz w:val="20"/>
      <w:szCs w:val="20"/>
      <w:shd w:val="clear" w:color="auto" w:fill="auto"/>
      <w:vertAlign w:val="superscript"/>
    </w:rPr>
  </w:style>
  <w:style w:type="character" w:customStyle="1" w:styleId="ListParagraphChar">
    <w:name w:val="List Paragraph Char"/>
    <w:aliases w:val="FooterText Char,Paragraphe de liste1 Char,List Paragraph (bulleted list) Char,Bullet 1 List Char,Dot pt Char,F5 List Paragraph Char,List Paragraph1 Char,No Spacing1 Char,List Paragraph Char Char Char Char,Indicator Text Char,Nad Char"/>
    <w:basedOn w:val="DefaultParagraphFont"/>
    <w:link w:val="ListParagraph"/>
    <w:uiPriority w:val="34"/>
    <w:qFormat/>
  </w:style>
  <w:style w:type="paragraph" w:styleId="NormalWeb">
    <w:name w:val="Normal (Web)"/>
    <w:basedOn w:val="Normal"/>
    <w:semiHidden/>
    <w:unhideWhenUsed/>
    <w:rPr>
      <w:sz w:val="20"/>
      <w:szCs w:val="20"/>
    </w:rPr>
  </w:style>
  <w:style w:type="character" w:styleId="Hyperlink">
    <w:name w:val="Hyperlink"/>
    <w:basedOn w:val="DefaultParagraphFont"/>
    <w:unhideWhenUsed/>
    <w:rPr>
      <w:color w:val="0000FF"/>
      <w:w w:val="100"/>
      <w:sz w:val="20"/>
      <w:szCs w:val="20"/>
      <w:u w:val="single"/>
      <w:shd w:val="clear" w:color="auto" w:fill="auto"/>
    </w:rPr>
  </w:style>
  <w:style w:type="character" w:customStyle="1" w:styleId="FootnoteTextChar">
    <w:name w:val="Footnote Text Char"/>
    <w:aliases w:val="Footnote Text Char1 Char Char,Footnote Text Char Char Char Char,Footnote Text Char1 Char Char Char Char,Footnote Text Char Char Char Char Char Char,Footnote Text Char1 Char Char Char Char Char Char,Footnote Text Char1 Char1 Char Char"/>
    <w:basedOn w:val="DefaultParagraphFont"/>
    <w:link w:val="FootnoteText"/>
    <w:rPr>
      <w:w w:val="100"/>
      <w:sz w:val="20"/>
      <w:szCs w:val="20"/>
      <w:shd w:val="clear" w:color="auto" w:fill="auto"/>
    </w:rPr>
  </w:style>
  <w:style w:type="character" w:customStyle="1" w:styleId="Heading3Char">
    <w:name w:val="Heading 3 Char"/>
    <w:basedOn w:val="DefaultParagraphFont"/>
    <w:link w:val="Heading3"/>
    <w:uiPriority w:val="9"/>
    <w:rPr>
      <w:i/>
      <w:sz w:val="20"/>
      <w:szCs w:val="20"/>
    </w:rPr>
  </w:style>
  <w:style w:type="table" w:customStyle="1" w:styleId="GridTable5DarkAccent1">
    <w:name w:val="Grid Table 5 Dark Accent 1"/>
    <w:basedOn w:val="TableNormal"/>
    <w:uiPriority w:val="50"/>
    <w:rPr>
      <w:rFonts w:asciiTheme="minorHAnsi" w:eastAsia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style>
  <w:style w:type="paragraph" w:styleId="Revision">
    <w:name w:val="Revision"/>
    <w:hidden/>
    <w:uiPriority w:val="99"/>
    <w:semiHidden/>
  </w:style>
  <w:style w:type="character" w:customStyle="1" w:styleId="FooterChar">
    <w:name w:val="Footer Char"/>
    <w:basedOn w:val="DefaultParagraphFont"/>
    <w:link w:val="Footer"/>
    <w:uiPriority w:val="99"/>
    <w:rPr>
      <w:sz w:val="16"/>
      <w:szCs w:val="16"/>
    </w:rPr>
  </w:style>
  <w:style w:type="paragraph" w:customStyle="1" w:styleId="Briefinglist1">
    <w:name w:val="Briefing list 1"/>
    <w:basedOn w:val="Normal"/>
    <w:pPr>
      <w:keepLines/>
      <w:numPr>
        <w:numId w:val="19"/>
      </w:numPr>
      <w:spacing w:before="0" w:after="120"/>
    </w:pPr>
    <w:rPr>
      <w:rFonts w:ascii="Arial" w:hAnsi="Arial" w:cs="Arial"/>
      <w:sz w:val="22"/>
      <w:lang w:eastAsia="en-US"/>
    </w:rPr>
  </w:style>
  <w:style w:type="paragraph" w:styleId="BodyText">
    <w:name w:val="Body Text"/>
    <w:basedOn w:val="Normal"/>
    <w:link w:val="BodyTextChar"/>
    <w:pPr>
      <w:suppressAutoHyphens/>
      <w:spacing w:before="0" w:after="120" w:line="276" w:lineRule="auto"/>
      <w:jc w:val="left"/>
    </w:pPr>
    <w:rPr>
      <w:rFonts w:ascii="Calibri" w:eastAsia="SimSun" w:hAnsi="Calibri" w:cs="font225"/>
      <w:sz w:val="22"/>
      <w:szCs w:val="22"/>
      <w:lang w:eastAsia="ar-SA"/>
    </w:rPr>
  </w:style>
  <w:style w:type="character" w:customStyle="1" w:styleId="BodyTextChar">
    <w:name w:val="Body Text Char"/>
    <w:basedOn w:val="DefaultParagraphFont"/>
    <w:link w:val="BodyText"/>
    <w:rPr>
      <w:rFonts w:ascii="Calibri" w:eastAsia="SimSun" w:hAnsi="Calibri" w:cs="font225"/>
      <w:sz w:val="22"/>
      <w:szCs w:val="22"/>
      <w:lang w:eastAsia="ar-SA"/>
    </w:r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Heading1Char">
    <w:name w:val="Heading 1 Char"/>
    <w:basedOn w:val="DefaultParagraphFont"/>
    <w:link w:val="Heading1"/>
    <w:uiPriority w:val="7"/>
    <w:rPr>
      <w:b/>
      <w:smallCaps/>
      <w:sz w:val="20"/>
      <w:szCs w:val="20"/>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before="0" w:after="0"/>
    </w:pPr>
    <w:rPr>
      <w:rFonts w:eastAsiaTheme="minorHAnsi"/>
      <w:szCs w:val="22"/>
      <w:lang w:eastAsia="en-US"/>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DefaultParagraphFont"/>
    <w:link w:val="FooterSensitivity"/>
    <w:rPr>
      <w:b/>
      <w:sz w:val="32"/>
    </w:rPr>
  </w:style>
  <w:style w:type="paragraph" w:customStyle="1" w:styleId="HeaderCoverPage">
    <w:name w:val="Header Cover Page"/>
    <w:basedOn w:val="Normal"/>
    <w:link w:val="HeaderCoverPageChar"/>
    <w:pPr>
      <w:tabs>
        <w:tab w:val="center" w:pos="4535"/>
        <w:tab w:val="right" w:pos="9071"/>
      </w:tabs>
      <w:spacing w:before="0" w:after="120"/>
    </w:pPr>
  </w:style>
  <w:style w:type="character" w:customStyle="1" w:styleId="HeaderCoverPageChar">
    <w:name w:val="Header Cover Page Char"/>
    <w:basedOn w:val="DefaultParagraphFont"/>
    <w:link w:val="HeaderCoverPage"/>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before="0" w:after="120"/>
      <w:ind w:left="113" w:right="113"/>
      <w:jc w:val="center"/>
    </w:pPr>
    <w:rPr>
      <w:b/>
      <w:sz w:val="32"/>
    </w:rPr>
  </w:style>
  <w:style w:type="character" w:customStyle="1" w:styleId="HeaderSensitivityChar">
    <w:name w:val="Header Sensitivity Char"/>
    <w:basedOn w:val="DefaultParagraphFont"/>
    <w:link w:val="HeaderSensitivity"/>
    <w:rPr>
      <w:b/>
      <w:sz w:val="32"/>
    </w:rPr>
  </w:style>
  <w:style w:type="paragraph" w:customStyle="1" w:styleId="HeaderSensitivityRight">
    <w:name w:val="Header Sensitivity Right"/>
    <w:basedOn w:val="Normal"/>
    <w:link w:val="HeaderSensitivityRightChar"/>
    <w:pPr>
      <w:spacing w:before="0" w:after="120"/>
      <w:jc w:val="right"/>
    </w:pPr>
    <w:rPr>
      <w:sz w:val="28"/>
    </w:rPr>
  </w:style>
  <w:style w:type="character" w:customStyle="1" w:styleId="HeaderSensitivityRightChar">
    <w:name w:val="Header Sensitivity Right Char"/>
    <w:basedOn w:val="DefaultParagraphFont"/>
    <w:link w:val="HeaderSensitivityRight"/>
    <w:rPr>
      <w:sz w:val="28"/>
    </w:rPr>
  </w:style>
  <w:style w:type="paragraph" w:customStyle="1" w:styleId="Nota">
    <w:name w:val="Nota"/>
    <w:aliases w:val="Char1,(NECG) Footnote Reference,fr,Appel note de bas de p,o,Style 6,Signature Ch, Char1"/>
    <w:basedOn w:val="Normal"/>
    <w:link w:val="FootnoteReference"/>
    <w:pPr>
      <w:spacing w:before="0" w:after="160" w:line="240" w:lineRule="exact"/>
    </w:pPr>
    <w:rPr>
      <w:sz w:val="20"/>
      <w:szCs w:val="20"/>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mt-MT"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7" w:unhideWhenUsed="0" w:qFormat="1"/>
    <w:lsdException w:name="heading 2" w:uiPriority="8" w:qFormat="1"/>
    <w:lsdException w:name="heading 3" w:uiPriority="9" w:qFormat="1"/>
    <w:lsdException w:name="heading 4" w:uiPriority="10" w:qFormat="1"/>
    <w:lsdException w:name="heading 5" w:uiPriority="11" w:qFormat="1"/>
    <w:lsdException w:name="heading 6" w:uiPriority="12" w:qFormat="1"/>
    <w:lsdException w:name="heading 7" w:uiPriority="13" w:qFormat="1"/>
    <w:lsdException w:name="heading 8" w:uiPriority="14" w:qFormat="1"/>
    <w:lsdException w:name="heading 9" w:uiPriority="15"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List Bullet" w:uiPriority="0"/>
    <w:lsdException w:name="List Bullet 2" w:uiPriority="0"/>
    <w:lsdException w:name="List Bullet 3" w:uiPriority="0"/>
    <w:lsdException w:name="List Bullet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spacing w:before="120" w:after="240"/>
      <w:jc w:val="both"/>
    </w:pPr>
  </w:style>
  <w:style w:type="paragraph" w:styleId="Heading1">
    <w:name w:val="heading 1"/>
    <w:basedOn w:val="Normal"/>
    <w:link w:val="Heading1Char"/>
    <w:uiPriority w:val="7"/>
    <w:qFormat/>
    <w:pPr>
      <w:keepNext/>
      <w:numPr>
        <w:numId w:val="3"/>
      </w:numPr>
      <w:outlineLvl w:val="0"/>
    </w:pPr>
    <w:rPr>
      <w:b/>
      <w:smallCaps/>
      <w:sz w:val="20"/>
      <w:szCs w:val="20"/>
    </w:rPr>
  </w:style>
  <w:style w:type="paragraph" w:styleId="Heading2">
    <w:name w:val="heading 2"/>
    <w:basedOn w:val="Normal"/>
    <w:link w:val="Heading2Char"/>
    <w:uiPriority w:val="8"/>
    <w:qFormat/>
    <w:pPr>
      <w:keepNext/>
      <w:numPr>
        <w:ilvl w:val="1"/>
        <w:numId w:val="3"/>
      </w:numPr>
      <w:tabs>
        <w:tab w:val="left" w:pos="482"/>
      </w:tabs>
      <w:outlineLvl w:val="1"/>
    </w:pPr>
    <w:rPr>
      <w:b/>
      <w:sz w:val="20"/>
      <w:szCs w:val="20"/>
    </w:rPr>
  </w:style>
  <w:style w:type="paragraph" w:styleId="Heading3">
    <w:name w:val="heading 3"/>
    <w:basedOn w:val="Normal"/>
    <w:link w:val="Heading3Char"/>
    <w:uiPriority w:val="9"/>
    <w:qFormat/>
    <w:pPr>
      <w:keepNext/>
      <w:numPr>
        <w:ilvl w:val="2"/>
        <w:numId w:val="3"/>
      </w:numPr>
      <w:tabs>
        <w:tab w:val="left" w:pos="482"/>
      </w:tabs>
      <w:outlineLvl w:val="2"/>
    </w:pPr>
    <w:rPr>
      <w:i/>
      <w:sz w:val="20"/>
      <w:szCs w:val="20"/>
    </w:rPr>
  </w:style>
  <w:style w:type="paragraph" w:styleId="Heading4">
    <w:name w:val="heading 4"/>
    <w:basedOn w:val="Normal"/>
    <w:uiPriority w:val="10"/>
    <w:qFormat/>
    <w:pPr>
      <w:keepNext/>
      <w:numPr>
        <w:ilvl w:val="3"/>
        <w:numId w:val="3"/>
      </w:numPr>
      <w:tabs>
        <w:tab w:val="left" w:pos="482"/>
      </w:tabs>
      <w:outlineLvl w:val="3"/>
    </w:pPr>
  </w:style>
  <w:style w:type="paragraph" w:styleId="Heading5">
    <w:name w:val="heading 5"/>
    <w:basedOn w:val="Normal"/>
    <w:next w:val="Normal"/>
    <w:uiPriority w:val="11"/>
    <w:semiHidden/>
    <w:pPr>
      <w:keepNext/>
      <w:numPr>
        <w:ilvl w:val="4"/>
        <w:numId w:val="3"/>
      </w:numPr>
      <w:tabs>
        <w:tab w:val="left" w:pos="482"/>
      </w:tabs>
      <w:outlineLvl w:val="4"/>
    </w:pPr>
  </w:style>
  <w:style w:type="paragraph" w:styleId="Heading6">
    <w:name w:val="heading 6"/>
    <w:basedOn w:val="Normal"/>
    <w:next w:val="Normal"/>
    <w:uiPriority w:val="12"/>
    <w:semiHidden/>
    <w:pPr>
      <w:keepNext/>
      <w:numPr>
        <w:ilvl w:val="5"/>
        <w:numId w:val="3"/>
      </w:numPr>
      <w:tabs>
        <w:tab w:val="left" w:pos="482"/>
      </w:tabs>
      <w:outlineLvl w:val="5"/>
    </w:pPr>
  </w:style>
  <w:style w:type="paragraph" w:styleId="Heading7">
    <w:name w:val="heading 7"/>
    <w:basedOn w:val="Normal"/>
    <w:next w:val="Normal"/>
    <w:uiPriority w:val="13"/>
    <w:semiHidden/>
    <w:pPr>
      <w:keepNext/>
      <w:numPr>
        <w:ilvl w:val="6"/>
        <w:numId w:val="3"/>
      </w:numPr>
      <w:tabs>
        <w:tab w:val="left" w:pos="482"/>
      </w:tabs>
      <w:outlineLvl w:val="6"/>
    </w:pPr>
  </w:style>
  <w:style w:type="paragraph" w:styleId="Heading8">
    <w:name w:val="heading 8"/>
    <w:basedOn w:val="Normal"/>
    <w:next w:val="Normal"/>
    <w:uiPriority w:val="14"/>
    <w:semiHidden/>
    <w:pPr>
      <w:keepNext/>
      <w:numPr>
        <w:ilvl w:val="7"/>
        <w:numId w:val="3"/>
      </w:numPr>
      <w:tabs>
        <w:tab w:val="left" w:pos="482"/>
      </w:tabs>
      <w:outlineLvl w:val="7"/>
    </w:pPr>
  </w:style>
  <w:style w:type="paragraph" w:styleId="Heading9">
    <w:name w:val="heading 9"/>
    <w:basedOn w:val="Normal"/>
    <w:next w:val="Normal"/>
    <w:uiPriority w:val="15"/>
    <w:semiHidden/>
    <w:pPr>
      <w:keepNext/>
      <w:numPr>
        <w:ilvl w:val="8"/>
        <w:numId w:val="3"/>
      </w:numPr>
      <w:tabs>
        <w:tab w:val="left" w:pos="482"/>
      </w:tabs>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6"/>
    <w:pPr>
      <w:jc w:val="center"/>
    </w:pPr>
    <w:rPr>
      <w:b/>
      <w:sz w:val="48"/>
      <w:szCs w:val="48"/>
    </w:rPr>
  </w:style>
  <w:style w:type="paragraph" w:styleId="ListParagraph">
    <w:name w:val="List Paragraph"/>
    <w:aliases w:val="FooterText,Paragraphe de liste1,List Paragraph (bulleted list),Bullet 1 List,Dot pt,F5 List Paragraph,List Paragraph1,No Spacing1,List Paragraph Char Char Char,Indicator Text,Colorful List - Accent 11,Numbered Para 1,Bullet 1,Nad,L"/>
    <w:basedOn w:val="Normal"/>
    <w:link w:val="ListParagraphChar"/>
    <w:uiPriority w:val="34"/>
    <w:qFormat/>
    <w:pPr>
      <w:ind w:left="720"/>
    </w:pPr>
  </w:style>
  <w:style w:type="paragraph" w:styleId="TOCHeading">
    <w:name w:val="TOC Heading"/>
    <w:basedOn w:val="Normal"/>
    <w:next w:val="Normal"/>
    <w:uiPriority w:val="27"/>
    <w:semiHidden/>
    <w:pPr>
      <w:jc w:val="center"/>
    </w:pPr>
    <w:rPr>
      <w:rFonts w:ascii="Times New Roman Bold" w:eastAsia="Times New Roman Bold" w:hAnsi="Times New Roman Bold"/>
      <w:b/>
      <w:caps/>
      <w:sz w:val="20"/>
      <w:szCs w:val="20"/>
    </w:rPr>
  </w:style>
  <w:style w:type="paragraph" w:styleId="TOC1">
    <w:name w:val="toc 1"/>
    <w:basedOn w:val="Normal"/>
    <w:next w:val="Normal"/>
    <w:uiPriority w:val="28"/>
    <w:semiHidden/>
    <w:pPr>
      <w:tabs>
        <w:tab w:val="right" w:leader="dot" w:pos="8640"/>
      </w:tabs>
      <w:ind w:left="482" w:right="720" w:hanging="482"/>
    </w:pPr>
    <w:rPr>
      <w:caps/>
      <w:sz w:val="20"/>
      <w:szCs w:val="20"/>
    </w:rPr>
  </w:style>
  <w:style w:type="paragraph" w:styleId="TOC2">
    <w:name w:val="toc 2"/>
    <w:basedOn w:val="Normal"/>
    <w:next w:val="Normal"/>
    <w:uiPriority w:val="29"/>
    <w:semiHidden/>
    <w:pPr>
      <w:tabs>
        <w:tab w:val="right" w:leader="dot" w:pos="8640"/>
      </w:tabs>
      <w:ind w:left="1077" w:right="720" w:hanging="595"/>
    </w:pPr>
    <w:rPr>
      <w:sz w:val="20"/>
      <w:szCs w:val="20"/>
    </w:rPr>
  </w:style>
  <w:style w:type="paragraph" w:styleId="TOC3">
    <w:name w:val="toc 3"/>
    <w:basedOn w:val="Normal"/>
    <w:next w:val="Normal"/>
    <w:uiPriority w:val="30"/>
    <w:semiHidden/>
    <w:pPr>
      <w:tabs>
        <w:tab w:val="right" w:leader="dot" w:pos="8640"/>
      </w:tabs>
      <w:ind w:left="1916" w:right="720" w:hanging="839"/>
    </w:pPr>
  </w:style>
  <w:style w:type="paragraph" w:styleId="TOC4">
    <w:name w:val="toc 4"/>
    <w:basedOn w:val="Normal"/>
    <w:next w:val="Normal"/>
    <w:uiPriority w:val="31"/>
    <w:semiHidden/>
    <w:pPr>
      <w:tabs>
        <w:tab w:val="right" w:leader="dot" w:pos="8640"/>
      </w:tabs>
      <w:ind w:left="2880" w:right="720" w:hanging="964"/>
    </w:pPr>
    <w:rPr>
      <w:sz w:val="20"/>
      <w:szCs w:val="20"/>
    </w:rPr>
  </w:style>
  <w:style w:type="paragraph" w:styleId="TOC5">
    <w:name w:val="toc 5"/>
    <w:basedOn w:val="Normal"/>
    <w:next w:val="Normal"/>
    <w:uiPriority w:val="32"/>
    <w:semiHidden/>
    <w:pPr>
      <w:tabs>
        <w:tab w:val="right" w:leader="dot" w:pos="8640"/>
      </w:tabs>
      <w:ind w:right="720"/>
    </w:pPr>
    <w:rPr>
      <w:caps/>
      <w:sz w:val="20"/>
      <w:szCs w:val="20"/>
    </w:rPr>
  </w:style>
  <w:style w:type="paragraph" w:styleId="TOC6">
    <w:name w:val="toc 6"/>
    <w:basedOn w:val="Normal"/>
    <w:next w:val="Normal"/>
    <w:uiPriority w:val="33"/>
    <w:semiHidden/>
    <w:pPr>
      <w:tabs>
        <w:tab w:val="left" w:pos="2880"/>
        <w:tab w:val="right" w:leader="dot" w:pos="8640"/>
      </w:tabs>
      <w:ind w:left="1916" w:right="720" w:hanging="1916"/>
    </w:pPr>
    <w:rPr>
      <w:caps/>
      <w:sz w:val="20"/>
      <w:szCs w:val="20"/>
    </w:rPr>
  </w:style>
  <w:style w:type="paragraph" w:styleId="TOC7">
    <w:name w:val="toc 7"/>
    <w:basedOn w:val="Normal"/>
    <w:next w:val="Normal"/>
    <w:uiPriority w:val="34"/>
    <w:semiHidden/>
    <w:pPr>
      <w:tabs>
        <w:tab w:val="right" w:leader="dot" w:pos="8640"/>
      </w:tabs>
    </w:pPr>
  </w:style>
  <w:style w:type="paragraph" w:styleId="TOC8">
    <w:name w:val="toc 8"/>
    <w:basedOn w:val="Normal"/>
    <w:next w:val="Normal"/>
    <w:uiPriority w:val="35"/>
    <w:semiHidden/>
    <w:pPr>
      <w:tabs>
        <w:tab w:val="right" w:leader="dot" w:pos="8640"/>
      </w:tabs>
    </w:pPr>
  </w:style>
  <w:style w:type="paragraph" w:styleId="TOC9">
    <w:name w:val="toc 9"/>
    <w:basedOn w:val="Normal"/>
    <w:next w:val="Normal"/>
    <w:uiPriority w:val="36"/>
    <w:semiHidden/>
    <w:pPr>
      <w:tabs>
        <w:tab w:val="right" w:leader="dot" w:pos="8640"/>
      </w:tabs>
    </w:pPr>
  </w:style>
  <w:style w:type="character" w:customStyle="1" w:styleId="CrossReference">
    <w:name w:val="Cross Reference"/>
    <w:basedOn w:val="DefaultParagraphFont"/>
    <w:rPr>
      <w:i/>
      <w:w w:val="100"/>
      <w:sz w:val="20"/>
      <w:szCs w:val="20"/>
      <w:shd w:val="clear" w:color="auto" w:fill="auto"/>
    </w:rPr>
  </w:style>
  <w:style w:type="character" w:customStyle="1" w:styleId="MarkingText">
    <w:name w:val="MarkingText"/>
    <w:semiHidden/>
    <w:rPr>
      <w:i/>
      <w:w w:val="100"/>
      <w:sz w:val="28"/>
      <w:szCs w:val="28"/>
      <w:shd w:val="clear" w:color="auto" w:fill="auto"/>
    </w:rPr>
  </w:style>
  <w:style w:type="character" w:customStyle="1" w:styleId="MarkingLabel">
    <w:name w:val="MarkingLabel"/>
    <w:semiHidden/>
    <w:rPr>
      <w:b/>
      <w:caps/>
      <w:w w:val="100"/>
      <w:sz w:val="28"/>
      <w:szCs w:val="28"/>
      <w:shd w:val="clear" w:color="auto" w:fill="auto"/>
    </w:rPr>
  </w:style>
  <w:style w:type="character" w:customStyle="1" w:styleId="BodyPlaceholderText">
    <w:name w:val="BodyPlaceholderText"/>
    <w:semiHidden/>
    <w:rPr>
      <w:color w:val="3366CC"/>
      <w:w w:val="100"/>
      <w:sz w:val="20"/>
      <w:szCs w:val="20"/>
      <w:shd w:val="clear" w:color="auto" w:fill="auto"/>
    </w:rPr>
  </w:style>
  <w:style w:type="character" w:styleId="PlaceholderText">
    <w:name w:val="Placeholder Text"/>
    <w:basedOn w:val="DefaultParagraphFont"/>
    <w:semiHidden/>
    <w:rPr>
      <w:color w:val="288061"/>
      <w:w w:val="100"/>
      <w:sz w:val="20"/>
      <w:szCs w:val="20"/>
      <w:shd w:val="clear" w:color="auto" w:fill="auto"/>
    </w:rPr>
  </w:style>
  <w:style w:type="paragraph" w:customStyle="1" w:styleId="Copies">
    <w:name w:val="Copies"/>
    <w:basedOn w:val="Normal"/>
    <w:pPr>
      <w:tabs>
        <w:tab w:val="left" w:pos="5669"/>
      </w:tabs>
      <w:ind w:left="1984" w:hanging="1984"/>
    </w:pPr>
  </w:style>
  <w:style w:type="paragraph" w:customStyle="1" w:styleId="Participants">
    <w:name w:val="Participants"/>
    <w:basedOn w:val="Normal"/>
    <w:pPr>
      <w:tabs>
        <w:tab w:val="left" w:pos="2551"/>
        <w:tab w:val="left" w:pos="2835"/>
        <w:tab w:val="left" w:pos="5669"/>
        <w:tab w:val="left" w:pos="6378"/>
        <w:tab w:val="left" w:pos="6803"/>
      </w:tabs>
      <w:ind w:left="1984" w:hanging="1984"/>
    </w:pPr>
  </w:style>
  <w:style w:type="paragraph" w:customStyle="1" w:styleId="Enclosures">
    <w:name w:val="Enclosures"/>
    <w:basedOn w:val="Normal"/>
    <w:pPr>
      <w:keepNext/>
      <w:keepLines/>
      <w:tabs>
        <w:tab w:val="left" w:pos="5669"/>
      </w:tabs>
      <w:ind w:left="1984" w:hanging="1984"/>
    </w:pPr>
  </w:style>
  <w:style w:type="paragraph" w:customStyle="1" w:styleId="DoubSign">
    <w:name w:val="DoubSign"/>
    <w:basedOn w:val="Normal"/>
    <w:pPr>
      <w:tabs>
        <w:tab w:val="left" w:pos="5102"/>
      </w:tabs>
    </w:pPr>
  </w:style>
  <w:style w:type="paragraph" w:customStyle="1" w:styleId="SignatureL">
    <w:name w:val="SignatureL"/>
    <w:basedOn w:val="Normal"/>
    <w:pPr>
      <w:tabs>
        <w:tab w:val="left" w:pos="5102"/>
      </w:tabs>
    </w:pPr>
  </w:style>
  <w:style w:type="paragraph" w:styleId="Signature">
    <w:name w:val="Signature"/>
    <w:basedOn w:val="Normal"/>
    <w:pPr>
      <w:tabs>
        <w:tab w:val="left" w:pos="5102"/>
      </w:tabs>
      <w:ind w:left="5102"/>
      <w:jc w:val="center"/>
    </w:pPr>
  </w:style>
  <w:style w:type="paragraph" w:customStyle="1" w:styleId="ClosingL">
    <w:name w:val="ClosingL"/>
    <w:basedOn w:val="Normal"/>
    <w:next w:val="Signature"/>
  </w:style>
  <w:style w:type="paragraph" w:styleId="Closing">
    <w:name w:val="Closing"/>
    <w:basedOn w:val="Normal"/>
    <w:next w:val="Signature"/>
    <w:pPr>
      <w:tabs>
        <w:tab w:val="left" w:pos="5102"/>
      </w:tabs>
      <w:ind w:left="5102"/>
    </w:pPr>
  </w:style>
  <w:style w:type="paragraph" w:customStyle="1" w:styleId="YReferences">
    <w:name w:val="YReferences"/>
    <w:basedOn w:val="Normal"/>
    <w:pPr>
      <w:ind w:left="1531" w:hanging="1531"/>
    </w:pPr>
  </w:style>
  <w:style w:type="paragraph" w:customStyle="1" w:styleId="Subject">
    <w:name w:val="Subject"/>
    <w:basedOn w:val="Normal"/>
    <w:pPr>
      <w:ind w:left="1531" w:hanging="1531"/>
    </w:pPr>
    <w:rPr>
      <w:b/>
      <w:sz w:val="20"/>
      <w:szCs w:val="20"/>
    </w:rPr>
  </w:style>
  <w:style w:type="paragraph" w:customStyle="1" w:styleId="NoteColumn">
    <w:name w:val="NoteColumn"/>
    <w:basedOn w:val="Normal"/>
    <w:pPr>
      <w:tabs>
        <w:tab w:val="left" w:pos="850"/>
        <w:tab w:val="left" w:pos="1570"/>
        <w:tab w:val="left" w:pos="5102"/>
        <w:tab w:val="left" w:pos="5822"/>
      </w:tabs>
      <w:ind w:left="850"/>
    </w:pPr>
    <w:rPr>
      <w:b/>
      <w:smallCaps/>
      <w:sz w:val="20"/>
      <w:szCs w:val="20"/>
    </w:rPr>
  </w:style>
  <w:style w:type="paragraph" w:customStyle="1" w:styleId="NoteList">
    <w:name w:val="NoteList"/>
    <w:basedOn w:val="Normal"/>
    <w:pPr>
      <w:tabs>
        <w:tab w:val="left" w:pos="5822"/>
      </w:tabs>
      <w:ind w:left="5102" w:hanging="3118"/>
    </w:pPr>
    <w:rPr>
      <w:b/>
      <w:smallCaps/>
      <w:sz w:val="20"/>
      <w:szCs w:val="20"/>
    </w:rPr>
  </w:style>
  <w:style w:type="paragraph" w:customStyle="1" w:styleId="NoteHead">
    <w:name w:val="NoteHead"/>
    <w:basedOn w:val="Normal"/>
    <w:pPr>
      <w:jc w:val="center"/>
    </w:pPr>
    <w:rPr>
      <w:b/>
      <w:smallCaps/>
      <w:sz w:val="20"/>
      <w:szCs w:val="20"/>
    </w:rPr>
  </w:style>
  <w:style w:type="paragraph" w:styleId="NoteHeading">
    <w:name w:val="Note Heading"/>
    <w:basedOn w:val="Normal"/>
    <w:next w:val="Normal"/>
  </w:style>
  <w:style w:type="paragraph" w:customStyle="1" w:styleId="LegalNumPar3">
    <w:name w:val="LegalNumPar3"/>
    <w:basedOn w:val="Normal"/>
    <w:pPr>
      <w:numPr>
        <w:ilvl w:val="2"/>
        <w:numId w:val="2"/>
      </w:numPr>
    </w:pPr>
  </w:style>
  <w:style w:type="paragraph" w:customStyle="1" w:styleId="LegalNumPar2">
    <w:name w:val="LegalNumPar2"/>
    <w:basedOn w:val="Normal"/>
    <w:pPr>
      <w:numPr>
        <w:ilvl w:val="1"/>
        <w:numId w:val="2"/>
      </w:numPr>
    </w:pPr>
  </w:style>
  <w:style w:type="paragraph" w:customStyle="1" w:styleId="LegalNumPar">
    <w:name w:val="LegalNumPar"/>
    <w:basedOn w:val="Normal"/>
    <w:qFormat/>
    <w:pPr>
      <w:numPr>
        <w:numId w:val="2"/>
      </w:numPr>
    </w:pPr>
  </w:style>
  <w:style w:type="paragraph" w:customStyle="1" w:styleId="Marking">
    <w:name w:val="Marking"/>
    <w:basedOn w:val="Normal"/>
    <w:pPr>
      <w:ind w:left="5102" w:right="-567"/>
    </w:pPr>
    <w:rPr>
      <w:sz w:val="28"/>
      <w:szCs w:val="28"/>
    </w:rPr>
  </w:style>
  <w:style w:type="paragraph" w:customStyle="1" w:styleId="ListNumber4Level4">
    <w:name w:val="List Number 4 (Level 4)"/>
    <w:semiHidden/>
    <w:unhideWhenUsed/>
    <w:pPr>
      <w:numPr>
        <w:ilvl w:val="3"/>
        <w:numId w:val="13"/>
      </w:numPr>
    </w:pPr>
  </w:style>
  <w:style w:type="paragraph" w:customStyle="1" w:styleId="ListNumber4Level3">
    <w:name w:val="List Number 4 (Level 3)"/>
    <w:semiHidden/>
    <w:unhideWhenUsed/>
    <w:pPr>
      <w:numPr>
        <w:ilvl w:val="2"/>
        <w:numId w:val="13"/>
      </w:numPr>
    </w:pPr>
  </w:style>
  <w:style w:type="paragraph" w:customStyle="1" w:styleId="ListNumber4Level2">
    <w:name w:val="List Number 4 (Level 2)"/>
    <w:pPr>
      <w:numPr>
        <w:ilvl w:val="1"/>
        <w:numId w:val="13"/>
      </w:numPr>
    </w:pPr>
  </w:style>
  <w:style w:type="paragraph" w:styleId="ListNumber4">
    <w:name w:val="List Number 4"/>
    <w:pPr>
      <w:numPr>
        <w:numId w:val="13"/>
      </w:numPr>
    </w:pPr>
  </w:style>
  <w:style w:type="paragraph" w:customStyle="1" w:styleId="ListNumber3Level4">
    <w:name w:val="List Number 3 (Level 4)"/>
    <w:semiHidden/>
    <w:unhideWhenUsed/>
    <w:pPr>
      <w:numPr>
        <w:ilvl w:val="3"/>
        <w:numId w:val="12"/>
      </w:numPr>
    </w:pPr>
  </w:style>
  <w:style w:type="paragraph" w:customStyle="1" w:styleId="ListNumber3Level3">
    <w:name w:val="List Number 3 (Level 3)"/>
    <w:semiHidden/>
    <w:unhideWhenUsed/>
    <w:pPr>
      <w:numPr>
        <w:ilvl w:val="2"/>
        <w:numId w:val="12"/>
      </w:numPr>
    </w:pPr>
  </w:style>
  <w:style w:type="paragraph" w:customStyle="1" w:styleId="ListNumber3Level2">
    <w:name w:val="List Number 3 (Level 2)"/>
    <w:pPr>
      <w:numPr>
        <w:ilvl w:val="1"/>
        <w:numId w:val="12"/>
      </w:numPr>
    </w:pPr>
  </w:style>
  <w:style w:type="paragraph" w:styleId="ListNumber3">
    <w:name w:val="List Number 3"/>
    <w:pPr>
      <w:numPr>
        <w:numId w:val="12"/>
      </w:numPr>
    </w:pPr>
  </w:style>
  <w:style w:type="paragraph" w:customStyle="1" w:styleId="ListNumber2Level4">
    <w:name w:val="List Number 2 (Level 4)"/>
    <w:semiHidden/>
    <w:unhideWhenUsed/>
    <w:pPr>
      <w:numPr>
        <w:ilvl w:val="3"/>
        <w:numId w:val="11"/>
      </w:numPr>
    </w:pPr>
  </w:style>
  <w:style w:type="paragraph" w:customStyle="1" w:styleId="ListNumber2Level3">
    <w:name w:val="List Number 2 (Level 3)"/>
    <w:semiHidden/>
    <w:unhideWhenUsed/>
    <w:pPr>
      <w:numPr>
        <w:ilvl w:val="2"/>
        <w:numId w:val="11"/>
      </w:numPr>
    </w:pPr>
  </w:style>
  <w:style w:type="paragraph" w:customStyle="1" w:styleId="ListNumber2Level2">
    <w:name w:val="List Number 2 (Level 2)"/>
    <w:pPr>
      <w:numPr>
        <w:ilvl w:val="1"/>
        <w:numId w:val="11"/>
      </w:numPr>
    </w:pPr>
  </w:style>
  <w:style w:type="paragraph" w:styleId="ListNumber2">
    <w:name w:val="List Number 2"/>
    <w:pPr>
      <w:numPr>
        <w:numId w:val="11"/>
      </w:numPr>
    </w:pPr>
  </w:style>
  <w:style w:type="paragraph" w:customStyle="1" w:styleId="ListNumber1Level4">
    <w:name w:val="List Number 1 (Level 4)"/>
    <w:semiHidden/>
    <w:unhideWhenUsed/>
    <w:pPr>
      <w:numPr>
        <w:ilvl w:val="3"/>
        <w:numId w:val="10"/>
      </w:numPr>
    </w:pPr>
  </w:style>
  <w:style w:type="paragraph" w:customStyle="1" w:styleId="ListNumber1Level3">
    <w:name w:val="List Number 1 (Level 3)"/>
    <w:semiHidden/>
    <w:unhideWhenUsed/>
    <w:pPr>
      <w:numPr>
        <w:ilvl w:val="2"/>
        <w:numId w:val="10"/>
      </w:numPr>
    </w:pPr>
  </w:style>
  <w:style w:type="paragraph" w:customStyle="1" w:styleId="ListNumber1Level2">
    <w:name w:val="List Number 1 (Level 2)"/>
    <w:pPr>
      <w:numPr>
        <w:ilvl w:val="1"/>
        <w:numId w:val="10"/>
      </w:numPr>
    </w:pPr>
  </w:style>
  <w:style w:type="paragraph" w:customStyle="1" w:styleId="ListNumber1">
    <w:name w:val="List Number 1"/>
    <w:pPr>
      <w:numPr>
        <w:numId w:val="10"/>
      </w:numPr>
    </w:pPr>
  </w:style>
  <w:style w:type="paragraph" w:customStyle="1" w:styleId="ListNumberLevel4">
    <w:name w:val="List Number (Level 4)"/>
    <w:basedOn w:val="Normal"/>
    <w:semiHidden/>
    <w:unhideWhenUsed/>
    <w:pPr>
      <w:numPr>
        <w:ilvl w:val="3"/>
        <w:numId w:val="9"/>
      </w:numPr>
    </w:pPr>
  </w:style>
  <w:style w:type="paragraph" w:customStyle="1" w:styleId="ListNumberLevel3">
    <w:name w:val="List Number (Level 3)"/>
    <w:basedOn w:val="Normal"/>
    <w:semiHidden/>
    <w:unhideWhenUsed/>
    <w:pPr>
      <w:numPr>
        <w:ilvl w:val="2"/>
        <w:numId w:val="9"/>
      </w:numPr>
    </w:pPr>
  </w:style>
  <w:style w:type="paragraph" w:customStyle="1" w:styleId="ListNumberLevel2">
    <w:name w:val="List Number (Level 2)"/>
    <w:basedOn w:val="Normal"/>
    <w:pPr>
      <w:numPr>
        <w:ilvl w:val="1"/>
        <w:numId w:val="9"/>
      </w:numPr>
    </w:pPr>
  </w:style>
  <w:style w:type="paragraph" w:styleId="ListNumber">
    <w:name w:val="List Number"/>
    <w:basedOn w:val="Normal"/>
    <w:pPr>
      <w:numPr>
        <w:numId w:val="9"/>
      </w:numPr>
    </w:pPr>
  </w:style>
  <w:style w:type="paragraph" w:customStyle="1" w:styleId="ListDash4Level4">
    <w:name w:val="List Dash 4 (Level 4)"/>
    <w:semiHidden/>
    <w:unhideWhenUsed/>
    <w:pPr>
      <w:numPr>
        <w:ilvl w:val="3"/>
        <w:numId w:val="18"/>
      </w:numPr>
    </w:pPr>
  </w:style>
  <w:style w:type="paragraph" w:customStyle="1" w:styleId="ListDash4Level3">
    <w:name w:val="List Dash 4 (Level 3)"/>
    <w:semiHidden/>
    <w:unhideWhenUsed/>
    <w:pPr>
      <w:numPr>
        <w:ilvl w:val="2"/>
        <w:numId w:val="18"/>
      </w:numPr>
    </w:pPr>
  </w:style>
  <w:style w:type="paragraph" w:customStyle="1" w:styleId="ListDash4Level2">
    <w:name w:val="List Dash 4 (Level 2)"/>
    <w:pPr>
      <w:numPr>
        <w:ilvl w:val="1"/>
        <w:numId w:val="18"/>
      </w:numPr>
    </w:pPr>
  </w:style>
  <w:style w:type="paragraph" w:customStyle="1" w:styleId="ListDash4">
    <w:name w:val="List Dash 4"/>
    <w:pPr>
      <w:numPr>
        <w:numId w:val="18"/>
      </w:numPr>
    </w:pPr>
  </w:style>
  <w:style w:type="paragraph" w:customStyle="1" w:styleId="ListDash3Level4">
    <w:name w:val="List Dash 3 (Level 4)"/>
    <w:semiHidden/>
    <w:unhideWhenUsed/>
    <w:pPr>
      <w:numPr>
        <w:ilvl w:val="3"/>
        <w:numId w:val="17"/>
      </w:numPr>
    </w:pPr>
  </w:style>
  <w:style w:type="paragraph" w:customStyle="1" w:styleId="ListDash3Level3">
    <w:name w:val="List Dash 3 (Level 3)"/>
    <w:semiHidden/>
    <w:unhideWhenUsed/>
    <w:pPr>
      <w:numPr>
        <w:ilvl w:val="2"/>
        <w:numId w:val="17"/>
      </w:numPr>
    </w:pPr>
  </w:style>
  <w:style w:type="paragraph" w:customStyle="1" w:styleId="ListDash3Level2">
    <w:name w:val="List Dash 3 (Level 2)"/>
    <w:pPr>
      <w:numPr>
        <w:ilvl w:val="1"/>
        <w:numId w:val="17"/>
      </w:numPr>
    </w:pPr>
  </w:style>
  <w:style w:type="paragraph" w:customStyle="1" w:styleId="ListDash3">
    <w:name w:val="List Dash 3"/>
    <w:pPr>
      <w:numPr>
        <w:numId w:val="17"/>
      </w:numPr>
    </w:pPr>
  </w:style>
  <w:style w:type="paragraph" w:customStyle="1" w:styleId="ListDash2Level4">
    <w:name w:val="List Dash 2 (Level 4)"/>
    <w:semiHidden/>
    <w:unhideWhenUsed/>
    <w:pPr>
      <w:numPr>
        <w:ilvl w:val="3"/>
        <w:numId w:val="16"/>
      </w:numPr>
    </w:pPr>
  </w:style>
  <w:style w:type="paragraph" w:customStyle="1" w:styleId="ListDash2Level3">
    <w:name w:val="List Dash 2 (Level 3)"/>
    <w:semiHidden/>
    <w:unhideWhenUsed/>
    <w:pPr>
      <w:numPr>
        <w:ilvl w:val="2"/>
        <w:numId w:val="16"/>
      </w:numPr>
    </w:pPr>
  </w:style>
  <w:style w:type="paragraph" w:customStyle="1" w:styleId="ListDash2Level2">
    <w:name w:val="List Dash 2 (Level 2)"/>
    <w:pPr>
      <w:numPr>
        <w:ilvl w:val="1"/>
        <w:numId w:val="16"/>
      </w:numPr>
    </w:pPr>
  </w:style>
  <w:style w:type="paragraph" w:customStyle="1" w:styleId="ListDash2">
    <w:name w:val="List Dash 2"/>
    <w:pPr>
      <w:numPr>
        <w:numId w:val="16"/>
      </w:numPr>
    </w:pPr>
  </w:style>
  <w:style w:type="paragraph" w:customStyle="1" w:styleId="ListDash1Level4">
    <w:name w:val="List Dash 1 (Level 4)"/>
    <w:semiHidden/>
    <w:unhideWhenUsed/>
    <w:pPr>
      <w:numPr>
        <w:ilvl w:val="3"/>
        <w:numId w:val="15"/>
      </w:numPr>
    </w:pPr>
  </w:style>
  <w:style w:type="paragraph" w:customStyle="1" w:styleId="ListDash1Level3">
    <w:name w:val="List Dash 1 (Level 3)"/>
    <w:semiHidden/>
    <w:unhideWhenUsed/>
    <w:pPr>
      <w:numPr>
        <w:ilvl w:val="2"/>
        <w:numId w:val="15"/>
      </w:numPr>
    </w:pPr>
  </w:style>
  <w:style w:type="paragraph" w:customStyle="1" w:styleId="ListDash1Level2">
    <w:name w:val="List Dash 1 (Level 2)"/>
    <w:pPr>
      <w:numPr>
        <w:ilvl w:val="1"/>
        <w:numId w:val="15"/>
      </w:numPr>
    </w:pPr>
  </w:style>
  <w:style w:type="paragraph" w:customStyle="1" w:styleId="ListDash1">
    <w:name w:val="List Dash 1"/>
    <w:pPr>
      <w:numPr>
        <w:numId w:val="15"/>
      </w:numPr>
    </w:pPr>
  </w:style>
  <w:style w:type="paragraph" w:customStyle="1" w:styleId="ListDashLevel4">
    <w:name w:val="List Dash (Level 4)"/>
    <w:basedOn w:val="Normal"/>
    <w:semiHidden/>
    <w:unhideWhenUsed/>
    <w:pPr>
      <w:numPr>
        <w:ilvl w:val="3"/>
        <w:numId w:val="14"/>
      </w:numPr>
    </w:pPr>
  </w:style>
  <w:style w:type="paragraph" w:customStyle="1" w:styleId="ListDashLevel3">
    <w:name w:val="List Dash (Level 3)"/>
    <w:basedOn w:val="Normal"/>
    <w:semiHidden/>
    <w:unhideWhenUsed/>
    <w:pPr>
      <w:numPr>
        <w:ilvl w:val="2"/>
        <w:numId w:val="14"/>
      </w:numPr>
    </w:pPr>
  </w:style>
  <w:style w:type="paragraph" w:customStyle="1" w:styleId="ListDashLevel2">
    <w:name w:val="List Dash (Level 2)"/>
    <w:basedOn w:val="Normal"/>
    <w:pPr>
      <w:numPr>
        <w:ilvl w:val="1"/>
        <w:numId w:val="14"/>
      </w:numPr>
    </w:pPr>
  </w:style>
  <w:style w:type="paragraph" w:customStyle="1" w:styleId="ListDash">
    <w:name w:val="List Dash"/>
    <w:basedOn w:val="Normal"/>
    <w:pPr>
      <w:numPr>
        <w:numId w:val="14"/>
      </w:numPr>
    </w:pPr>
  </w:style>
  <w:style w:type="paragraph" w:customStyle="1" w:styleId="ListBullet4Level4">
    <w:name w:val="List Bullet 4 (Level 4)"/>
    <w:semiHidden/>
    <w:unhideWhenUsed/>
    <w:pPr>
      <w:numPr>
        <w:ilvl w:val="3"/>
        <w:numId w:val="8"/>
      </w:numPr>
    </w:pPr>
  </w:style>
  <w:style w:type="paragraph" w:customStyle="1" w:styleId="ListBullet4Level3">
    <w:name w:val="List Bullet 4 (Level 3)"/>
    <w:semiHidden/>
    <w:unhideWhenUsed/>
    <w:pPr>
      <w:numPr>
        <w:ilvl w:val="2"/>
        <w:numId w:val="8"/>
      </w:numPr>
    </w:pPr>
  </w:style>
  <w:style w:type="paragraph" w:customStyle="1" w:styleId="ListBullet4Level2">
    <w:name w:val="List Bullet 4 (Level 2)"/>
    <w:pPr>
      <w:numPr>
        <w:ilvl w:val="1"/>
        <w:numId w:val="8"/>
      </w:numPr>
    </w:pPr>
  </w:style>
  <w:style w:type="paragraph" w:styleId="ListBullet4">
    <w:name w:val="List Bullet 4"/>
    <w:pPr>
      <w:numPr>
        <w:numId w:val="8"/>
      </w:numPr>
    </w:pPr>
  </w:style>
  <w:style w:type="paragraph" w:customStyle="1" w:styleId="ListBullet3Level4">
    <w:name w:val="List Bullet 3 (Level 4)"/>
    <w:semiHidden/>
    <w:unhideWhenUsed/>
    <w:pPr>
      <w:numPr>
        <w:ilvl w:val="3"/>
        <w:numId w:val="7"/>
      </w:numPr>
    </w:pPr>
  </w:style>
  <w:style w:type="paragraph" w:customStyle="1" w:styleId="ListBullet3Level3">
    <w:name w:val="List Bullet 3 (Level 3)"/>
    <w:unhideWhenUsed/>
    <w:pPr>
      <w:numPr>
        <w:ilvl w:val="2"/>
        <w:numId w:val="7"/>
      </w:numPr>
    </w:pPr>
  </w:style>
  <w:style w:type="paragraph" w:customStyle="1" w:styleId="ListBullet3Level2">
    <w:name w:val="List Bullet 3 (Level 2)"/>
    <w:pPr>
      <w:numPr>
        <w:ilvl w:val="1"/>
        <w:numId w:val="7"/>
      </w:numPr>
    </w:pPr>
  </w:style>
  <w:style w:type="paragraph" w:styleId="ListBullet3">
    <w:name w:val="List Bullet 3"/>
    <w:pPr>
      <w:numPr>
        <w:numId w:val="7"/>
      </w:numPr>
    </w:pPr>
  </w:style>
  <w:style w:type="paragraph" w:customStyle="1" w:styleId="ListBullet2Level4">
    <w:name w:val="List Bullet 2 (Level 4)"/>
    <w:semiHidden/>
    <w:unhideWhenUsed/>
    <w:pPr>
      <w:numPr>
        <w:ilvl w:val="3"/>
        <w:numId w:val="6"/>
      </w:numPr>
    </w:pPr>
  </w:style>
  <w:style w:type="paragraph" w:customStyle="1" w:styleId="ListBullet2Level3">
    <w:name w:val="List Bullet 2 (Level 3)"/>
    <w:semiHidden/>
    <w:unhideWhenUsed/>
    <w:pPr>
      <w:numPr>
        <w:ilvl w:val="2"/>
        <w:numId w:val="6"/>
      </w:numPr>
    </w:pPr>
  </w:style>
  <w:style w:type="paragraph" w:customStyle="1" w:styleId="ListBullet2Level2">
    <w:name w:val="List Bullet 2 (Level 2)"/>
    <w:pPr>
      <w:numPr>
        <w:ilvl w:val="1"/>
        <w:numId w:val="6"/>
      </w:numPr>
    </w:pPr>
  </w:style>
  <w:style w:type="paragraph" w:styleId="ListBullet2">
    <w:name w:val="List Bullet 2"/>
    <w:pPr>
      <w:numPr>
        <w:numId w:val="6"/>
      </w:numPr>
    </w:pPr>
  </w:style>
  <w:style w:type="paragraph" w:customStyle="1" w:styleId="ListBullet1Level4">
    <w:name w:val="List Bullet 1 (Level 4)"/>
    <w:semiHidden/>
    <w:unhideWhenUsed/>
    <w:pPr>
      <w:numPr>
        <w:ilvl w:val="3"/>
        <w:numId w:val="5"/>
      </w:numPr>
    </w:pPr>
  </w:style>
  <w:style w:type="paragraph" w:customStyle="1" w:styleId="ListBullet1Level3">
    <w:name w:val="List Bullet 1 (Level 3)"/>
    <w:semiHidden/>
    <w:unhideWhenUsed/>
    <w:pPr>
      <w:numPr>
        <w:ilvl w:val="2"/>
        <w:numId w:val="5"/>
      </w:numPr>
    </w:pPr>
  </w:style>
  <w:style w:type="paragraph" w:customStyle="1" w:styleId="ListBullet1Level2">
    <w:name w:val="List Bullet 1 (Level 2)"/>
    <w:pPr>
      <w:numPr>
        <w:ilvl w:val="1"/>
        <w:numId w:val="5"/>
      </w:numPr>
    </w:pPr>
  </w:style>
  <w:style w:type="paragraph" w:customStyle="1" w:styleId="ListBullet1">
    <w:name w:val="List Bullet 1"/>
    <w:pPr>
      <w:numPr>
        <w:numId w:val="5"/>
      </w:numPr>
    </w:pPr>
  </w:style>
  <w:style w:type="paragraph" w:customStyle="1" w:styleId="ListBulletLevel4">
    <w:name w:val="List Bullet (Level 4)"/>
    <w:semiHidden/>
    <w:unhideWhenUsed/>
    <w:pPr>
      <w:numPr>
        <w:ilvl w:val="3"/>
        <w:numId w:val="4"/>
      </w:numPr>
    </w:pPr>
  </w:style>
  <w:style w:type="paragraph" w:customStyle="1" w:styleId="ListBulletLevel3">
    <w:name w:val="List Bullet (Level 3)"/>
    <w:semiHidden/>
    <w:unhideWhenUsed/>
    <w:pPr>
      <w:numPr>
        <w:ilvl w:val="2"/>
        <w:numId w:val="4"/>
      </w:numPr>
    </w:pPr>
  </w:style>
  <w:style w:type="paragraph" w:customStyle="1" w:styleId="ListBulletLevel2">
    <w:name w:val="List Bullet (Level 2)"/>
    <w:pPr>
      <w:numPr>
        <w:ilvl w:val="1"/>
        <w:numId w:val="4"/>
      </w:numPr>
    </w:pPr>
  </w:style>
  <w:style w:type="paragraph" w:styleId="ListBullet">
    <w:name w:val="List Bullet"/>
    <w:basedOn w:val="Normal"/>
    <w:pPr>
      <w:numPr>
        <w:numId w:val="4"/>
      </w:numPr>
    </w:pPr>
  </w:style>
  <w:style w:type="paragraph" w:customStyle="1" w:styleId="AnnexTitle">
    <w:name w:val="AnnexTitle"/>
    <w:basedOn w:val="Normal"/>
    <w:next w:val="Normal"/>
    <w:qFormat/>
    <w:pPr>
      <w:pageBreakBefore/>
      <w:numPr>
        <w:numId w:val="1"/>
      </w:numPr>
    </w:pPr>
    <w:rPr>
      <w:b/>
      <w:sz w:val="32"/>
      <w:szCs w:val="32"/>
    </w:rPr>
  </w:style>
  <w:style w:type="paragraph" w:customStyle="1" w:styleId="NumPar4">
    <w:name w:val="NumPar 4"/>
    <w:basedOn w:val="Heading4"/>
    <w:qFormat/>
  </w:style>
  <w:style w:type="paragraph" w:customStyle="1" w:styleId="NumPar3">
    <w:name w:val="NumPar 3"/>
    <w:basedOn w:val="Heading3"/>
    <w:qFormat/>
  </w:style>
  <w:style w:type="paragraph" w:customStyle="1" w:styleId="NumPar2">
    <w:name w:val="NumPar 2"/>
    <w:basedOn w:val="Heading2"/>
    <w:qFormat/>
    <w:rPr>
      <w:b w:val="0"/>
    </w:rPr>
  </w:style>
  <w:style w:type="paragraph" w:customStyle="1" w:styleId="NumPar1">
    <w:name w:val="NumPar 1"/>
    <w:basedOn w:val="Heading1"/>
    <w:qFormat/>
    <w:rPr>
      <w:b w:val="0"/>
    </w:rPr>
  </w:style>
  <w:style w:type="paragraph" w:styleId="MacroText">
    <w:name w:val="macro"/>
    <w:basedOn w:val="Normal"/>
    <w:qFormat/>
    <w:pPr>
      <w:tabs>
        <w:tab w:val="left" w:pos="482"/>
        <w:tab w:val="left" w:pos="958"/>
        <w:tab w:val="left" w:pos="1440"/>
        <w:tab w:val="left" w:pos="1922"/>
        <w:tab w:val="left" w:pos="2398"/>
        <w:tab w:val="left" w:pos="2880"/>
        <w:tab w:val="left" w:pos="3362"/>
        <w:tab w:val="left" w:pos="3838"/>
        <w:tab w:val="left" w:pos="4320"/>
      </w:tabs>
    </w:pPr>
    <w:rPr>
      <w:rFonts w:ascii="Courier New" w:eastAsia="Courier New" w:hAnsi="Courier New"/>
      <w:sz w:val="22"/>
      <w:szCs w:val="22"/>
    </w:rPr>
  </w:style>
  <w:style w:type="paragraph" w:styleId="FootnoteText">
    <w:name w:val="footnote text"/>
    <w:aliases w:val="Footnote Text Char1 Char,Footnote Text Char Char Char,Footnote Text Char1 Char Char Char,Footnote Text Char Char Char Char Char,Footnote Text Char1 Char Char Char Char Char,Footnote Text Char1 Char1 Char,footnote text1,Fußnote,fn,Footnotes"/>
    <w:basedOn w:val="Normal"/>
    <w:link w:val="FootnoteTextChar"/>
    <w:qFormat/>
    <w:pPr>
      <w:ind w:left="357" w:hanging="357"/>
    </w:pPr>
    <w:rPr>
      <w:sz w:val="20"/>
      <w:szCs w:val="20"/>
    </w:rPr>
  </w:style>
  <w:style w:type="paragraph" w:customStyle="1" w:styleId="FooterLine">
    <w:name w:val="Footer Line"/>
    <w:pPr>
      <w:tabs>
        <w:tab w:val="right" w:pos="8646"/>
      </w:tabs>
    </w:pPr>
  </w:style>
  <w:style w:type="paragraph" w:styleId="Footer">
    <w:name w:val="footer"/>
    <w:basedOn w:val="Normal"/>
    <w:link w:val="FooterChar"/>
    <w:uiPriority w:val="99"/>
    <w:pPr>
      <w:ind w:right="-567"/>
    </w:pPr>
    <w:rPr>
      <w:sz w:val="16"/>
      <w:szCs w:val="16"/>
    </w:rPr>
  </w:style>
  <w:style w:type="paragraph" w:styleId="EndnoteText">
    <w:name w:val="endnote text"/>
    <w:basedOn w:val="Normal"/>
    <w:semiHidden/>
    <w:rPr>
      <w:sz w:val="20"/>
      <w:szCs w:val="20"/>
    </w:rPr>
  </w:style>
  <w:style w:type="paragraph" w:customStyle="1" w:styleId="TrsSecretUE">
    <w:name w:val="Très Secret UE"/>
    <w:basedOn w:val="Normal"/>
    <w:pPr>
      <w:jc w:val="center"/>
    </w:pPr>
    <w:rPr>
      <w:b/>
      <w:caps/>
      <w:color w:val="FF0000"/>
      <w:sz w:val="32"/>
      <w:szCs w:val="32"/>
      <w:bdr w:val="single" w:sz="18" w:space="0" w:color="FF0000"/>
    </w:rPr>
  </w:style>
  <w:style w:type="paragraph" w:customStyle="1" w:styleId="SecretUE">
    <w:name w:val="Secret UE"/>
    <w:basedOn w:val="Normal"/>
    <w:pPr>
      <w:jc w:val="center"/>
    </w:pPr>
    <w:rPr>
      <w:b/>
      <w:caps/>
      <w:color w:val="FF0000"/>
      <w:sz w:val="32"/>
      <w:szCs w:val="32"/>
      <w:bdr w:val="single" w:sz="18" w:space="0" w:color="FF0000"/>
    </w:rPr>
  </w:style>
  <w:style w:type="paragraph" w:customStyle="1" w:styleId="ConfidentialUE">
    <w:name w:val="Confidential UE"/>
    <w:basedOn w:val="Normal"/>
    <w:pPr>
      <w:jc w:val="center"/>
    </w:pPr>
    <w:rPr>
      <w:b/>
      <w:caps/>
      <w:sz w:val="32"/>
      <w:szCs w:val="32"/>
      <w:bdr w:val="single" w:sz="18" w:space="0" w:color="000000"/>
    </w:rPr>
  </w:style>
  <w:style w:type="paragraph" w:customStyle="1" w:styleId="RUE">
    <w:name w:val="RUE"/>
    <w:basedOn w:val="Normal"/>
    <w:pPr>
      <w:jc w:val="center"/>
    </w:pPr>
    <w:rPr>
      <w:b/>
      <w:caps/>
      <w:sz w:val="32"/>
      <w:szCs w:val="32"/>
      <w:bdr w:val="single" w:sz="18" w:space="0" w:color="000000"/>
    </w:rPr>
  </w:style>
  <w:style w:type="paragraph" w:customStyle="1" w:styleId="Releasable">
    <w:name w:val="Releasable"/>
    <w:basedOn w:val="Normal"/>
    <w:pPr>
      <w:jc w:val="center"/>
    </w:pPr>
    <w:rPr>
      <w:b/>
      <w:caps/>
      <w:sz w:val="32"/>
      <w:szCs w:val="32"/>
    </w:rPr>
  </w:style>
  <w:style w:type="paragraph" w:customStyle="1" w:styleId="Designator">
    <w:name w:val="Designator"/>
    <w:basedOn w:val="Normal"/>
    <w:pPr>
      <w:jc w:val="center"/>
    </w:pPr>
    <w:rPr>
      <w:b/>
      <w:caps/>
      <w:sz w:val="32"/>
      <w:szCs w:val="32"/>
    </w:rPr>
  </w:style>
  <w:style w:type="paragraph" w:customStyle="1" w:styleId="References">
    <w:name w:val="References"/>
    <w:basedOn w:val="Normal"/>
    <w:pPr>
      <w:ind w:left="5102" w:right="-567"/>
    </w:pPr>
    <w:rPr>
      <w:sz w:val="20"/>
      <w:szCs w:val="20"/>
    </w:rPr>
  </w:style>
  <w:style w:type="paragraph" w:styleId="Date">
    <w:name w:val="Date"/>
    <w:basedOn w:val="Normal"/>
    <w:next w:val="References"/>
    <w:pPr>
      <w:ind w:left="5102" w:right="-567"/>
    </w:pPr>
  </w:style>
  <w:style w:type="paragraph" w:customStyle="1" w:styleId="Contact">
    <w:name w:val="Contact"/>
    <w:basedOn w:val="Normal"/>
    <w:pPr>
      <w:ind w:left="567" w:hanging="567"/>
    </w:pPr>
  </w:style>
  <w:style w:type="paragraph" w:styleId="Caption">
    <w:name w:val="caption"/>
    <w:basedOn w:val="Normal"/>
    <w:next w:val="Normal"/>
    <w:rPr>
      <w:i/>
      <w:sz w:val="22"/>
      <w:szCs w:val="22"/>
    </w:rPr>
  </w:style>
  <w:style w:type="paragraph" w:customStyle="1" w:styleId="ZDGName">
    <w:name w:val="Z_DGName"/>
    <w:basedOn w:val="Normal"/>
    <w:semiHidden/>
    <w:pPr>
      <w:ind w:right="85"/>
    </w:pPr>
    <w:rPr>
      <w:sz w:val="16"/>
      <w:szCs w:val="16"/>
    </w:rPr>
  </w:style>
  <w:style w:type="paragraph" w:customStyle="1" w:styleId="ZCom">
    <w:name w:val="Z_Com"/>
    <w:basedOn w:val="Normal"/>
    <w:next w:val="Normal"/>
    <w:semiHidden/>
    <w:pPr>
      <w:ind w:right="85"/>
    </w:pPr>
  </w:style>
  <w:style w:type="paragraph" w:customStyle="1" w:styleId="ZFlag">
    <w:name w:val="Z_Flag"/>
    <w:basedOn w:val="Normal"/>
    <w:next w:val="Normal"/>
    <w:semiHidden/>
    <w:pPr>
      <w:ind w:right="85"/>
    </w:pPr>
  </w:style>
  <w:style w:type="paragraph" w:customStyle="1" w:styleId="Text1">
    <w:name w:val="Text 1"/>
    <w:basedOn w:val="Normal"/>
    <w:qFormat/>
    <w:pPr>
      <w:ind w:left="482"/>
    </w:pPr>
  </w:style>
  <w:style w:type="paragraph" w:customStyle="1" w:styleId="Text2">
    <w:name w:val="Text 2"/>
    <w:basedOn w:val="Normal"/>
    <w:uiPriority w:val="90"/>
    <w:qFormat/>
    <w:pPr>
      <w:ind w:left="1077"/>
    </w:pPr>
  </w:style>
  <w:style w:type="paragraph" w:customStyle="1" w:styleId="Text3">
    <w:name w:val="Text 3"/>
    <w:basedOn w:val="Normal"/>
    <w:qFormat/>
    <w:pPr>
      <w:ind w:left="1916"/>
    </w:pPr>
  </w:style>
  <w:style w:type="paragraph" w:customStyle="1" w:styleId="Text4">
    <w:name w:val="Text 4"/>
    <w:basedOn w:val="Normal"/>
    <w:qFormat/>
    <w:pPr>
      <w:ind w:left="2880"/>
    </w:pPr>
  </w:style>
  <w:style w:type="paragraph" w:styleId="Header">
    <w:name w:val="header"/>
    <w:basedOn w:val="Normal"/>
    <w:link w:val="HeaderChar"/>
    <w:pPr>
      <w:tabs>
        <w:tab w:val="center" w:pos="4150"/>
        <w:tab w:val="right" w:pos="8306"/>
      </w:tabs>
    </w:pPr>
  </w:style>
  <w:style w:type="character" w:customStyle="1" w:styleId="HeaderChar">
    <w:name w:val="Header Char"/>
    <w:basedOn w:val="DefaultParagraphFont"/>
    <w:link w:val="Header"/>
    <w:rPr>
      <w:w w:val="100"/>
      <w:sz w:val="24"/>
      <w:szCs w:val="24"/>
      <w:shd w:val="clear" w:color="auto" w:fill="auto"/>
    </w:rPr>
  </w:style>
  <w:style w:type="table" w:customStyle="1" w:styleId="TableLetterhead">
    <w:name w:val="Table Letterhead"/>
    <w:basedOn w:val="TableNormal"/>
    <w:tblPr>
      <w:tblCellMar>
        <w:left w:w="0" w:type="dxa"/>
        <w:bottom w:w="340" w:type="dxa"/>
        <w:right w:w="0" w:type="dxa"/>
      </w:tblCellMar>
    </w:tblPr>
  </w:style>
  <w:style w:type="character" w:customStyle="1" w:styleId="Heading2Char">
    <w:name w:val="Heading 2 Char"/>
    <w:basedOn w:val="DefaultParagraphFont"/>
    <w:link w:val="Heading2"/>
    <w:uiPriority w:val="8"/>
    <w:rPr>
      <w:b/>
      <w:sz w:val="20"/>
      <w:szCs w:val="20"/>
    </w:rPr>
  </w:style>
  <w:style w:type="character" w:styleId="CommentReference">
    <w:name w:val="annotation reference"/>
    <w:basedOn w:val="DefaultParagraphFont"/>
    <w:uiPriority w:val="99"/>
    <w:semiHidden/>
    <w:rPr>
      <w:w w:val="100"/>
      <w:sz w:val="16"/>
      <w:szCs w:val="16"/>
      <w:shd w:val="clear" w:color="auto" w:fill="auto"/>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rPr>
      <w:w w:val="100"/>
      <w:sz w:val="20"/>
      <w:szCs w:val="20"/>
      <w:shd w:val="clear" w:color="auto" w:fill="auto"/>
    </w:rPr>
  </w:style>
  <w:style w:type="paragraph" w:styleId="CommentSubject">
    <w:name w:val="annotation subject"/>
    <w:basedOn w:val="CommentText"/>
    <w:next w:val="CommentText"/>
    <w:link w:val="CommentSubjectChar"/>
    <w:semiHidden/>
    <w:rPr>
      <w:b/>
    </w:rPr>
  </w:style>
  <w:style w:type="character" w:customStyle="1" w:styleId="CommentSubjectChar">
    <w:name w:val="Comment Subject Char"/>
    <w:basedOn w:val="CommentTextChar"/>
    <w:link w:val="CommentSubject"/>
    <w:semiHidden/>
    <w:rPr>
      <w:b/>
      <w:w w:val="100"/>
      <w:sz w:val="20"/>
      <w:szCs w:val="20"/>
      <w:shd w:val="clear" w:color="auto" w:fill="auto"/>
    </w:rPr>
  </w:style>
  <w:style w:type="paragraph" w:styleId="BalloonText">
    <w:name w:val="Balloon Text"/>
    <w:basedOn w:val="Normal"/>
    <w:link w:val="BalloonTextChar"/>
    <w:semiHidden/>
    <w:rPr>
      <w:rFonts w:ascii="Segoe UI" w:eastAsia="Segoe UI" w:hAnsi="Segoe UI"/>
      <w:sz w:val="18"/>
      <w:szCs w:val="18"/>
    </w:rPr>
  </w:style>
  <w:style w:type="character" w:customStyle="1" w:styleId="BalloonTextChar">
    <w:name w:val="Balloon Text Char"/>
    <w:basedOn w:val="DefaultParagraphFont"/>
    <w:link w:val="BalloonText"/>
    <w:semiHidden/>
    <w:rPr>
      <w:rFonts w:ascii="Segoe UI" w:eastAsia="Segoe UI" w:hAnsi="Segoe UI"/>
      <w:w w:val="100"/>
      <w:sz w:val="18"/>
      <w:szCs w:val="18"/>
      <w:shd w:val="clear" w:color="auto" w:fill="auto"/>
    </w:rPr>
  </w:style>
  <w:style w:type="character" w:styleId="FootnoteReference">
    <w:name w:val="footnote reference"/>
    <w:aliases w:val="Nota Char,Char1 Char,(NECG) Footnote Reference Char,fr Char,Appel note de bas de p Char,o Char,Style 6 Char,Signature Ch Char,Footnote symbol,Footnote reference number,Footnote,Times 10 Point,Exposant 3 Point,Ref,de nota al pie,SUPERS"/>
    <w:basedOn w:val="DefaultParagraphFont"/>
    <w:link w:val="Nota"/>
    <w:qFormat/>
    <w:rPr>
      <w:w w:val="100"/>
      <w:sz w:val="20"/>
      <w:szCs w:val="20"/>
      <w:shd w:val="clear" w:color="auto" w:fill="auto"/>
      <w:vertAlign w:val="superscript"/>
    </w:rPr>
  </w:style>
  <w:style w:type="character" w:customStyle="1" w:styleId="ListParagraphChar">
    <w:name w:val="List Paragraph Char"/>
    <w:aliases w:val="FooterText Char,Paragraphe de liste1 Char,List Paragraph (bulleted list) Char,Bullet 1 List Char,Dot pt Char,F5 List Paragraph Char,List Paragraph1 Char,No Spacing1 Char,List Paragraph Char Char Char Char,Indicator Text Char,Nad Char"/>
    <w:basedOn w:val="DefaultParagraphFont"/>
    <w:link w:val="ListParagraph"/>
    <w:uiPriority w:val="34"/>
    <w:qFormat/>
  </w:style>
  <w:style w:type="paragraph" w:styleId="NormalWeb">
    <w:name w:val="Normal (Web)"/>
    <w:basedOn w:val="Normal"/>
    <w:semiHidden/>
    <w:unhideWhenUsed/>
    <w:rPr>
      <w:sz w:val="20"/>
      <w:szCs w:val="20"/>
    </w:rPr>
  </w:style>
  <w:style w:type="character" w:styleId="Hyperlink">
    <w:name w:val="Hyperlink"/>
    <w:basedOn w:val="DefaultParagraphFont"/>
    <w:unhideWhenUsed/>
    <w:rPr>
      <w:color w:val="0000FF"/>
      <w:w w:val="100"/>
      <w:sz w:val="20"/>
      <w:szCs w:val="20"/>
      <w:u w:val="single"/>
      <w:shd w:val="clear" w:color="auto" w:fill="auto"/>
    </w:rPr>
  </w:style>
  <w:style w:type="character" w:customStyle="1" w:styleId="FootnoteTextChar">
    <w:name w:val="Footnote Text Char"/>
    <w:aliases w:val="Footnote Text Char1 Char Char,Footnote Text Char Char Char Char,Footnote Text Char1 Char Char Char Char,Footnote Text Char Char Char Char Char Char,Footnote Text Char1 Char Char Char Char Char Char,Footnote Text Char1 Char1 Char Char"/>
    <w:basedOn w:val="DefaultParagraphFont"/>
    <w:link w:val="FootnoteText"/>
    <w:rPr>
      <w:w w:val="100"/>
      <w:sz w:val="20"/>
      <w:szCs w:val="20"/>
      <w:shd w:val="clear" w:color="auto" w:fill="auto"/>
    </w:rPr>
  </w:style>
  <w:style w:type="character" w:customStyle="1" w:styleId="Heading3Char">
    <w:name w:val="Heading 3 Char"/>
    <w:basedOn w:val="DefaultParagraphFont"/>
    <w:link w:val="Heading3"/>
    <w:uiPriority w:val="9"/>
    <w:rPr>
      <w:i/>
      <w:sz w:val="20"/>
      <w:szCs w:val="20"/>
    </w:rPr>
  </w:style>
  <w:style w:type="table" w:customStyle="1" w:styleId="GridTable5DarkAccent1">
    <w:name w:val="Grid Table 5 Dark Accent 1"/>
    <w:basedOn w:val="TableNormal"/>
    <w:uiPriority w:val="50"/>
    <w:rPr>
      <w:rFonts w:asciiTheme="minorHAnsi" w:eastAsia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style>
  <w:style w:type="paragraph" w:styleId="Revision">
    <w:name w:val="Revision"/>
    <w:hidden/>
    <w:uiPriority w:val="99"/>
    <w:semiHidden/>
  </w:style>
  <w:style w:type="character" w:customStyle="1" w:styleId="FooterChar">
    <w:name w:val="Footer Char"/>
    <w:basedOn w:val="DefaultParagraphFont"/>
    <w:link w:val="Footer"/>
    <w:uiPriority w:val="99"/>
    <w:rPr>
      <w:sz w:val="16"/>
      <w:szCs w:val="16"/>
    </w:rPr>
  </w:style>
  <w:style w:type="paragraph" w:customStyle="1" w:styleId="Briefinglist1">
    <w:name w:val="Briefing list 1"/>
    <w:basedOn w:val="Normal"/>
    <w:pPr>
      <w:keepLines/>
      <w:numPr>
        <w:numId w:val="19"/>
      </w:numPr>
      <w:spacing w:before="0" w:after="120"/>
    </w:pPr>
    <w:rPr>
      <w:rFonts w:ascii="Arial" w:hAnsi="Arial" w:cs="Arial"/>
      <w:sz w:val="22"/>
      <w:lang w:eastAsia="en-US"/>
    </w:rPr>
  </w:style>
  <w:style w:type="paragraph" w:styleId="BodyText">
    <w:name w:val="Body Text"/>
    <w:basedOn w:val="Normal"/>
    <w:link w:val="BodyTextChar"/>
    <w:pPr>
      <w:suppressAutoHyphens/>
      <w:spacing w:before="0" w:after="120" w:line="276" w:lineRule="auto"/>
      <w:jc w:val="left"/>
    </w:pPr>
    <w:rPr>
      <w:rFonts w:ascii="Calibri" w:eastAsia="SimSun" w:hAnsi="Calibri" w:cs="font225"/>
      <w:sz w:val="22"/>
      <w:szCs w:val="22"/>
      <w:lang w:eastAsia="ar-SA"/>
    </w:rPr>
  </w:style>
  <w:style w:type="character" w:customStyle="1" w:styleId="BodyTextChar">
    <w:name w:val="Body Text Char"/>
    <w:basedOn w:val="DefaultParagraphFont"/>
    <w:link w:val="BodyText"/>
    <w:rPr>
      <w:rFonts w:ascii="Calibri" w:eastAsia="SimSun" w:hAnsi="Calibri" w:cs="font225"/>
      <w:sz w:val="22"/>
      <w:szCs w:val="22"/>
      <w:lang w:eastAsia="ar-SA"/>
    </w:r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Heading1Char">
    <w:name w:val="Heading 1 Char"/>
    <w:basedOn w:val="DefaultParagraphFont"/>
    <w:link w:val="Heading1"/>
    <w:uiPriority w:val="7"/>
    <w:rPr>
      <w:b/>
      <w:smallCaps/>
      <w:sz w:val="20"/>
      <w:szCs w:val="20"/>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before="0" w:after="0"/>
    </w:pPr>
    <w:rPr>
      <w:rFonts w:eastAsiaTheme="minorHAnsi"/>
      <w:szCs w:val="22"/>
      <w:lang w:eastAsia="en-US"/>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DefaultParagraphFont"/>
    <w:link w:val="FooterSensitivity"/>
    <w:rPr>
      <w:b/>
      <w:sz w:val="32"/>
    </w:rPr>
  </w:style>
  <w:style w:type="paragraph" w:customStyle="1" w:styleId="HeaderCoverPage">
    <w:name w:val="Header Cover Page"/>
    <w:basedOn w:val="Normal"/>
    <w:link w:val="HeaderCoverPageChar"/>
    <w:pPr>
      <w:tabs>
        <w:tab w:val="center" w:pos="4535"/>
        <w:tab w:val="right" w:pos="9071"/>
      </w:tabs>
      <w:spacing w:before="0" w:after="120"/>
    </w:pPr>
  </w:style>
  <w:style w:type="character" w:customStyle="1" w:styleId="HeaderCoverPageChar">
    <w:name w:val="Header Cover Page Char"/>
    <w:basedOn w:val="DefaultParagraphFont"/>
    <w:link w:val="HeaderCoverPage"/>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before="0" w:after="120"/>
      <w:ind w:left="113" w:right="113"/>
      <w:jc w:val="center"/>
    </w:pPr>
    <w:rPr>
      <w:b/>
      <w:sz w:val="32"/>
    </w:rPr>
  </w:style>
  <w:style w:type="character" w:customStyle="1" w:styleId="HeaderSensitivityChar">
    <w:name w:val="Header Sensitivity Char"/>
    <w:basedOn w:val="DefaultParagraphFont"/>
    <w:link w:val="HeaderSensitivity"/>
    <w:rPr>
      <w:b/>
      <w:sz w:val="32"/>
    </w:rPr>
  </w:style>
  <w:style w:type="paragraph" w:customStyle="1" w:styleId="HeaderSensitivityRight">
    <w:name w:val="Header Sensitivity Right"/>
    <w:basedOn w:val="Normal"/>
    <w:link w:val="HeaderSensitivityRightChar"/>
    <w:pPr>
      <w:spacing w:before="0" w:after="120"/>
      <w:jc w:val="right"/>
    </w:pPr>
    <w:rPr>
      <w:sz w:val="28"/>
    </w:rPr>
  </w:style>
  <w:style w:type="character" w:customStyle="1" w:styleId="HeaderSensitivityRightChar">
    <w:name w:val="Header Sensitivity Right Char"/>
    <w:basedOn w:val="DefaultParagraphFont"/>
    <w:link w:val="HeaderSensitivityRight"/>
    <w:rPr>
      <w:sz w:val="28"/>
    </w:rPr>
  </w:style>
  <w:style w:type="paragraph" w:customStyle="1" w:styleId="Nota">
    <w:name w:val="Nota"/>
    <w:aliases w:val="Char1,(NECG) Footnote Reference,fr,Appel note de bas de p,o,Style 6,Signature Ch, Char1"/>
    <w:basedOn w:val="Normal"/>
    <w:link w:val="FootnoteReference"/>
    <w:pPr>
      <w:spacing w:before="0" w:after="160" w:line="240" w:lineRule="exact"/>
    </w:pPr>
    <w:rPr>
      <w:sz w:val="20"/>
      <w:szCs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0788">
      <w:bodyDiv w:val="1"/>
      <w:marLeft w:val="0"/>
      <w:marRight w:val="0"/>
      <w:marTop w:val="0"/>
      <w:marBottom w:val="0"/>
      <w:divBdr>
        <w:top w:val="none" w:sz="0" w:space="0" w:color="auto"/>
        <w:left w:val="none" w:sz="0" w:space="0" w:color="auto"/>
        <w:bottom w:val="none" w:sz="0" w:space="0" w:color="auto"/>
        <w:right w:val="none" w:sz="0" w:space="0" w:color="auto"/>
      </w:divBdr>
    </w:div>
    <w:div w:id="18747446">
      <w:bodyDiv w:val="1"/>
      <w:marLeft w:val="0"/>
      <w:marRight w:val="0"/>
      <w:marTop w:val="0"/>
      <w:marBottom w:val="0"/>
      <w:divBdr>
        <w:top w:val="none" w:sz="0" w:space="0" w:color="auto"/>
        <w:left w:val="none" w:sz="0" w:space="0" w:color="auto"/>
        <w:bottom w:val="none" w:sz="0" w:space="0" w:color="auto"/>
        <w:right w:val="none" w:sz="0" w:space="0" w:color="auto"/>
      </w:divBdr>
    </w:div>
    <w:div w:id="94130053">
      <w:bodyDiv w:val="1"/>
      <w:marLeft w:val="0"/>
      <w:marRight w:val="0"/>
      <w:marTop w:val="0"/>
      <w:marBottom w:val="0"/>
      <w:divBdr>
        <w:top w:val="none" w:sz="0" w:space="0" w:color="auto"/>
        <w:left w:val="none" w:sz="0" w:space="0" w:color="auto"/>
        <w:bottom w:val="none" w:sz="0" w:space="0" w:color="auto"/>
        <w:right w:val="none" w:sz="0" w:space="0" w:color="auto"/>
      </w:divBdr>
    </w:div>
    <w:div w:id="417290779">
      <w:bodyDiv w:val="1"/>
      <w:marLeft w:val="0"/>
      <w:marRight w:val="0"/>
      <w:marTop w:val="0"/>
      <w:marBottom w:val="0"/>
      <w:divBdr>
        <w:top w:val="none" w:sz="0" w:space="0" w:color="auto"/>
        <w:left w:val="none" w:sz="0" w:space="0" w:color="auto"/>
        <w:bottom w:val="none" w:sz="0" w:space="0" w:color="auto"/>
        <w:right w:val="none" w:sz="0" w:space="0" w:color="auto"/>
      </w:divBdr>
    </w:div>
    <w:div w:id="792212370">
      <w:bodyDiv w:val="1"/>
      <w:marLeft w:val="0"/>
      <w:marRight w:val="0"/>
      <w:marTop w:val="0"/>
      <w:marBottom w:val="0"/>
      <w:divBdr>
        <w:top w:val="none" w:sz="0" w:space="0" w:color="auto"/>
        <w:left w:val="none" w:sz="0" w:space="0" w:color="auto"/>
        <w:bottom w:val="none" w:sz="0" w:space="0" w:color="auto"/>
        <w:right w:val="none" w:sz="0" w:space="0" w:color="auto"/>
      </w:divBdr>
    </w:div>
    <w:div w:id="1159809066">
      <w:bodyDiv w:val="1"/>
      <w:marLeft w:val="0"/>
      <w:marRight w:val="0"/>
      <w:marTop w:val="0"/>
      <w:marBottom w:val="0"/>
      <w:divBdr>
        <w:top w:val="none" w:sz="0" w:space="0" w:color="auto"/>
        <w:left w:val="none" w:sz="0" w:space="0" w:color="auto"/>
        <w:bottom w:val="none" w:sz="0" w:space="0" w:color="auto"/>
        <w:right w:val="none" w:sz="0" w:space="0" w:color="auto"/>
      </w:divBdr>
    </w:div>
    <w:div w:id="1412655920">
      <w:bodyDiv w:val="1"/>
      <w:marLeft w:val="0"/>
      <w:marRight w:val="0"/>
      <w:marTop w:val="0"/>
      <w:marBottom w:val="0"/>
      <w:divBdr>
        <w:top w:val="none" w:sz="0" w:space="0" w:color="auto"/>
        <w:left w:val="none" w:sz="0" w:space="0" w:color="auto"/>
        <w:bottom w:val="none" w:sz="0" w:space="0" w:color="auto"/>
        <w:right w:val="none" w:sz="0" w:space="0" w:color="auto"/>
      </w:divBdr>
    </w:div>
    <w:div w:id="1543402550">
      <w:bodyDiv w:val="1"/>
      <w:marLeft w:val="0"/>
      <w:marRight w:val="0"/>
      <w:marTop w:val="0"/>
      <w:marBottom w:val="0"/>
      <w:divBdr>
        <w:top w:val="none" w:sz="0" w:space="0" w:color="auto"/>
        <w:left w:val="none" w:sz="0" w:space="0" w:color="auto"/>
        <w:bottom w:val="none" w:sz="0" w:space="0" w:color="auto"/>
        <w:right w:val="none" w:sz="0" w:space="0" w:color="auto"/>
      </w:divBdr>
    </w:div>
    <w:div w:id="1546789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Author Role="Creator" AuthorRoleName="Writer" AuthorRoleId="a4fbaff4-b07c-48b4-a21e-e7b9eedf3796">
  <Id>8c721178-a2b5-4d9c-9f09-2fdfe69c6249</Id>
  <Names>
    <Latin>
      <FirstName>Francesco Felice</FirstName>
      <LastName>CARLUCCI</LastName>
    </Latin>
    <Greek>
      <FirstName/>
      <LastName/>
    </Greek>
    <Cyrillic>
      <FirstName/>
      <LastName/>
    </Cyrillic>
    <DocumentScript>
      <FirstName>Francesco Felice</FirstName>
      <LastName>CARLUCCI</LastName>
      <FullName>Francesco Felice CARLUCCI</FullName>
    </DocumentScript>
  </Names>
  <Initials>FFC</Initials>
  <Gender>m</Gender>
  <Email>Francesco-Felice.CARLUCCI@ec.europa.eu</Email>
  <Service>SG.DSG2</Service>
  <Function ADCode="" ShowInSignature="true" ShowInHeader="false" HeaderText=""/>
  <WebAddress/>
  <InheritedWebAddress>WebAddress</InheritedWebAddress>
  <OrgaEntity1>
    <Id>dfeba4c5-4fee-4c38-9a3a-bbd8394ad370</Id>
    <LogicalLevel>1</LogicalLevel>
    <Name>SG</Name>
    <HeadLine1>SECRETARIAT-GENERAL</HeadLine1>
    <HeadLine2/>
    <PrimaryAddressId>f03b5801-04c9-4931-aa17-c6d6c70bc579</PrimaryAddressId>
    <SecondaryAddressId/>
    <WebAddress>WebAddress</WebAddress>
    <InheritedWebAddress>WebAddress</InheritedWebAddress>
    <ShowInHeader>true</ShowInHeader>
  </OrgaEntity1>
  <OrgaEntity2/>
  <OrgaEntity3>
    <Id>84c7856e-1c38-4458-b4a2-706ce44a55a3</Id>
    <LogicalLevel>3</LogicalLevel>
    <Name>SG.DSG2</Name>
    <HeadLine1>Deputy Secretary-General - Policy Coordination</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+32 229-97987</Phone>
    <Office>BERL 13/237</Office>
  </MainWorkplace>
  <Workplaces>
    <Workplace IsMain="false">
      <AddressId>1264fb81-f6bb-475e-9f9d-a937d3be6ee2</AddressId>
      <Fax/>
      <Phone/>
      <Office/>
    </Workplace>
    <Workplace IsMain="true">
      <AddressId>f03b5801-04c9-4931-aa17-c6d6c70bc579</AddressId>
      <Fax/>
      <Phone>+32 229-97987</Phone>
      <Office>BERL 13/237</Office>
    </Workplace>
  </Workplaces>
</Author>
</file>

<file path=customXml/item2.xml><?xml version="1.0" encoding="utf-8"?>
<Texts>
  <SecurityPharma>Pharma Investigations</SecurityPharma>
  <MarkingUntilText>UNTIL</MarkingUntilText>
  <SecurityMediationServiceMatter>Mediation Service</SecurityMediationServiceMatter>
  <SecurityEconomyAndFinance>Economy and Finance</SecurityEconomyAndFinance>
  <FooterFax>Fax</FooterFax>
  <COMPFootnoteText>{field:HYPERLINK "https://myintracomm.ec.europa.eu/corp/security/EN/newDS3/SensitiveInformation/Pages/SPECIAL-HANDLING-INFORMATION-DG-COMP.aspx?ln=en" |https://www.europa.eu/handling_instructions}</COMPFootnoteText>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NoteCopy>c.c.:</NoteCopy>
  <FooterOffice>Office:</FooterOffice>
  <SecurityOlafInvestigations>OLAF Investigations</SecurityOlafInvestigations>
  <NoteReference>Ref.:</NoteReference>
  <SpecialHandlingClima>CLIMA</SpecialHandlingClima>
  <ETSHandlingFootnote>{field:HYPERLINK "https://myintracomm.ec.europa.eu/corp/security/EN/newDS3/SensitiveInformation/Pages/default.aspx" |https://www.europa.eu/handling_instructions}.</ETSHandlingFootnote>
  <CLIMAfootnotetext>{field:HYPERLINK "https://myintracomm.ec.europa.eu/corp/security/EN/newDS3/SensitiveInformation/Pages/SPECIAL-HANDLING-INFORMATION-DG-CLIMA.aspx?ln=en" |https://www.europa.eu/handling_instructions}.</CLIMAfootnotetext>
  <SensitiveHandling>Not for distribution. Do not read or carry openly in public places. Must be stored securely and encrypted in storage and transmission. Destroy copies by shredding or secure deletion. Full handling instructions: </SensitiveHandling>
  <SensitiveFootnoteHyperlink>{field:HYPERLINK "https://europa.eu/!db43PX" |https://europa.eu/!db43PX}</SensitiveFootnoteHyperlink>
  <NoteFile>Note for the File</NoteFile>
  <SecurityOlafSpecialHandling>OLAF Investigations</SecurityOlafSpecialHandling>
  <NoteParticipants>Participants:</NoteParticipants>
  <ClimaSensitive>CLIMA</ClimaSensitive>
  <CourtProceduralDocuments>Court Procedural Documents</CourtProceduralDocuments>
  <NoteParticipant>Participant:</NoteParticipant>
  <EconomyFinanceHandling>{field:HYPERLINK "https://myintracomm.ec.europa.eu/corp/security/EN/newDS3/SensitiveInformation/Pages/SPECIAL-HANDLING-INFORMATION-DG-ECFIN.aspx?ln=en" |https://www.europa.eu/handling_instructions}</EconomyFinanceHandling>
  <OrgaRoot>EUROPEAN COMMISSION</OrgaRoot>
  <NoteCopies>c.c.:</NoteCopies>
  <NoteSubject>Subject:</NoteSubject>
  <Contact>Contact:</Contact>
  <SensitiveLabel>Sensitive</SensitiveLabel>
  <OLAFHandlingInstructions>{field:HYPERLINK "https://myintracomm.ec.europa.eu/corp/security/EN/newDS3/SensitiveInformation/Pages/SPECIAL-HANDLING-INFORMATION-OLAF-Investigations.aspx?ln=en" |https://www.europa.eu/handling_instructions}.</OLAFHandlingInstructions>
  <SpecialHandlingLabel>Special Handling</SpecialHandlingLabel>
  <SecurityInvestigationsDisciplinary>Investigations and Disciplinary Matters</SecurityInvestigationsDisciplinary>
  <SecurityCompOperations>COMP Operations</SecurityCompOperations>
  <NoteEnclosure>Enclosure:</NoteEnclosure>
  <SecurityReleasable>RELEASABLE TO:</SecurityReleasable>
  <AddresseeTo>To:</AddresseeTo>
  <SecurityStaffMatter>Staff Matter</SecurityStaffMatter>
  <SecurityOpinionLegalService>Opinion of the Legal Service</SecurityOpinionLegalService>
  <SpecialHandlingFootnote>Special handling instructions are given at </SpecialHandlingFootnote>
  <PharmaHandlingInstructions>{field:HYPERLINK "https://myintracomm.ec.europa.eu/corp/security/EN/newDS3/SensitiveInformation/Pages/SPECIAL-HANDLING-INFORMATION-Pharma-investigations.aspx?ln=en" |https://www.europa.eu/handling_instructions}</PharmaHandlingInstructions>
  <SecurityEtsSensitive>ETS</SecurityEtsSensitive>
  <SecurityEtsCritical>ETS Critical</SecurityEtsCritical>
  <SecurityCompSpecial>COMP</SecurityCompSpecial>
  <EmbargoUnlimited>Embargo (Unlimited)</EmbargoUnlimited>
  <Table>Table </Table>
  <SensitiveFootnoteHyperlinkIASOperations>Handling instructions for SENSITIVE information are given at {field: HYPERLINK "https://europa.eu/!db43PX" |https://europa.eu/!db43PX}.</SensitiveFootnoteHyperlinkIASOperations>
  <SecurityPharmaSpecial>Pharma Investigations</SecurityPharmaSpecial>
  <TOCHeading>Table of Contents</TOCHeading>
  <AddressFooterBrussels>Commission européenne/Europese Commissie, 1049 Bruxelles/Brussel, BELGIQUE/BELGIË - Tel. +32 22991111</AddressFooterBrussels>
  <ETSLimited>ETS Joint Procurement</ETSLimited>
  <SecurityIasOperations>IAS Operations</SecurityIasOperations>
  <FooterPhone>Tel. direct line</FooterPhone>
  <SecuritySecurityMatter>Security Matter</SecuritySecurityMatter>
  <NoteEnclosures>Enclosures:</NoteEnclosures>
  <SecurityMedicalSecret>Medical Secret</SecurityMedicalSecret>
  <Contacts>Contacts:</Contacts>
  <SecurityEmbargo>EMBARGO UNTIL</SecurityEmbargo>
  <DateFormatShort>dd/MM/yyyy</DateFormatShort>
  <DateFormatLong>d MMMM yyyy</DateFormatLong>
</Texts>
</file>

<file path=customXml/item3.xml><?xml version="1.0" encoding="utf-8"?>
<EurolookProperties>
  <ProductCustomizationId>EC</ProductCustomizationId>
  <Created>
    <Version>10.0.40769.0</Version>
    <Date>2020-03-20T08:55:35</Date>
    <Language>EN</Language>
  </Created>
  <Edited>
    <Version>10.0.40769.0</Version>
    <Date>2020-05-27T15:37:13</Date>
  </Edited>
  <DocumentModel>
    <Id>f8c36bec-0f9f-4d0e-ab25-ee5c0421ad8b</Id>
    <Name>Note for the file</Name>
  </DocumentModel>
  <DocumentDate>2020-03-20T08:55:35</DocumentDate>
  <DocumentVersion>0.1</DocumentVersion>
  <CompatibilityMode>Eurolook10</CompatibilityMode>
  <Address/>
  <DocumentMetadata>
    <EC_SecurityDistributionSensitive MetadataSerializationType="SimpleValue"/>
    <EC_SecurityDateMarkingDate MetadataSerializationType="SimpleValue"/>
    <EC_SecurityMarking MetadataSerializationType="SimpleValue"/>
    <EC_SecurityDistributionSpecialHandling MetadataSerializationType="SimpleValue"/>
    <EC_SecurityDistributionDG MetadataSerializationType="SimpleValue"/>
    <EC_SecurityDistributionWorkingGroup MetadataSerializationType="SimpleValue"/>
    <EC_SecurityReleasability MetadataSerializationType="SimpleValue"/>
    <EC_SecurityDateMarking MetadataSerializationType="SimpleValue"/>
    <EC_SecurityDateMarkingEvent MetadataSerializationType="SimpleValue"/>
  </DocumentMetadata>
</EurolookProperti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9E766E66-947E-483C-AE76-24EF355E3868}">
  <ds:schemaRefs/>
</ds:datastoreItem>
</file>

<file path=customXml/itemProps2.xml><?xml version="1.0" encoding="utf-8"?>
<ds:datastoreItem xmlns:ds="http://schemas.openxmlformats.org/officeDocument/2006/customXml" ds:itemID="{304CAB83-8505-4D5A-ACD2-178FDE42DF3B}">
  <ds:schemaRefs/>
</ds:datastoreItem>
</file>

<file path=customXml/itemProps3.xml><?xml version="1.0" encoding="utf-8"?>
<ds:datastoreItem xmlns:ds="http://schemas.openxmlformats.org/officeDocument/2006/customXml" ds:itemID="{1850EB2F-5E37-4126-8F3C-0FC6347F41E4}">
  <ds:schemaRefs/>
</ds:datastoreItem>
</file>

<file path=customXml/itemProps4.xml><?xml version="1.0" encoding="utf-8"?>
<ds:datastoreItem xmlns:ds="http://schemas.openxmlformats.org/officeDocument/2006/customXml" ds:itemID="{42D5F38F-7229-4C8D-8BEF-9901BA2DE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19</Pages>
  <Words>7337</Words>
  <Characters>50485</Characters>
  <Application>Microsoft Office Word</Application>
  <DocSecurity>0</DocSecurity>
  <Lines>731</Lines>
  <Paragraphs>147</Paragraphs>
  <MMClips>0</MMClip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57675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WES PDFC Administrator</cp:lastModifiedBy>
  <cp:revision>18</cp:revision>
  <dcterms:created xsi:type="dcterms:W3CDTF">2020-05-27T12:43:00Z</dcterms:created>
  <dcterms:modified xsi:type="dcterms:W3CDTF">2020-05-27T15:33:00Z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CP-009</vt:lpwstr>
  </property>
  <property fmtid="{D5CDD505-2E9C-101B-9397-08002B2CF9AE}" pid="7" name="Last edited using">
    <vt:lpwstr>LW 7.0, Build 20190717</vt:lpwstr>
  </property>
  <property fmtid="{D5CDD505-2E9C-101B-9397-08002B2CF9AE}" pid="8" name="Created using">
    <vt:lpwstr>LW 7.0, Build 20190717</vt:lpwstr>
  </property>
</Properties>
</file>