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7E" w:rsidRDefault="00A5267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70C41FD-C6ED-43E9-8DFD-BDBB1FD9E198" style="width:450.2pt;height:420.9pt">
            <v:imagedata r:id="rId14" o:title=""/>
          </v:shape>
        </w:pict>
      </w:r>
    </w:p>
    <w:bookmarkEnd w:id="0"/>
    <w:p w:rsidR="00A1317E" w:rsidRDefault="00A1317E">
      <w:pPr>
        <w:rPr>
          <w:noProof/>
          <w:lang w:eastAsia="de-DE"/>
        </w:rPr>
        <w:sectPr w:rsidR="00A1317E">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A1317E" w:rsidRDefault="00A5267E">
      <w:pPr>
        <w:spacing w:after="360"/>
        <w:jc w:val="center"/>
        <w:outlineLvl w:val="0"/>
        <w:rPr>
          <w:b/>
          <w:noProof/>
          <w:sz w:val="28"/>
          <w:szCs w:val="28"/>
          <w:u w:val="single"/>
        </w:rPr>
      </w:pPr>
      <w:r>
        <w:rPr>
          <w:b/>
          <w:bCs/>
          <w:noProof/>
          <w:sz w:val="28"/>
          <w:szCs w:val="28"/>
          <w:u w:val="single"/>
        </w:rPr>
        <w:lastRenderedPageBreak/>
        <w:t>Anexa I: Inițiative noi</w:t>
      </w:r>
      <w:r>
        <w:rPr>
          <w:noProof/>
          <w:sz w:val="20"/>
          <w:vertAlign w:val="superscript"/>
        </w:rPr>
        <w:footnoteReference w:id="2"/>
      </w:r>
    </w:p>
    <w:tbl>
      <w:tblPr>
        <w:tblStyle w:val="TableGrid"/>
        <w:tblW w:w="15083" w:type="dxa"/>
        <w:tblInd w:w="311" w:type="dxa"/>
        <w:tblLayout w:type="fixed"/>
        <w:tblCellMar>
          <w:top w:w="57" w:type="dxa"/>
          <w:left w:w="85" w:type="dxa"/>
          <w:bottom w:w="57" w:type="dxa"/>
          <w:right w:w="85" w:type="dxa"/>
        </w:tblCellMar>
        <w:tblLook w:val="04A0" w:firstRow="1" w:lastRow="0" w:firstColumn="1" w:lastColumn="0" w:noHBand="0" w:noVBand="1"/>
      </w:tblPr>
      <w:tblGrid>
        <w:gridCol w:w="483"/>
        <w:gridCol w:w="3827"/>
        <w:gridCol w:w="9639"/>
        <w:gridCol w:w="1134"/>
      </w:tblGrid>
      <w:tr w:rsidR="00A1317E">
        <w:trPr>
          <w:cantSplit/>
          <w:tblHeader/>
        </w:trPr>
        <w:tc>
          <w:tcPr>
            <w:tcW w:w="483" w:type="dxa"/>
            <w:tcBorders>
              <w:top w:val="single" w:sz="4" w:space="0" w:color="auto"/>
              <w:left w:val="single" w:sz="4" w:space="0" w:color="auto"/>
              <w:bottom w:val="single" w:sz="4" w:space="0" w:color="auto"/>
              <w:right w:val="single" w:sz="4" w:space="0" w:color="auto"/>
            </w:tcBorders>
            <w:shd w:val="clear" w:color="auto" w:fill="99CCFF"/>
            <w:vAlign w:val="center"/>
          </w:tcPr>
          <w:p w:rsidR="00A1317E" w:rsidRDefault="00A5267E">
            <w:pPr>
              <w:spacing w:after="0"/>
              <w:rPr>
                <w:b/>
                <w:bCs/>
                <w:noProof/>
                <w:sz w:val="20"/>
              </w:rPr>
            </w:pPr>
            <w:r>
              <w:rPr>
                <w:b/>
                <w:bCs/>
                <w:noProof/>
                <w:sz w:val="20"/>
              </w:rPr>
              <w:t>Nr.</w:t>
            </w:r>
          </w:p>
        </w:tc>
        <w:tc>
          <w:tcPr>
            <w:tcW w:w="3827" w:type="dxa"/>
            <w:tcBorders>
              <w:top w:val="single" w:sz="4" w:space="0" w:color="auto"/>
              <w:left w:val="single" w:sz="4" w:space="0" w:color="auto"/>
              <w:bottom w:val="single" w:sz="4" w:space="0" w:color="auto"/>
              <w:right w:val="single" w:sz="4" w:space="0" w:color="auto"/>
            </w:tcBorders>
            <w:shd w:val="clear" w:color="auto" w:fill="99CCFF"/>
            <w:vAlign w:val="center"/>
          </w:tcPr>
          <w:p w:rsidR="00A1317E" w:rsidRDefault="00A5267E">
            <w:pPr>
              <w:spacing w:before="60" w:after="60"/>
              <w:jc w:val="center"/>
              <w:rPr>
                <w:b/>
                <w:bCs/>
                <w:noProof/>
                <w:sz w:val="20"/>
              </w:rPr>
            </w:pPr>
            <w:r>
              <w:rPr>
                <w:b/>
                <w:bCs/>
                <w:noProof/>
                <w:sz w:val="20"/>
              </w:rPr>
              <w:t>Obiectivul de politică</w:t>
            </w:r>
          </w:p>
        </w:tc>
        <w:tc>
          <w:tcPr>
            <w:tcW w:w="9639" w:type="dxa"/>
            <w:tcBorders>
              <w:top w:val="single" w:sz="4" w:space="0" w:color="auto"/>
              <w:left w:val="single" w:sz="4" w:space="0" w:color="auto"/>
              <w:bottom w:val="single" w:sz="4" w:space="0" w:color="auto"/>
              <w:right w:val="single" w:sz="4" w:space="0" w:color="auto"/>
            </w:tcBorders>
            <w:shd w:val="clear" w:color="auto" w:fill="99CCFF"/>
            <w:vAlign w:val="center"/>
          </w:tcPr>
          <w:p w:rsidR="00A1317E" w:rsidRDefault="00A5267E">
            <w:pPr>
              <w:spacing w:after="0"/>
              <w:jc w:val="center"/>
              <w:rPr>
                <w:b/>
                <w:bCs/>
                <w:noProof/>
                <w:sz w:val="20"/>
              </w:rPr>
            </w:pPr>
            <w:r>
              <w:rPr>
                <w:b/>
                <w:bCs/>
                <w:noProof/>
                <w:sz w:val="20"/>
              </w:rPr>
              <w:t>Inițiative</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A1317E" w:rsidRDefault="00A5267E">
            <w:pPr>
              <w:spacing w:after="0"/>
              <w:jc w:val="center"/>
              <w:rPr>
                <w:b/>
                <w:bCs/>
                <w:noProof/>
                <w:sz w:val="20"/>
              </w:rPr>
            </w:pPr>
            <w:r>
              <w:rPr>
                <w:b/>
                <w:bCs/>
                <w:noProof/>
                <w:sz w:val="20"/>
              </w:rPr>
              <w:t xml:space="preserve">Stadiu / </w:t>
            </w:r>
            <w:r>
              <w:rPr>
                <w:b/>
                <w:bCs/>
                <w:i/>
                <w:noProof/>
                <w:sz w:val="20"/>
              </w:rPr>
              <w:t>Modificare</w:t>
            </w:r>
            <w:r>
              <w:rPr>
                <w:rStyle w:val="FootnoteReference"/>
                <w:b/>
                <w:bCs/>
                <w:i/>
                <w:noProof/>
                <w:sz w:val="20"/>
              </w:rPr>
              <w:footnoteReference w:id="3"/>
            </w:r>
          </w:p>
        </w:tc>
      </w:tr>
      <w:tr w:rsidR="00A1317E">
        <w:trPr>
          <w:cantSplit/>
        </w:trPr>
        <w:tc>
          <w:tcPr>
            <w:tcW w:w="15083" w:type="dxa"/>
            <w:gridSpan w:val="4"/>
            <w:tcBorders>
              <w:top w:val="single" w:sz="4" w:space="0" w:color="auto"/>
              <w:left w:val="single" w:sz="4" w:space="0" w:color="auto"/>
              <w:bottom w:val="single" w:sz="4" w:space="0" w:color="auto"/>
            </w:tcBorders>
            <w:shd w:val="clear" w:color="auto" w:fill="9ACA3C"/>
          </w:tcPr>
          <w:p w:rsidR="00A1317E" w:rsidRDefault="00A5267E">
            <w:pPr>
              <w:keepNext/>
              <w:spacing w:before="60" w:after="60"/>
              <w:jc w:val="left"/>
              <w:rPr>
                <w:b/>
                <w:bCs/>
                <w:noProof/>
                <w:color w:val="FFFFFF"/>
                <w:sz w:val="20"/>
              </w:rPr>
            </w:pPr>
            <w:r>
              <w:rPr>
                <w:b/>
                <w:bCs/>
                <w:noProof/>
                <w:color w:val="FFFFFF"/>
                <w:sz w:val="20"/>
              </w:rPr>
              <w:t>Pactul verde european</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jc w:val="left"/>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sz w:val="20"/>
              </w:rPr>
            </w:pPr>
            <w:r>
              <w:rPr>
                <w:b/>
                <w:bCs/>
                <w:noProof/>
                <w:color w:val="000000"/>
                <w:sz w:val="20"/>
              </w:rPr>
              <w:t>Pactul verde european</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sz w:val="20"/>
              </w:rPr>
            </w:pPr>
            <w:r>
              <w:rPr>
                <w:b/>
                <w:bCs/>
                <w:noProof/>
                <w:sz w:val="20"/>
              </w:rPr>
              <w:t xml:space="preserve">Comunicarea </w:t>
            </w:r>
            <w:r>
              <w:rPr>
                <w:b/>
                <w:bCs/>
                <w:noProof/>
                <w:sz w:val="20"/>
              </w:rPr>
              <w:t>privind Pactul verde european</w:t>
            </w:r>
            <w:r>
              <w:rPr>
                <w:noProof/>
                <w:sz w:val="20"/>
              </w:rPr>
              <w:t xml:space="preserve"> (propunere fără caracter legislativ, T4 2019); </w:t>
            </w:r>
            <w:r>
              <w:rPr>
                <w:noProof/>
              </w:rPr>
              <w:br/>
            </w:r>
            <w:r>
              <w:rPr>
                <w:b/>
                <w:bCs/>
                <w:noProof/>
                <w:sz w:val="20"/>
              </w:rPr>
              <w:t>Legea europeană a climei, care consacră obiectivul atingerii neutralității climatice în 2050</w:t>
            </w:r>
            <w:r>
              <w:rPr>
                <w:noProof/>
                <w:sz w:val="20"/>
              </w:rPr>
              <w:t xml:space="preserve"> [propunere legislativă, articolul 192 alineatul (1) din TFUE, T1 2020]; </w:t>
            </w:r>
            <w:r>
              <w:rPr>
                <w:noProof/>
              </w:rPr>
              <w:br/>
            </w:r>
            <w:r>
              <w:rPr>
                <w:b/>
                <w:bCs/>
                <w:noProof/>
                <w:sz w:val="20"/>
              </w:rPr>
              <w:t>Pactul europ</w:t>
            </w:r>
            <w:r>
              <w:rPr>
                <w:b/>
                <w:bCs/>
                <w:noProof/>
                <w:sz w:val="20"/>
              </w:rPr>
              <w:t>ean privind clima</w:t>
            </w:r>
            <w:r>
              <w:rPr>
                <w:noProof/>
                <w:sz w:val="20"/>
              </w:rPr>
              <w:t xml:space="preserve"> (propunere fără caracter legislativ, T3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noProof/>
                <w:sz w:val="20"/>
              </w:rPr>
              <w:t>adoptată</w:t>
            </w:r>
          </w:p>
          <w:p w:rsidR="00A1317E" w:rsidRDefault="00A5267E">
            <w:pPr>
              <w:spacing w:after="0"/>
              <w:jc w:val="left"/>
              <w:rPr>
                <w:bCs/>
                <w:noProof/>
                <w:sz w:val="20"/>
              </w:rPr>
            </w:pPr>
            <w:r>
              <w:rPr>
                <w:bCs/>
                <w:noProof/>
                <w:sz w:val="20"/>
              </w:rPr>
              <w:t>adoptată</w:t>
            </w:r>
          </w:p>
          <w:p w:rsidR="00A1317E" w:rsidRDefault="00A1317E">
            <w:pPr>
              <w:spacing w:after="0"/>
              <w:jc w:val="left"/>
              <w:rPr>
                <w:bCs/>
                <w:noProof/>
                <w:sz w:val="20"/>
              </w:rPr>
            </w:pPr>
          </w:p>
          <w:p w:rsidR="00A1317E" w:rsidRDefault="00A5267E">
            <w:pPr>
              <w:spacing w:after="0"/>
              <w:jc w:val="left"/>
              <w:rPr>
                <w:b/>
                <w:bCs/>
                <w:noProof/>
                <w:sz w:val="20"/>
              </w:rPr>
            </w:pPr>
            <w:r>
              <w:rPr>
                <w:bCs/>
                <w:i/>
                <w:noProof/>
                <w:sz w:val="20"/>
              </w:rPr>
              <w:t>T4 2020</w:t>
            </w:r>
          </w:p>
        </w:tc>
      </w:tr>
      <w:tr w:rsidR="00A1317E">
        <w:trPr>
          <w:cantSplit/>
        </w:trPr>
        <w:tc>
          <w:tcPr>
            <w:tcW w:w="483" w:type="dxa"/>
            <w:tcBorders>
              <w:bottom w:val="single" w:sz="4" w:space="0" w:color="auto"/>
              <w:right w:val="single" w:sz="4" w:space="0" w:color="auto"/>
            </w:tcBorders>
            <w:shd w:val="clear" w:color="auto" w:fill="FFFFFF"/>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shd w:val="clear" w:color="auto" w:fill="FFFFFF"/>
            <w:tcMar>
              <w:top w:w="85" w:type="dxa"/>
              <w:bottom w:w="85" w:type="dxa"/>
            </w:tcMar>
          </w:tcPr>
          <w:p w:rsidR="00A1317E" w:rsidRDefault="00A5267E">
            <w:pPr>
              <w:spacing w:after="0"/>
              <w:rPr>
                <w:noProof/>
                <w:sz w:val="20"/>
              </w:rPr>
            </w:pPr>
            <w:r>
              <w:rPr>
                <w:b/>
                <w:noProof/>
                <w:color w:val="000000"/>
                <w:sz w:val="20"/>
              </w:rPr>
              <w:t>Finanțarea tranziției durabile</w:t>
            </w:r>
          </w:p>
        </w:tc>
        <w:tc>
          <w:tcPr>
            <w:tcW w:w="9639" w:type="dxa"/>
            <w:tcBorders>
              <w:left w:val="single" w:sz="4" w:space="0" w:color="auto"/>
              <w:bottom w:val="single" w:sz="4" w:space="0" w:color="auto"/>
              <w:right w:val="single" w:sz="4" w:space="0" w:color="auto"/>
            </w:tcBorders>
            <w:shd w:val="clear" w:color="auto" w:fill="FFFFFF"/>
            <w:tcMar>
              <w:top w:w="85" w:type="dxa"/>
              <w:bottom w:w="85" w:type="dxa"/>
            </w:tcMar>
          </w:tcPr>
          <w:p w:rsidR="00A1317E" w:rsidRDefault="00A5267E">
            <w:pPr>
              <w:spacing w:after="0"/>
              <w:jc w:val="left"/>
              <w:rPr>
                <w:noProof/>
                <w:sz w:val="20"/>
              </w:rPr>
            </w:pPr>
            <w:r>
              <w:rPr>
                <w:b/>
                <w:bCs/>
                <w:noProof/>
                <w:color w:val="000000"/>
                <w:sz w:val="20"/>
              </w:rPr>
              <w:t>Planul de investiții al Pactului verde european</w:t>
            </w:r>
            <w:r>
              <w:rPr>
                <w:noProof/>
                <w:color w:val="000000"/>
                <w:sz w:val="20"/>
              </w:rPr>
              <w:t xml:space="preserve"> (propunere fără caracter legislativ, T1 2020); </w:t>
            </w:r>
            <w:r>
              <w:rPr>
                <w:noProof/>
              </w:rPr>
              <w:br/>
            </w:r>
            <w:r>
              <w:rPr>
                <w:b/>
                <w:bCs/>
                <w:noProof/>
                <w:sz w:val="20"/>
              </w:rPr>
              <w:t>Fondul pentru o tranziție justă</w:t>
            </w:r>
            <w:r>
              <w:rPr>
                <w:noProof/>
                <w:sz w:val="20"/>
              </w:rPr>
              <w:t xml:space="preserve"> (pro</w:t>
            </w:r>
            <w:r>
              <w:rPr>
                <w:noProof/>
                <w:sz w:val="20"/>
              </w:rPr>
              <w:t xml:space="preserve">punere legislativă, articolul 175 din TFUE, T1 2020); </w:t>
            </w:r>
            <w:r>
              <w:rPr>
                <w:noProof/>
              </w:rPr>
              <w:br/>
            </w:r>
            <w:r>
              <w:rPr>
                <w:b/>
                <w:bCs/>
                <w:noProof/>
                <w:color w:val="000000"/>
                <w:sz w:val="20"/>
              </w:rPr>
              <w:t>Strategia reînnoită privind finanțarea durabilă</w:t>
            </w:r>
            <w:r>
              <w:rPr>
                <w:noProof/>
                <w:color w:val="000000"/>
                <w:sz w:val="20"/>
              </w:rPr>
              <w:t xml:space="preserve"> (propunere fără caracter legislativ, T3 2020);</w:t>
            </w:r>
            <w:r>
              <w:rPr>
                <w:noProof/>
                <w:sz w:val="20"/>
              </w:rPr>
              <w:t xml:space="preserve"> </w:t>
            </w:r>
          </w:p>
          <w:p w:rsidR="00A1317E" w:rsidRDefault="00A5267E">
            <w:pPr>
              <w:spacing w:after="0"/>
              <w:jc w:val="left"/>
              <w:rPr>
                <w:noProof/>
                <w:sz w:val="20"/>
              </w:rPr>
            </w:pPr>
            <w:r>
              <w:rPr>
                <w:b/>
                <w:bCs/>
                <w:noProof/>
                <w:color w:val="000000"/>
                <w:sz w:val="20"/>
              </w:rPr>
              <w:t>Revizuirea Directivei privind raportarea nefinanciară</w:t>
            </w:r>
            <w:r>
              <w:rPr>
                <w:noProof/>
                <w:color w:val="000000"/>
                <w:sz w:val="20"/>
              </w:rPr>
              <w:t xml:space="preserve"> (propunere legislativă</w:t>
            </w:r>
            <w:r>
              <w:rPr>
                <w:noProof/>
                <w:sz w:val="20"/>
              </w:rPr>
              <w:t xml:space="preserve"> care include o evaluare a im</w:t>
            </w:r>
            <w:r>
              <w:rPr>
                <w:noProof/>
                <w:sz w:val="20"/>
              </w:rPr>
              <w:t>pactului,</w:t>
            </w:r>
            <w:r>
              <w:rPr>
                <w:noProof/>
                <w:color w:val="000000"/>
                <w:sz w:val="20"/>
              </w:rPr>
              <w:t xml:space="preserve"> articolul 114 din TFUE, T4 2020)</w:t>
            </w:r>
          </w:p>
        </w:tc>
        <w:tc>
          <w:tcPr>
            <w:tcW w:w="1134" w:type="dxa"/>
            <w:tcBorders>
              <w:left w:val="single" w:sz="4" w:space="0" w:color="auto"/>
              <w:bottom w:val="single" w:sz="4" w:space="0" w:color="auto"/>
              <w:right w:val="single" w:sz="4" w:space="0" w:color="auto"/>
            </w:tcBorders>
            <w:shd w:val="clear" w:color="auto" w:fill="FFFFFF"/>
          </w:tcPr>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noProof/>
                <w:sz w:val="20"/>
              </w:rPr>
            </w:pPr>
            <w:r>
              <w:rPr>
                <w:bCs/>
                <w:noProof/>
                <w:sz w:val="20"/>
              </w:rPr>
              <w:t>adoptată</w:t>
            </w:r>
          </w:p>
          <w:p w:rsidR="00A1317E" w:rsidRDefault="00A5267E">
            <w:pPr>
              <w:spacing w:after="0"/>
              <w:jc w:val="left"/>
              <w:rPr>
                <w:bCs/>
                <w:i/>
                <w:noProof/>
                <w:color w:val="000000"/>
                <w:sz w:val="20"/>
              </w:rPr>
            </w:pPr>
            <w:r>
              <w:rPr>
                <w:bCs/>
                <w:i/>
                <w:noProof/>
                <w:color w:val="000000"/>
                <w:sz w:val="20"/>
              </w:rPr>
              <w:t>T4 2020</w:t>
            </w:r>
          </w:p>
          <w:p w:rsidR="00A1317E" w:rsidRDefault="00A5267E">
            <w:pPr>
              <w:spacing w:after="0"/>
              <w:jc w:val="left"/>
              <w:rPr>
                <w:bCs/>
                <w:noProof/>
                <w:color w:val="000000"/>
                <w:sz w:val="20"/>
              </w:rPr>
            </w:pPr>
            <w:r>
              <w:rPr>
                <w:bCs/>
                <w:i/>
                <w:noProof/>
                <w:color w:val="000000"/>
                <w:sz w:val="20"/>
              </w:rPr>
              <w:t>T1 2021</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noProof/>
                <w:sz w:val="20"/>
              </w:rPr>
            </w:pPr>
            <w:r>
              <w:rPr>
                <w:b/>
                <w:bCs/>
                <w:noProof/>
                <w:sz w:val="20"/>
              </w:rPr>
              <w:t>Contribuția Comisiei la COP26 de la Glasgow</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sz w:val="20"/>
              </w:rPr>
            </w:pPr>
            <w:r>
              <w:rPr>
                <w:b/>
                <w:bCs/>
                <w:noProof/>
                <w:sz w:val="20"/>
              </w:rPr>
              <w:t>Planul privind obiectivele climatice pentru 2030</w:t>
            </w:r>
            <w:r>
              <w:rPr>
                <w:noProof/>
                <w:sz w:val="20"/>
              </w:rPr>
              <w:t xml:space="preserve"> (propunere fără caracter legislativ care include o evaluare a impactului, T3 2020); </w:t>
            </w:r>
            <w:r>
              <w:rPr>
                <w:noProof/>
              </w:rPr>
              <w:br/>
            </w:r>
            <w:r>
              <w:rPr>
                <w:b/>
                <w:bCs/>
                <w:noProof/>
                <w:sz w:val="20"/>
              </w:rPr>
              <w:t>Noua strategie a UE privind adaptarea la schimbările climatice</w:t>
            </w:r>
            <w:r>
              <w:rPr>
                <w:noProof/>
                <w:sz w:val="20"/>
              </w:rPr>
              <w:t xml:space="preserve"> (propunere fără caracter legislativ, T4 2020);</w:t>
            </w:r>
          </w:p>
          <w:p w:rsidR="00A1317E" w:rsidRDefault="00A5267E">
            <w:pPr>
              <w:spacing w:after="0"/>
              <w:jc w:val="left"/>
              <w:rPr>
                <w:noProof/>
                <w:sz w:val="20"/>
              </w:rPr>
            </w:pPr>
            <w:r>
              <w:rPr>
                <w:b/>
                <w:bCs/>
                <w:noProof/>
                <w:sz w:val="20"/>
              </w:rPr>
              <w:t>Noua</w:t>
            </w:r>
            <w:r>
              <w:rPr>
                <w:noProof/>
                <w:sz w:val="20"/>
              </w:rPr>
              <w:t xml:space="preserve"> </w:t>
            </w:r>
            <w:r>
              <w:rPr>
                <w:b/>
                <w:bCs/>
                <w:noProof/>
                <w:sz w:val="20"/>
              </w:rPr>
              <w:t>strategie a UE privind pădurile</w:t>
            </w:r>
            <w:r>
              <w:rPr>
                <w:noProof/>
                <w:sz w:val="20"/>
              </w:rPr>
              <w:t xml:space="preserve"> (propunere fără caracter legislativ, T4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noProof/>
                <w:sz w:val="20"/>
              </w:rPr>
              <w:t>T3 2020</w:t>
            </w:r>
          </w:p>
          <w:p w:rsidR="00A1317E" w:rsidRDefault="00A5267E">
            <w:pPr>
              <w:spacing w:after="0"/>
              <w:jc w:val="left"/>
              <w:rPr>
                <w:bCs/>
                <w:i/>
                <w:noProof/>
                <w:sz w:val="20"/>
              </w:rPr>
            </w:pPr>
            <w:r>
              <w:rPr>
                <w:bCs/>
                <w:i/>
                <w:noProof/>
                <w:sz w:val="20"/>
              </w:rPr>
              <w:t>T1 2021</w:t>
            </w:r>
          </w:p>
          <w:p w:rsidR="00A1317E" w:rsidRDefault="00A5267E">
            <w:pPr>
              <w:spacing w:after="0"/>
              <w:jc w:val="left"/>
              <w:rPr>
                <w:bCs/>
                <w:noProof/>
                <w:sz w:val="20"/>
              </w:rPr>
            </w:pPr>
            <w:r>
              <w:rPr>
                <w:bCs/>
                <w:i/>
                <w:noProof/>
                <w:sz w:val="20"/>
              </w:rPr>
              <w:t>T1 2021</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b/>
                <w:noProof/>
                <w:color w:val="000000"/>
                <w:sz w:val="20"/>
              </w:rPr>
            </w:pPr>
            <w:r>
              <w:rPr>
                <w:b/>
                <w:noProof/>
                <w:color w:val="000000"/>
                <w:sz w:val="20"/>
              </w:rPr>
              <w:t>Durabilitatea sistemelor alimentare</w:t>
            </w:r>
          </w:p>
        </w:tc>
        <w:tc>
          <w:tcPr>
            <w:tcW w:w="9639" w:type="dxa"/>
            <w:tcBorders>
              <w:bottom w:val="single" w:sz="4" w:space="0" w:color="auto"/>
            </w:tcBorders>
            <w:tcMar>
              <w:top w:w="85" w:type="dxa"/>
              <w:bottom w:w="85" w:type="dxa"/>
            </w:tcMar>
          </w:tcPr>
          <w:p w:rsidR="00A1317E" w:rsidRDefault="00A5267E">
            <w:pPr>
              <w:spacing w:after="0"/>
              <w:jc w:val="left"/>
              <w:rPr>
                <w:noProof/>
                <w:color w:val="FF0000"/>
                <w:sz w:val="20"/>
              </w:rPr>
            </w:pPr>
            <w:r>
              <w:rPr>
                <w:b/>
                <w:bCs/>
                <w:noProof/>
                <w:sz w:val="20"/>
              </w:rPr>
              <w:t>Strategia „De la fermă la consumator”</w:t>
            </w:r>
            <w:r>
              <w:rPr>
                <w:noProof/>
                <w:sz w:val="20"/>
              </w:rPr>
              <w:t xml:space="preserve"> (propunere fără caracter legislativ, T1 2020);</w:t>
            </w:r>
          </w:p>
        </w:tc>
        <w:tc>
          <w:tcPr>
            <w:tcW w:w="1134" w:type="dxa"/>
            <w:tcBorders>
              <w:bottom w:val="single" w:sz="4" w:space="0" w:color="auto"/>
            </w:tcBorders>
          </w:tcPr>
          <w:p w:rsidR="00A1317E" w:rsidRDefault="00A5267E">
            <w:pPr>
              <w:spacing w:after="0"/>
              <w:jc w:val="left"/>
              <w:rPr>
                <w:bCs/>
                <w:noProof/>
                <w:sz w:val="20"/>
              </w:rPr>
            </w:pPr>
            <w:r>
              <w:rPr>
                <w:bCs/>
                <w:noProof/>
                <w:sz w:val="20"/>
              </w:rPr>
              <w:t>adoptată</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b/>
                <w:bCs/>
                <w:noProof/>
                <w:color w:val="000000"/>
                <w:sz w:val="20"/>
              </w:rPr>
            </w:pPr>
            <w:r>
              <w:rPr>
                <w:b/>
                <w:bCs/>
                <w:noProof/>
                <w:sz w:val="20"/>
              </w:rPr>
              <w:t>Decarbonizarea energiei</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bCs/>
                <w:noProof/>
                <w:sz w:val="20"/>
              </w:rPr>
              <w:t>Strategia pentru o integrare sectorială inteligentă</w:t>
            </w:r>
            <w:r>
              <w:rPr>
                <w:noProof/>
                <w:sz w:val="20"/>
              </w:rPr>
              <w:t xml:space="preserve"> (propunere fără caracter legislativ, T2 2020)</w:t>
            </w:r>
          </w:p>
          <w:p w:rsidR="00A1317E" w:rsidRDefault="00A5267E">
            <w:pPr>
              <w:spacing w:after="0"/>
              <w:jc w:val="left"/>
              <w:rPr>
                <w:noProof/>
                <w:sz w:val="20"/>
              </w:rPr>
            </w:pPr>
            <w:r>
              <w:rPr>
                <w:b/>
                <w:noProof/>
                <w:sz w:val="20"/>
              </w:rPr>
              <w:t>Valul de renovări</w:t>
            </w:r>
            <w:r>
              <w:rPr>
                <w:noProof/>
                <w:sz w:val="20"/>
              </w:rPr>
              <w:t xml:space="preserve"> (propunere fără caracter legislativ, T3 2020);</w:t>
            </w:r>
          </w:p>
          <w:p w:rsidR="00A1317E" w:rsidRDefault="00A5267E">
            <w:pPr>
              <w:spacing w:after="0"/>
              <w:jc w:val="left"/>
              <w:rPr>
                <w:noProof/>
                <w:sz w:val="20"/>
              </w:rPr>
            </w:pPr>
            <w:r>
              <w:rPr>
                <w:b/>
                <w:noProof/>
                <w:sz w:val="20"/>
              </w:rPr>
              <w:t>Energia din surse regenerabile offshore</w:t>
            </w:r>
            <w:r>
              <w:rPr>
                <w:noProof/>
                <w:sz w:val="20"/>
              </w:rPr>
              <w:t xml:space="preserve"> (propunere fără caracter legislativ, T4 2020)</w:t>
            </w:r>
          </w:p>
        </w:tc>
        <w:tc>
          <w:tcPr>
            <w:tcW w:w="1134" w:type="dxa"/>
            <w:tcBorders>
              <w:bottom w:val="single" w:sz="4" w:space="0" w:color="auto"/>
            </w:tcBorders>
          </w:tcPr>
          <w:p w:rsidR="00A1317E" w:rsidRDefault="00A5267E">
            <w:pPr>
              <w:spacing w:after="0"/>
              <w:jc w:val="left"/>
              <w:rPr>
                <w:bCs/>
                <w:noProof/>
                <w:sz w:val="20"/>
              </w:rPr>
            </w:pPr>
            <w:r>
              <w:rPr>
                <w:bCs/>
                <w:noProof/>
                <w:sz w:val="20"/>
              </w:rPr>
              <w:t>T2 2020</w:t>
            </w:r>
          </w:p>
          <w:p w:rsidR="00A1317E" w:rsidRDefault="00A5267E">
            <w:pPr>
              <w:spacing w:after="0"/>
              <w:jc w:val="left"/>
              <w:rPr>
                <w:bCs/>
                <w:noProof/>
                <w:sz w:val="20"/>
              </w:rPr>
            </w:pPr>
            <w:r>
              <w:rPr>
                <w:bCs/>
                <w:noProof/>
                <w:sz w:val="20"/>
              </w:rPr>
              <w:t>T3 2020</w:t>
            </w:r>
          </w:p>
          <w:p w:rsidR="00A1317E" w:rsidRDefault="00A5267E">
            <w:pPr>
              <w:spacing w:after="0"/>
              <w:jc w:val="left"/>
              <w:rPr>
                <w:bCs/>
                <w:noProof/>
                <w:sz w:val="20"/>
              </w:rPr>
            </w:pP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jc w:val="left"/>
              <w:rPr>
                <w:b/>
                <w:bCs/>
                <w:noProof/>
                <w:color w:val="000000"/>
                <w:sz w:val="20"/>
              </w:rPr>
            </w:pPr>
            <w:r>
              <w:rPr>
                <w:b/>
                <w:bCs/>
                <w:noProof/>
                <w:sz w:val="20"/>
              </w:rPr>
              <w:t>Producție și consum durabile</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bCs/>
                <w:noProof/>
                <w:sz w:val="20"/>
              </w:rPr>
              <w:t>Noul plan de acțiune pentru economia circulară</w:t>
            </w:r>
            <w:r>
              <w:rPr>
                <w:noProof/>
                <w:sz w:val="20"/>
              </w:rPr>
              <w:t xml:space="preserve"> (propunere fără caracter legislativ, T1 2020);</w:t>
            </w:r>
          </w:p>
          <w:p w:rsidR="00A1317E" w:rsidRDefault="00A5267E">
            <w:pPr>
              <w:spacing w:after="0"/>
              <w:jc w:val="left"/>
              <w:rPr>
                <w:b/>
                <w:bCs/>
                <w:noProof/>
                <w:sz w:val="20"/>
              </w:rPr>
            </w:pPr>
            <w:r>
              <w:rPr>
                <w:b/>
                <w:bCs/>
                <w:noProof/>
                <w:sz w:val="20"/>
              </w:rPr>
              <w:t xml:space="preserve"> Capacitarea consumatorilor în vederea tranziției verzi</w:t>
            </w:r>
            <w:r>
              <w:rPr>
                <w:noProof/>
                <w:sz w:val="20"/>
              </w:rPr>
              <w:t xml:space="preserve"> (propunere legislativă care include o evaluare a impactului, articolul 114 din TFUE, T4 2020)</w:t>
            </w:r>
          </w:p>
        </w:tc>
        <w:tc>
          <w:tcPr>
            <w:tcW w:w="1134" w:type="dxa"/>
            <w:tcBorders>
              <w:bottom w:val="single" w:sz="4" w:space="0" w:color="auto"/>
            </w:tcBorders>
          </w:tcPr>
          <w:p w:rsidR="00A1317E" w:rsidRDefault="00A5267E">
            <w:pPr>
              <w:spacing w:after="0"/>
              <w:jc w:val="left"/>
              <w:rPr>
                <w:bCs/>
                <w:noProof/>
                <w:sz w:val="20"/>
              </w:rPr>
            </w:pPr>
            <w:r>
              <w:rPr>
                <w:bCs/>
                <w:noProof/>
                <w:sz w:val="20"/>
              </w:rPr>
              <w:t>adoptată</w:t>
            </w:r>
          </w:p>
          <w:p w:rsidR="00A1317E" w:rsidRDefault="00A5267E">
            <w:pPr>
              <w:spacing w:after="0"/>
              <w:jc w:val="left"/>
              <w:rPr>
                <w:bCs/>
                <w:i/>
                <w:noProof/>
                <w:sz w:val="20"/>
              </w:rPr>
            </w:pPr>
            <w:r>
              <w:rPr>
                <w:bCs/>
                <w:i/>
                <w:noProof/>
                <w:sz w:val="20"/>
              </w:rPr>
              <w:t>T2 2021</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Protejarea mediului înconjurător</w:t>
            </w:r>
          </w:p>
        </w:tc>
        <w:tc>
          <w:tcPr>
            <w:tcW w:w="9639" w:type="dxa"/>
            <w:tcBorders>
              <w:bottom w:val="single" w:sz="4" w:space="0" w:color="auto"/>
            </w:tcBorders>
            <w:tcMar>
              <w:top w:w="85" w:type="dxa"/>
              <w:bottom w:w="85" w:type="dxa"/>
            </w:tcMar>
          </w:tcPr>
          <w:p w:rsidR="00A1317E" w:rsidRDefault="00A5267E">
            <w:pPr>
              <w:spacing w:after="0"/>
              <w:jc w:val="left"/>
              <w:rPr>
                <w:b/>
                <w:bCs/>
                <w:noProof/>
                <w:sz w:val="20"/>
              </w:rPr>
            </w:pPr>
            <w:r>
              <w:rPr>
                <w:b/>
                <w:bCs/>
                <w:noProof/>
                <w:sz w:val="20"/>
              </w:rPr>
              <w:t>Strate</w:t>
            </w:r>
            <w:r>
              <w:rPr>
                <w:b/>
                <w:bCs/>
                <w:noProof/>
                <w:sz w:val="20"/>
              </w:rPr>
              <w:t>gia UE în domeniul biodiversității pentru 2030</w:t>
            </w:r>
            <w:r>
              <w:rPr>
                <w:noProof/>
                <w:sz w:val="20"/>
              </w:rPr>
              <w:t xml:space="preserve"> (propunere fără caracter legislativ, T1 2020);</w:t>
            </w:r>
            <w:r>
              <w:rPr>
                <w:b/>
                <w:bCs/>
                <w:noProof/>
                <w:sz w:val="20"/>
              </w:rPr>
              <w:t xml:space="preserve"> </w:t>
            </w:r>
          </w:p>
          <w:p w:rsidR="00A1317E" w:rsidRDefault="00A5267E">
            <w:pPr>
              <w:spacing w:after="0"/>
              <w:jc w:val="left"/>
              <w:rPr>
                <w:noProof/>
                <w:sz w:val="20"/>
              </w:rPr>
            </w:pPr>
            <w:r>
              <w:rPr>
                <w:b/>
                <w:bCs/>
                <w:noProof/>
                <w:sz w:val="20"/>
              </w:rPr>
              <w:t xml:space="preserve">Al 8-lea program de acțiune pentru mediu </w:t>
            </w:r>
            <w:r>
              <w:rPr>
                <w:noProof/>
                <w:sz w:val="20"/>
              </w:rPr>
              <w:t>[propunere legislativă, articolul 192 alineatul (3) din TFUE, T2 2020];</w:t>
            </w:r>
            <w:r>
              <w:rPr>
                <w:noProof/>
              </w:rPr>
              <w:t xml:space="preserve"> </w:t>
            </w:r>
            <w:r>
              <w:rPr>
                <w:noProof/>
              </w:rPr>
              <w:br/>
            </w:r>
            <w:r>
              <w:rPr>
                <w:b/>
                <w:bCs/>
                <w:noProof/>
                <w:sz w:val="20"/>
              </w:rPr>
              <w:t>Strategia pentru promovarea sustenabilității în</w:t>
            </w:r>
            <w:r>
              <w:rPr>
                <w:b/>
                <w:bCs/>
                <w:noProof/>
                <w:sz w:val="20"/>
              </w:rPr>
              <w:t xml:space="preserve"> domeniul substanțelor chimice</w:t>
            </w:r>
            <w:r>
              <w:rPr>
                <w:noProof/>
                <w:sz w:val="20"/>
              </w:rPr>
              <w:t xml:space="preserve"> (propunere fără caracter legislativ, T3 2020)</w:t>
            </w:r>
          </w:p>
        </w:tc>
        <w:tc>
          <w:tcPr>
            <w:tcW w:w="1134" w:type="dxa"/>
            <w:tcBorders>
              <w:bottom w:val="single" w:sz="4" w:space="0" w:color="auto"/>
            </w:tcBorders>
          </w:tcPr>
          <w:p w:rsidR="00A1317E" w:rsidRDefault="00A5267E">
            <w:pPr>
              <w:spacing w:after="0"/>
              <w:jc w:val="left"/>
              <w:rPr>
                <w:bCs/>
                <w:noProof/>
                <w:sz w:val="20"/>
              </w:rPr>
            </w:pPr>
            <w:r>
              <w:rPr>
                <w:bCs/>
                <w:noProof/>
                <w:sz w:val="20"/>
              </w:rPr>
              <w:t>adoptată</w:t>
            </w:r>
          </w:p>
          <w:p w:rsidR="00A1317E" w:rsidRDefault="00A5267E">
            <w:pPr>
              <w:spacing w:after="0"/>
              <w:jc w:val="left"/>
              <w:rPr>
                <w:bCs/>
                <w:i/>
                <w:noProof/>
                <w:sz w:val="20"/>
              </w:rPr>
            </w:pPr>
            <w:r>
              <w:rPr>
                <w:bCs/>
                <w:i/>
                <w:noProof/>
                <w:sz w:val="20"/>
              </w:rPr>
              <w:t>T4 2020</w:t>
            </w:r>
          </w:p>
          <w:p w:rsidR="00A1317E" w:rsidRDefault="00A5267E">
            <w:pPr>
              <w:spacing w:after="0"/>
              <w:jc w:val="left"/>
              <w:rPr>
                <w:bCs/>
                <w:noProof/>
                <w:sz w:val="20"/>
              </w:rPr>
            </w:pPr>
            <w:r>
              <w:rPr>
                <w:bCs/>
                <w:noProof/>
                <w:sz w:val="20"/>
              </w:rPr>
              <w:t>T3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Mobilitatea durabilă și inteligentă</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sz w:val="20"/>
              </w:rPr>
            </w:pPr>
            <w:r>
              <w:rPr>
                <w:b/>
                <w:bCs/>
                <w:noProof/>
                <w:sz w:val="20"/>
              </w:rPr>
              <w:t>Strategia pentru o mobilitate durabilă și inteligentă</w:t>
            </w:r>
            <w:r>
              <w:rPr>
                <w:noProof/>
                <w:sz w:val="20"/>
              </w:rPr>
              <w:t xml:space="preserve"> (propunere fără caracter legislativ, T4 2020);</w:t>
            </w:r>
          </w:p>
          <w:p w:rsidR="00A1317E" w:rsidRDefault="00A5267E">
            <w:pPr>
              <w:spacing w:after="0"/>
              <w:jc w:val="left"/>
              <w:rPr>
                <w:noProof/>
                <w:sz w:val="20"/>
              </w:rPr>
            </w:pPr>
            <w:r>
              <w:rPr>
                <w:b/>
                <w:bCs/>
                <w:noProof/>
                <w:sz w:val="20"/>
              </w:rPr>
              <w:t>Inițiativa</w:t>
            </w:r>
            <w:r>
              <w:rPr>
                <w:noProof/>
                <w:sz w:val="20"/>
              </w:rPr>
              <w:t xml:space="preserve"> </w:t>
            </w:r>
            <w:r>
              <w:rPr>
                <w:b/>
                <w:bCs/>
                <w:noProof/>
                <w:sz w:val="20"/>
              </w:rPr>
              <w:t>ReFuelEU în domeniul aviației</w:t>
            </w:r>
            <w:r>
              <w:rPr>
                <w:noProof/>
                <w:sz w:val="20"/>
              </w:rPr>
              <w:t xml:space="preserve"> </w:t>
            </w:r>
            <w:r>
              <w:rPr>
                <w:b/>
                <w:bCs/>
                <w:noProof/>
                <w:sz w:val="20"/>
              </w:rPr>
              <w:t>- Carburanți durabili pentru aviație</w:t>
            </w:r>
            <w:r>
              <w:rPr>
                <w:noProof/>
                <w:sz w:val="20"/>
              </w:rPr>
              <w:t xml:space="preserve"> [propunere legislativă care include o evaluare a impactului, articolul 100 alineatul (2) din TFUE și/sau articolul 192 alineatul (1) din TFUE, T4 2020];</w:t>
            </w:r>
          </w:p>
          <w:p w:rsidR="00A1317E" w:rsidRDefault="00A5267E">
            <w:pPr>
              <w:spacing w:after="0"/>
              <w:jc w:val="left"/>
              <w:rPr>
                <w:noProof/>
                <w:sz w:val="20"/>
              </w:rPr>
            </w:pPr>
            <w:r>
              <w:rPr>
                <w:b/>
                <w:bCs/>
                <w:noProof/>
                <w:sz w:val="20"/>
              </w:rPr>
              <w:t xml:space="preserve">Inițiativa FuelEU în domeniul </w:t>
            </w:r>
            <w:r>
              <w:rPr>
                <w:b/>
                <w:bCs/>
                <w:noProof/>
                <w:sz w:val="20"/>
              </w:rPr>
              <w:t>maritim</w:t>
            </w:r>
            <w:r>
              <w:rPr>
                <w:noProof/>
                <w:sz w:val="20"/>
              </w:rPr>
              <w:t xml:space="preserve"> </w:t>
            </w:r>
            <w:r>
              <w:rPr>
                <w:b/>
                <w:bCs/>
                <w:noProof/>
                <w:sz w:val="20"/>
              </w:rPr>
              <w:t>- Spațiul maritim european verde</w:t>
            </w:r>
            <w:r>
              <w:rPr>
                <w:noProof/>
                <w:sz w:val="20"/>
              </w:rPr>
              <w:t xml:space="preserve"> [propunere legislativă care include o evaluare a impactului, articolul 100 alineatul (2) din TFUE și/sau articolul 192 alineatul (1) din TFUE, T4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noProof/>
                <w:sz w:val="20"/>
              </w:rPr>
              <w:t>T4 2020</w:t>
            </w:r>
          </w:p>
          <w:p w:rsidR="00A1317E" w:rsidRDefault="00A5267E">
            <w:pPr>
              <w:spacing w:after="0"/>
              <w:jc w:val="left"/>
              <w:rPr>
                <w:bCs/>
                <w:noProof/>
                <w:sz w:val="20"/>
              </w:rPr>
            </w:pPr>
            <w:r>
              <w:rPr>
                <w:bCs/>
                <w:noProof/>
                <w:sz w:val="20"/>
              </w:rPr>
              <w:t>T4 2020</w:t>
            </w:r>
          </w:p>
          <w:p w:rsidR="00A1317E" w:rsidRDefault="00A1317E">
            <w:pPr>
              <w:spacing w:after="0"/>
              <w:jc w:val="left"/>
              <w:rPr>
                <w:bCs/>
                <w:noProof/>
                <w:sz w:val="20"/>
              </w:rPr>
            </w:pPr>
          </w:p>
          <w:p w:rsidR="00A1317E" w:rsidRDefault="00A5267E">
            <w:pPr>
              <w:spacing w:after="0"/>
              <w:jc w:val="left"/>
              <w:rPr>
                <w:bCs/>
                <w:noProof/>
                <w:sz w:val="20"/>
              </w:rPr>
            </w:pPr>
            <w:r>
              <w:rPr>
                <w:bCs/>
                <w:noProof/>
                <w:sz w:val="20"/>
              </w:rPr>
              <w:t>T4 2020</w:t>
            </w:r>
          </w:p>
          <w:p w:rsidR="00A1317E" w:rsidRDefault="00A1317E">
            <w:pPr>
              <w:spacing w:after="0"/>
              <w:jc w:val="left"/>
              <w:rPr>
                <w:bCs/>
                <w:noProof/>
                <w:sz w:val="20"/>
              </w:rPr>
            </w:pPr>
          </w:p>
        </w:tc>
      </w:tr>
      <w:tr w:rsidR="00A1317E">
        <w:trPr>
          <w:cantSplit/>
        </w:trPr>
        <w:tc>
          <w:tcPr>
            <w:tcW w:w="15083" w:type="dxa"/>
            <w:gridSpan w:val="4"/>
            <w:tcBorders>
              <w:bottom w:val="single" w:sz="4" w:space="0" w:color="auto"/>
            </w:tcBorders>
            <w:shd w:val="clear" w:color="auto" w:fill="18BAA8"/>
          </w:tcPr>
          <w:p w:rsidR="00A1317E" w:rsidRDefault="00A5267E">
            <w:pPr>
              <w:keepNext/>
              <w:spacing w:before="60" w:after="60"/>
              <w:rPr>
                <w:b/>
                <w:bCs/>
                <w:noProof/>
                <w:color w:val="FFFFFF"/>
                <w:sz w:val="20"/>
              </w:rPr>
            </w:pPr>
            <w:r>
              <w:rPr>
                <w:b/>
                <w:bCs/>
                <w:noProof/>
                <w:color w:val="FFFFFF"/>
                <w:sz w:val="20"/>
              </w:rPr>
              <w:t xml:space="preserve">O Europă pregătită pentru era </w:t>
            </w:r>
            <w:r>
              <w:rPr>
                <w:b/>
                <w:bCs/>
                <w:noProof/>
                <w:color w:val="FFFFFF"/>
                <w:sz w:val="20"/>
              </w:rPr>
              <w:t>digitală</w:t>
            </w:r>
          </w:p>
        </w:tc>
      </w:tr>
      <w:tr w:rsidR="00A1317E">
        <w:trPr>
          <w:cantSplit/>
        </w:trPr>
        <w:tc>
          <w:tcPr>
            <w:tcW w:w="483" w:type="dxa"/>
            <w:tcBorders>
              <w:bottom w:val="single" w:sz="4" w:space="0" w:color="auto"/>
              <w:right w:val="single" w:sz="4" w:space="0" w:color="auto"/>
            </w:tcBorders>
          </w:tcPr>
          <w:p w:rsidR="00A1317E" w:rsidRDefault="00A5267E">
            <w:pPr>
              <w:numPr>
                <w:ilvl w:val="0"/>
                <w:numId w:val="18"/>
              </w:numPr>
              <w:spacing w:after="0"/>
              <w:ind w:left="426"/>
              <w:contextualSpacing/>
              <w:rPr>
                <w:noProof/>
                <w:sz w:val="20"/>
              </w:rPr>
            </w:pPr>
            <w:r>
              <w:rPr>
                <w:noProof/>
                <w:color w:val="FFFFFF"/>
                <w:sz w:val="20"/>
              </w:rPr>
              <w:t>.</w:t>
            </w:r>
          </w:p>
        </w:tc>
        <w:tc>
          <w:tcPr>
            <w:tcW w:w="3827" w:type="dxa"/>
            <w:tcBorders>
              <w:left w:val="single" w:sz="4" w:space="0" w:color="auto"/>
              <w:bottom w:val="single" w:sz="4" w:space="0" w:color="auto"/>
            </w:tcBorders>
            <w:tcMar>
              <w:top w:w="85" w:type="dxa"/>
              <w:bottom w:w="85" w:type="dxa"/>
            </w:tcMar>
          </w:tcPr>
          <w:p w:rsidR="00A1317E" w:rsidRDefault="00A5267E">
            <w:pPr>
              <w:spacing w:after="0"/>
              <w:rPr>
                <w:b/>
                <w:bCs/>
                <w:noProof/>
                <w:color w:val="000000"/>
                <w:sz w:val="20"/>
              </w:rPr>
            </w:pPr>
            <w:r>
              <w:rPr>
                <w:b/>
                <w:bCs/>
                <w:noProof/>
                <w:color w:val="000000"/>
                <w:sz w:val="20"/>
              </w:rPr>
              <w:t>O Europă pregătită pentru era digitală</w:t>
            </w:r>
          </w:p>
        </w:tc>
        <w:tc>
          <w:tcPr>
            <w:tcW w:w="9639" w:type="dxa"/>
            <w:tcBorders>
              <w:bottom w:val="single" w:sz="4" w:space="0" w:color="auto"/>
            </w:tcBorders>
            <w:tcMar>
              <w:top w:w="85" w:type="dxa"/>
              <w:bottom w:w="85" w:type="dxa"/>
            </w:tcMar>
          </w:tcPr>
          <w:p w:rsidR="00A1317E" w:rsidRDefault="00A5267E">
            <w:pPr>
              <w:spacing w:after="0"/>
              <w:jc w:val="left"/>
              <w:rPr>
                <w:b/>
                <w:bCs/>
                <w:noProof/>
                <w:color w:val="000000"/>
                <w:sz w:val="20"/>
              </w:rPr>
            </w:pPr>
            <w:r>
              <w:rPr>
                <w:b/>
                <w:bCs/>
                <w:noProof/>
                <w:color w:val="000000"/>
                <w:sz w:val="20"/>
              </w:rPr>
              <w:t>O strategie pentru o Europă pregătită pentru era digitală</w:t>
            </w:r>
            <w:r>
              <w:rPr>
                <w:noProof/>
                <w:color w:val="000000"/>
                <w:sz w:val="20"/>
              </w:rPr>
              <w:t xml:space="preserve"> (propunere fără caracter legislativ, T1 2020), alături de </w:t>
            </w:r>
            <w:r>
              <w:rPr>
                <w:b/>
                <w:noProof/>
                <w:color w:val="000000"/>
                <w:sz w:val="20"/>
              </w:rPr>
              <w:t xml:space="preserve">instrumentul </w:t>
            </w:r>
            <w:r>
              <w:rPr>
                <w:b/>
                <w:i/>
                <w:iCs/>
                <w:noProof/>
                <w:color w:val="000000"/>
                <w:sz w:val="20"/>
              </w:rPr>
              <w:t>ex-ante</w:t>
            </w:r>
            <w:r>
              <w:rPr>
                <w:b/>
                <w:noProof/>
                <w:color w:val="000000"/>
                <w:sz w:val="20"/>
              </w:rPr>
              <w:t xml:space="preserve"> în materie de concurență</w:t>
            </w:r>
            <w:r>
              <w:rPr>
                <w:noProof/>
                <w:color w:val="000000"/>
                <w:sz w:val="20"/>
              </w:rPr>
              <w:t xml:space="preserve"> (propunere legislativă care include o evaluare a impactului, articolele 103 și 114 din TFUE, T4 2020);</w:t>
            </w:r>
          </w:p>
          <w:p w:rsidR="00A1317E" w:rsidRDefault="00A5267E">
            <w:pPr>
              <w:spacing w:after="0"/>
              <w:jc w:val="left"/>
              <w:rPr>
                <w:noProof/>
                <w:color w:val="000000"/>
                <w:sz w:val="20"/>
              </w:rPr>
            </w:pPr>
            <w:r>
              <w:rPr>
                <w:b/>
                <w:bCs/>
                <w:noProof/>
                <w:color w:val="000000"/>
                <w:sz w:val="20"/>
              </w:rPr>
              <w:t>Planul de acțiune pentru educația digitală (actualizare)</w:t>
            </w:r>
            <w:r>
              <w:rPr>
                <w:noProof/>
                <w:color w:val="000000"/>
                <w:sz w:val="20"/>
              </w:rPr>
              <w:t xml:space="preserve"> (propunere fără caracter legislativ, T2 2020)</w:t>
            </w:r>
          </w:p>
        </w:tc>
        <w:tc>
          <w:tcPr>
            <w:tcW w:w="1134" w:type="dxa"/>
            <w:tcBorders>
              <w:bottom w:val="single" w:sz="4" w:space="0" w:color="auto"/>
            </w:tcBorders>
          </w:tcPr>
          <w:p w:rsidR="00A1317E" w:rsidRDefault="00A5267E">
            <w:pPr>
              <w:spacing w:after="0"/>
              <w:jc w:val="left"/>
              <w:rPr>
                <w:bCs/>
                <w:noProof/>
                <w:color w:val="000000"/>
                <w:sz w:val="20"/>
              </w:rPr>
            </w:pPr>
            <w:r>
              <w:rPr>
                <w:bCs/>
                <w:noProof/>
                <w:color w:val="000000"/>
                <w:sz w:val="20"/>
              </w:rPr>
              <w:t>adoptată, T4 2020</w:t>
            </w:r>
          </w:p>
          <w:p w:rsidR="00A1317E" w:rsidRDefault="00A5267E">
            <w:pPr>
              <w:spacing w:after="0"/>
              <w:jc w:val="left"/>
              <w:rPr>
                <w:bCs/>
                <w:i/>
                <w:noProof/>
                <w:color w:val="000000"/>
                <w:sz w:val="20"/>
              </w:rPr>
            </w:pPr>
            <w:r>
              <w:rPr>
                <w:bCs/>
                <w:i/>
                <w:noProof/>
                <w:color w:val="000000"/>
                <w:sz w:val="20"/>
              </w:rPr>
              <w:t>T3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noProof/>
                <w:sz w:val="20"/>
              </w:rPr>
            </w:pPr>
            <w:r>
              <w:rPr>
                <w:b/>
                <w:bCs/>
                <w:noProof/>
                <w:sz w:val="20"/>
              </w:rPr>
              <w:t xml:space="preserve">O abordare europeană </w:t>
            </w:r>
            <w:r>
              <w:rPr>
                <w:b/>
                <w:bCs/>
                <w:noProof/>
                <w:sz w:val="20"/>
              </w:rPr>
              <w:t>a inteligenței artificiale</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color w:val="000000"/>
                <w:sz w:val="20"/>
              </w:rPr>
            </w:pPr>
            <w:r>
              <w:rPr>
                <w:b/>
                <w:bCs/>
                <w:noProof/>
                <w:color w:val="000000"/>
                <w:sz w:val="20"/>
              </w:rPr>
              <w:t>Cartea albă privind inteligența artificială</w:t>
            </w:r>
            <w:r>
              <w:rPr>
                <w:noProof/>
                <w:color w:val="000000"/>
                <w:sz w:val="20"/>
              </w:rPr>
              <w:t xml:space="preserve"> (propunere fără caracter legislativ, T1 2020);</w:t>
            </w:r>
          </w:p>
          <w:p w:rsidR="00A1317E" w:rsidRDefault="00A5267E">
            <w:pPr>
              <w:spacing w:after="0"/>
              <w:jc w:val="left"/>
              <w:rPr>
                <w:noProof/>
                <w:color w:val="000000"/>
                <w:sz w:val="20"/>
              </w:rPr>
            </w:pPr>
            <w:r>
              <w:rPr>
                <w:b/>
                <w:noProof/>
                <w:color w:val="000000"/>
                <w:sz w:val="20"/>
              </w:rPr>
              <w:t>Strategia europeană privind datele</w:t>
            </w:r>
            <w:r>
              <w:rPr>
                <w:noProof/>
                <w:color w:val="000000"/>
                <w:sz w:val="20"/>
              </w:rPr>
              <w:t xml:space="preserve"> (propunere fără caracter legislativ, T1 2020);</w:t>
            </w:r>
          </w:p>
          <w:p w:rsidR="00A1317E" w:rsidRDefault="00A5267E">
            <w:pPr>
              <w:spacing w:after="0"/>
              <w:jc w:val="left"/>
              <w:rPr>
                <w:noProof/>
                <w:sz w:val="20"/>
              </w:rPr>
            </w:pPr>
            <w:r>
              <w:rPr>
                <w:b/>
                <w:bCs/>
                <w:noProof/>
                <w:color w:val="000000"/>
                <w:sz w:val="20"/>
              </w:rPr>
              <w:t>Acțiuni subsecvente Cărții albe privind inteligența arti</w:t>
            </w:r>
            <w:r>
              <w:rPr>
                <w:b/>
                <w:bCs/>
                <w:noProof/>
                <w:color w:val="000000"/>
                <w:sz w:val="20"/>
              </w:rPr>
              <w:t>ficială, vizând inclusiv aspecte legate de siguranță, răspundere, drepturile fundamentale și date</w:t>
            </w:r>
            <w:r>
              <w:rPr>
                <w:noProof/>
                <w:color w:val="000000"/>
                <w:sz w:val="20"/>
              </w:rPr>
              <w:t xml:space="preserve"> (propunere legislativă care include o evaluare a impactului, articolul 114 din TFUE,</w:t>
            </w:r>
            <w:r>
              <w:rPr>
                <w:noProof/>
                <w:sz w:val="20"/>
              </w:rPr>
              <w:t xml:space="preserve"> T4 2020</w:t>
            </w:r>
            <w:r>
              <w:rPr>
                <w:noProof/>
                <w:color w:val="000000"/>
                <w:sz w:val="20"/>
              </w:rPr>
              <w:t>)</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i/>
                <w:noProof/>
                <w:color w:val="000000"/>
                <w:sz w:val="20"/>
              </w:rPr>
            </w:pPr>
            <w:r>
              <w:rPr>
                <w:bCs/>
                <w:i/>
                <w:noProof/>
                <w:color w:val="000000"/>
                <w:sz w:val="20"/>
              </w:rPr>
              <w:t>T1 2021</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Servicii digitale</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noProof/>
                <w:color w:val="000000"/>
                <w:sz w:val="20"/>
              </w:rPr>
            </w:pPr>
            <w:r>
              <w:rPr>
                <w:b/>
                <w:bCs/>
                <w:noProof/>
                <w:color w:val="000000"/>
                <w:sz w:val="20"/>
              </w:rPr>
              <w:t xml:space="preserve">Actul legislativ </w:t>
            </w:r>
            <w:r>
              <w:rPr>
                <w:b/>
                <w:bCs/>
                <w:noProof/>
                <w:color w:val="000000"/>
                <w:sz w:val="20"/>
              </w:rPr>
              <w:t>privind serviciile digitale</w:t>
            </w:r>
            <w:r>
              <w:rPr>
                <w:noProof/>
                <w:color w:val="000000"/>
                <w:sz w:val="20"/>
              </w:rPr>
              <w:t xml:space="preserve"> (propunere legislativă care include o evaluare a impactului, articolul 114 din TFUE, T4 2020) </w:t>
            </w:r>
          </w:p>
        </w:tc>
        <w:tc>
          <w:tcPr>
            <w:tcW w:w="1134" w:type="dxa"/>
            <w:tcBorders>
              <w:left w:val="single" w:sz="4" w:space="0" w:color="auto"/>
              <w:bottom w:val="single" w:sz="4" w:space="0" w:color="auto"/>
              <w:right w:val="single" w:sz="4" w:space="0" w:color="auto"/>
            </w:tcBorders>
          </w:tcPr>
          <w:p w:rsidR="00A1317E" w:rsidRDefault="00A5267E">
            <w:pPr>
              <w:spacing w:after="0"/>
              <w:rPr>
                <w:bCs/>
                <w:noProof/>
                <w:color w:val="000000"/>
                <w:sz w:val="20"/>
              </w:rPr>
            </w:pPr>
            <w:r>
              <w:rPr>
                <w:bCs/>
                <w:noProof/>
                <w:color w:val="000000"/>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Consolidarea securității cibernetice</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color w:val="000000"/>
                <w:sz w:val="20"/>
              </w:rPr>
            </w:pPr>
            <w:r>
              <w:rPr>
                <w:b/>
                <w:bCs/>
                <w:noProof/>
                <w:sz w:val="20"/>
              </w:rPr>
              <w:t xml:space="preserve">Revizuirea Directivei privind securitatea rețelelor și a sistemelor informatice </w:t>
            </w:r>
            <w:r>
              <w:rPr>
                <w:b/>
                <w:bCs/>
                <w:noProof/>
                <w:sz w:val="20"/>
              </w:rPr>
              <w:t>(Directiva NIS)</w:t>
            </w:r>
            <w:r>
              <w:rPr>
                <w:noProof/>
                <w:sz w:val="20"/>
              </w:rPr>
              <w:t xml:space="preserve"> (propunere legislativă care include o evaluare a impactului, articolul 114 din TFUE, T4 2020)</w:t>
            </w:r>
          </w:p>
        </w:tc>
        <w:tc>
          <w:tcPr>
            <w:tcW w:w="1134" w:type="dxa"/>
            <w:tcBorders>
              <w:left w:val="single" w:sz="4" w:space="0" w:color="auto"/>
              <w:bottom w:val="single" w:sz="4" w:space="0" w:color="auto"/>
              <w:right w:val="single" w:sz="4" w:space="0" w:color="auto"/>
            </w:tcBorders>
          </w:tcPr>
          <w:p w:rsidR="00A1317E" w:rsidRDefault="00A5267E">
            <w:pPr>
              <w:spacing w:after="0"/>
              <w:rPr>
                <w:bCs/>
                <w:noProof/>
                <w:sz w:val="20"/>
              </w:rPr>
            </w:pPr>
            <w:r>
              <w:rPr>
                <w:bCs/>
                <w:noProof/>
                <w:sz w:val="20"/>
              </w:rPr>
              <w:t>T4 2020</w:t>
            </w:r>
          </w:p>
        </w:tc>
      </w:tr>
      <w:tr w:rsidR="00A1317E">
        <w:trPr>
          <w:cantSplit/>
        </w:trPr>
        <w:tc>
          <w:tcPr>
            <w:tcW w:w="483" w:type="dxa"/>
            <w:tcBorders>
              <w:right w:val="single" w:sz="4" w:space="0" w:color="auto"/>
            </w:tcBorders>
            <w:shd w:val="clear" w:color="auto" w:fill="FFFFFF"/>
          </w:tcPr>
          <w:p w:rsidR="00A1317E" w:rsidRDefault="00A1317E">
            <w:pPr>
              <w:numPr>
                <w:ilvl w:val="0"/>
                <w:numId w:val="18"/>
              </w:numPr>
              <w:spacing w:after="0"/>
              <w:ind w:left="426"/>
              <w:contextualSpacing/>
              <w:rPr>
                <w:noProof/>
                <w:sz w:val="20"/>
              </w:rPr>
            </w:pPr>
          </w:p>
        </w:tc>
        <w:tc>
          <w:tcPr>
            <w:tcW w:w="3827" w:type="dxa"/>
            <w:tcBorders>
              <w:left w:val="single" w:sz="4" w:space="0" w:color="auto"/>
            </w:tcBorders>
            <w:shd w:val="clear" w:color="auto" w:fill="FFFFFF"/>
            <w:tcMar>
              <w:top w:w="85" w:type="dxa"/>
              <w:bottom w:w="85" w:type="dxa"/>
            </w:tcMar>
          </w:tcPr>
          <w:p w:rsidR="00A1317E" w:rsidRDefault="00A5267E">
            <w:pPr>
              <w:spacing w:after="0"/>
              <w:rPr>
                <w:b/>
                <w:bCs/>
                <w:noProof/>
                <w:color w:val="000000"/>
                <w:sz w:val="20"/>
              </w:rPr>
            </w:pPr>
            <w:r>
              <w:rPr>
                <w:b/>
                <w:bCs/>
                <w:noProof/>
                <w:sz w:val="20"/>
              </w:rPr>
              <w:t>Mediul digital în serviciul consumatorilor</w:t>
            </w:r>
          </w:p>
        </w:tc>
        <w:tc>
          <w:tcPr>
            <w:tcW w:w="9639" w:type="dxa"/>
            <w:shd w:val="clear" w:color="auto" w:fill="FFFFFF"/>
            <w:tcMar>
              <w:top w:w="85" w:type="dxa"/>
              <w:bottom w:w="85" w:type="dxa"/>
            </w:tcMar>
          </w:tcPr>
          <w:p w:rsidR="00A1317E" w:rsidRDefault="00A5267E">
            <w:pPr>
              <w:spacing w:after="0"/>
              <w:rPr>
                <w:noProof/>
                <w:sz w:val="20"/>
              </w:rPr>
            </w:pPr>
            <w:r>
              <w:rPr>
                <w:b/>
                <w:bCs/>
                <w:noProof/>
                <w:sz w:val="20"/>
              </w:rPr>
              <w:t>Încărcătoare comune pentru telefoanele mobile și dispozitivele similare</w:t>
            </w:r>
            <w:r>
              <w:rPr>
                <w:noProof/>
                <w:sz w:val="20"/>
              </w:rPr>
              <w:t xml:space="preserve"> (propunere legislativă care include o evaluare a impactului, articolul 114 din TFUE, T3 2020);</w:t>
            </w:r>
          </w:p>
          <w:p w:rsidR="00A1317E" w:rsidRDefault="00A5267E">
            <w:pPr>
              <w:spacing w:after="0"/>
              <w:rPr>
                <w:noProof/>
                <w:sz w:val="20"/>
              </w:rPr>
            </w:pPr>
            <w:r>
              <w:rPr>
                <w:b/>
                <w:bCs/>
                <w:noProof/>
                <w:color w:val="000000"/>
                <w:sz w:val="20"/>
              </w:rPr>
              <w:t>Revizuirea Regulamentului privind roamingul</w:t>
            </w:r>
            <w:r>
              <w:rPr>
                <w:noProof/>
                <w:color w:val="000000"/>
                <w:sz w:val="20"/>
              </w:rPr>
              <w:t xml:space="preserve"> (propunere legislativă care include o evaluare a impactului,</w:t>
            </w:r>
            <w:r>
              <w:rPr>
                <w:noProof/>
                <w:sz w:val="20"/>
              </w:rPr>
              <w:t xml:space="preserve"> articolul 114 din TFUE, T4 2020)</w:t>
            </w:r>
          </w:p>
        </w:tc>
        <w:tc>
          <w:tcPr>
            <w:tcW w:w="1134" w:type="dxa"/>
            <w:shd w:val="clear" w:color="auto" w:fill="FFFFFF"/>
          </w:tcPr>
          <w:p w:rsidR="00A1317E" w:rsidRDefault="00A5267E">
            <w:pPr>
              <w:spacing w:after="0"/>
              <w:rPr>
                <w:bCs/>
                <w:i/>
                <w:noProof/>
                <w:sz w:val="20"/>
              </w:rPr>
            </w:pPr>
            <w:r>
              <w:rPr>
                <w:bCs/>
                <w:i/>
                <w:noProof/>
                <w:sz w:val="20"/>
              </w:rPr>
              <w:t>T1 2021</w:t>
            </w:r>
          </w:p>
          <w:p w:rsidR="00A1317E" w:rsidRDefault="00A1317E">
            <w:pPr>
              <w:spacing w:after="0"/>
              <w:rPr>
                <w:bCs/>
                <w:i/>
                <w:noProof/>
                <w:sz w:val="20"/>
              </w:rPr>
            </w:pPr>
          </w:p>
          <w:p w:rsidR="00A1317E" w:rsidRDefault="00A5267E">
            <w:pPr>
              <w:spacing w:after="0"/>
              <w:rPr>
                <w:bCs/>
                <w:noProof/>
                <w:sz w:val="20"/>
              </w:rPr>
            </w:pPr>
            <w:r>
              <w:rPr>
                <w:bCs/>
                <w:i/>
                <w:noProof/>
                <w:sz w:val="20"/>
              </w:rPr>
              <w:t>T1 2021</w:t>
            </w:r>
          </w:p>
        </w:tc>
      </w:tr>
      <w:tr w:rsidR="00A1317E">
        <w:trPr>
          <w:cantSplit/>
        </w:trPr>
        <w:tc>
          <w:tcPr>
            <w:tcW w:w="483" w:type="dxa"/>
            <w:tcBorders>
              <w:bottom w:val="single" w:sz="4" w:space="0" w:color="auto"/>
              <w:right w:val="single" w:sz="4" w:space="0" w:color="auto"/>
            </w:tcBorders>
          </w:tcPr>
          <w:p w:rsidR="00A1317E" w:rsidRDefault="00A5267E">
            <w:pPr>
              <w:numPr>
                <w:ilvl w:val="0"/>
                <w:numId w:val="18"/>
              </w:numPr>
              <w:spacing w:after="0"/>
              <w:ind w:left="426"/>
              <w:contextualSpacing/>
              <w:rPr>
                <w:noProof/>
                <w:sz w:val="20"/>
              </w:rPr>
            </w:pPr>
            <w:r>
              <w:rPr>
                <w:noProof/>
                <w:color w:val="FFFFFF"/>
                <w:sz w:val="20"/>
              </w:rPr>
              <w:t>.</w:t>
            </w: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noProof/>
                <w:sz w:val="20"/>
              </w:rPr>
            </w:pPr>
            <w:r>
              <w:rPr>
                <w:b/>
                <w:bCs/>
                <w:noProof/>
                <w:sz w:val="20"/>
              </w:rPr>
              <w:t xml:space="preserve">O </w:t>
            </w:r>
            <w:r>
              <w:rPr>
                <w:b/>
                <w:bCs/>
                <w:noProof/>
                <w:sz w:val="20"/>
              </w:rPr>
              <w:t>nouă strategie industrială pentru Europa</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sz w:val="20"/>
              </w:rPr>
            </w:pPr>
            <w:r>
              <w:rPr>
                <w:b/>
                <w:bCs/>
                <w:noProof/>
                <w:sz w:val="20"/>
              </w:rPr>
              <w:t>Strategia industrială</w:t>
            </w:r>
            <w:r>
              <w:rPr>
                <w:noProof/>
                <w:sz w:val="20"/>
              </w:rPr>
              <w:t xml:space="preserve"> (propunere fără caracter legislativ, T1 2020); </w:t>
            </w:r>
          </w:p>
          <w:p w:rsidR="00A1317E" w:rsidRDefault="00A5267E">
            <w:pPr>
              <w:spacing w:after="0"/>
              <w:jc w:val="left"/>
              <w:rPr>
                <w:b/>
                <w:bCs/>
                <w:noProof/>
                <w:sz w:val="20"/>
              </w:rPr>
            </w:pPr>
            <w:r>
              <w:rPr>
                <w:b/>
                <w:bCs/>
                <w:noProof/>
                <w:sz w:val="20"/>
              </w:rPr>
              <w:t>Raportul privind barierele în calea pieței unice</w:t>
            </w:r>
            <w:r>
              <w:rPr>
                <w:noProof/>
                <w:sz w:val="20"/>
              </w:rPr>
              <w:t xml:space="preserve"> (propunere fără caracter legislativ, T1 2020);</w:t>
            </w:r>
            <w:r>
              <w:rPr>
                <w:b/>
                <w:bCs/>
                <w:noProof/>
                <w:sz w:val="20"/>
              </w:rPr>
              <w:t xml:space="preserve"> </w:t>
            </w:r>
          </w:p>
          <w:p w:rsidR="00A1317E" w:rsidRDefault="00A5267E">
            <w:pPr>
              <w:spacing w:after="0"/>
              <w:jc w:val="left"/>
              <w:rPr>
                <w:noProof/>
                <w:sz w:val="20"/>
              </w:rPr>
            </w:pPr>
            <w:r>
              <w:rPr>
                <w:b/>
                <w:bCs/>
                <w:noProof/>
                <w:sz w:val="20"/>
              </w:rPr>
              <w:t xml:space="preserve">Planul de acțiune pentru asigurarea respectării </w:t>
            </w:r>
            <w:r>
              <w:rPr>
                <w:b/>
                <w:bCs/>
                <w:noProof/>
                <w:sz w:val="20"/>
              </w:rPr>
              <w:t>normelor privind piața unică</w:t>
            </w:r>
            <w:r>
              <w:rPr>
                <w:noProof/>
                <w:sz w:val="20"/>
              </w:rPr>
              <w:t xml:space="preserve"> (propunere fără caracter legislativ, T1 2020); </w:t>
            </w:r>
          </w:p>
          <w:p w:rsidR="00A1317E" w:rsidRDefault="00A5267E">
            <w:pPr>
              <w:spacing w:after="0"/>
              <w:jc w:val="left"/>
              <w:rPr>
                <w:noProof/>
                <w:sz w:val="20"/>
              </w:rPr>
            </w:pPr>
            <w:r>
              <w:rPr>
                <w:b/>
                <w:bCs/>
                <w:noProof/>
                <w:sz w:val="20"/>
              </w:rPr>
              <w:t>Strategia pentru IMM-uri</w:t>
            </w:r>
            <w:r>
              <w:rPr>
                <w:noProof/>
                <w:sz w:val="20"/>
              </w:rPr>
              <w:t xml:space="preserve"> (propunere fără caracter legislativ, T1 2020); </w:t>
            </w:r>
          </w:p>
          <w:p w:rsidR="00A1317E" w:rsidRDefault="00A5267E">
            <w:pPr>
              <w:spacing w:after="0"/>
              <w:jc w:val="left"/>
              <w:rPr>
                <w:noProof/>
                <w:sz w:val="20"/>
              </w:rPr>
            </w:pPr>
            <w:r>
              <w:rPr>
                <w:b/>
                <w:bCs/>
                <w:noProof/>
                <w:sz w:val="20"/>
              </w:rPr>
              <w:t>Cartea albă referitoare la un instrument privind subvențiile străine</w:t>
            </w:r>
            <w:r>
              <w:rPr>
                <w:noProof/>
                <w:sz w:val="20"/>
              </w:rPr>
              <w:t xml:space="preserve"> (propunere fără caracter legislativ, </w:t>
            </w:r>
            <w:r>
              <w:rPr>
                <w:noProof/>
                <w:sz w:val="20"/>
              </w:rPr>
              <w:t>T2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noProof/>
                <w:color w:val="000000"/>
                <w:sz w:val="20"/>
              </w:rPr>
            </w:pPr>
            <w:r>
              <w:rPr>
                <w:bCs/>
                <w:noProof/>
                <w:color w:val="000000"/>
                <w:sz w:val="20"/>
              </w:rPr>
              <w:t>adoptată</w:t>
            </w:r>
          </w:p>
          <w:p w:rsidR="00A1317E" w:rsidRDefault="00A5267E">
            <w:pPr>
              <w:spacing w:after="0"/>
              <w:jc w:val="left"/>
              <w:rPr>
                <w:bCs/>
                <w:noProof/>
                <w:sz w:val="20"/>
              </w:rPr>
            </w:pPr>
            <w:r>
              <w:rPr>
                <w:bCs/>
                <w:noProof/>
                <w:sz w:val="20"/>
              </w:rPr>
              <w:t>T2 2020</w:t>
            </w:r>
          </w:p>
        </w:tc>
      </w:tr>
      <w:tr w:rsidR="00A1317E">
        <w:trPr>
          <w:cantSplit/>
        </w:trPr>
        <w:tc>
          <w:tcPr>
            <w:tcW w:w="483" w:type="dxa"/>
            <w:tcBorders>
              <w:right w:val="single" w:sz="4" w:space="0" w:color="auto"/>
            </w:tcBorders>
            <w:shd w:val="clear" w:color="auto" w:fill="FFFFFF"/>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shd w:val="clear" w:color="auto" w:fill="FFFFFF"/>
            <w:tcMar>
              <w:top w:w="85" w:type="dxa"/>
              <w:bottom w:w="85" w:type="dxa"/>
            </w:tcMar>
          </w:tcPr>
          <w:p w:rsidR="00A1317E" w:rsidRDefault="00A5267E">
            <w:pPr>
              <w:spacing w:after="0"/>
              <w:rPr>
                <w:b/>
                <w:bCs/>
                <w:noProof/>
                <w:sz w:val="20"/>
              </w:rPr>
            </w:pPr>
            <w:r>
              <w:rPr>
                <w:b/>
                <w:bCs/>
                <w:noProof/>
                <w:sz w:val="20"/>
              </w:rPr>
              <w:t>Pachetul privind serviciile aeriene</w:t>
            </w:r>
          </w:p>
        </w:tc>
        <w:tc>
          <w:tcPr>
            <w:tcW w:w="9639" w:type="dxa"/>
            <w:tcBorders>
              <w:left w:val="single" w:sz="4" w:space="0" w:color="auto"/>
              <w:bottom w:val="single" w:sz="4" w:space="0" w:color="auto"/>
              <w:right w:val="single" w:sz="4" w:space="0" w:color="auto"/>
            </w:tcBorders>
            <w:shd w:val="clear" w:color="auto" w:fill="FFFFFF"/>
            <w:tcMar>
              <w:top w:w="85" w:type="dxa"/>
              <w:bottom w:w="85" w:type="dxa"/>
            </w:tcMar>
          </w:tcPr>
          <w:p w:rsidR="00A1317E" w:rsidRDefault="00A5267E">
            <w:pPr>
              <w:spacing w:after="0"/>
              <w:jc w:val="left"/>
              <w:rPr>
                <w:noProof/>
                <w:spacing w:val="-2"/>
                <w:sz w:val="20"/>
              </w:rPr>
            </w:pPr>
            <w:r>
              <w:rPr>
                <w:b/>
                <w:bCs/>
                <w:noProof/>
                <w:spacing w:val="-2"/>
                <w:sz w:val="20"/>
              </w:rPr>
              <w:t>Revizuirea tarifelor de aeroport</w:t>
            </w:r>
            <w:r>
              <w:rPr>
                <w:noProof/>
                <w:spacing w:val="-2"/>
                <w:sz w:val="20"/>
              </w:rPr>
              <w:t xml:space="preserve"> [propunere legislativă care include o evaluare a impactului, articolul 100 alineatul (2) din TFUE, T4 2020] </w:t>
            </w:r>
          </w:p>
          <w:p w:rsidR="00A1317E" w:rsidRDefault="00A5267E">
            <w:pPr>
              <w:spacing w:after="0"/>
              <w:jc w:val="left"/>
              <w:rPr>
                <w:noProof/>
                <w:sz w:val="20"/>
              </w:rPr>
            </w:pPr>
            <w:r>
              <w:rPr>
                <w:b/>
                <w:bCs/>
                <w:noProof/>
                <w:sz w:val="20"/>
              </w:rPr>
              <w:t xml:space="preserve">Revizuirea furnizării </w:t>
            </w:r>
            <w:r>
              <w:rPr>
                <w:b/>
                <w:bCs/>
                <w:noProof/>
                <w:sz w:val="20"/>
              </w:rPr>
              <w:t>de servicii aeriene</w:t>
            </w:r>
            <w:r>
              <w:rPr>
                <w:noProof/>
                <w:sz w:val="20"/>
              </w:rPr>
              <w:t xml:space="preserve"> [propunere legislativă care include o evaluare a impactului, articolul 100 alineatul (2) din TFUE, T4 2020]</w:t>
            </w:r>
          </w:p>
        </w:tc>
        <w:tc>
          <w:tcPr>
            <w:tcW w:w="1134" w:type="dxa"/>
            <w:tcBorders>
              <w:left w:val="single" w:sz="4" w:space="0" w:color="auto"/>
              <w:bottom w:val="single" w:sz="4" w:space="0" w:color="auto"/>
              <w:right w:val="single" w:sz="4" w:space="0" w:color="auto"/>
            </w:tcBorders>
            <w:shd w:val="clear" w:color="auto" w:fill="FFFFFF"/>
          </w:tcPr>
          <w:p w:rsidR="00A1317E" w:rsidRDefault="00A5267E">
            <w:pPr>
              <w:spacing w:after="0"/>
              <w:jc w:val="left"/>
              <w:rPr>
                <w:bCs/>
                <w:noProof/>
                <w:sz w:val="20"/>
              </w:rPr>
            </w:pPr>
            <w:r>
              <w:rPr>
                <w:bCs/>
                <w:noProof/>
                <w:sz w:val="20"/>
              </w:rPr>
              <w:t>T4 2020</w:t>
            </w:r>
          </w:p>
          <w:p w:rsidR="00A1317E" w:rsidRDefault="00A5267E">
            <w:pPr>
              <w:spacing w:after="0"/>
              <w:jc w:val="left"/>
              <w:rPr>
                <w:bCs/>
                <w:noProof/>
                <w:sz w:val="20"/>
              </w:rPr>
            </w:pP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Către un spațiu european de cercetare</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b/>
                <w:bCs/>
                <w:noProof/>
                <w:sz w:val="20"/>
              </w:rPr>
            </w:pPr>
            <w:r>
              <w:rPr>
                <w:b/>
                <w:bCs/>
                <w:noProof/>
                <w:sz w:val="20"/>
              </w:rPr>
              <w:t xml:space="preserve">Comunicarea privind viitorul cercetării și inovării și Spațiul european </w:t>
            </w:r>
            <w:r>
              <w:rPr>
                <w:b/>
                <w:bCs/>
                <w:noProof/>
                <w:sz w:val="20"/>
              </w:rPr>
              <w:t>de cercetare</w:t>
            </w:r>
            <w:r>
              <w:rPr>
                <w:noProof/>
                <w:sz w:val="20"/>
              </w:rPr>
              <w:t xml:space="preserve"> (propunere fără caracter legislativ, T2 2020);</w:t>
            </w:r>
            <w:r>
              <w:rPr>
                <w:b/>
                <w:bCs/>
                <w:noProof/>
                <w:sz w:val="20"/>
              </w:rPr>
              <w:t xml:space="preserve"> </w:t>
            </w:r>
          </w:p>
          <w:p w:rsidR="00A1317E" w:rsidRDefault="00A5267E">
            <w:pPr>
              <w:spacing w:after="0"/>
              <w:jc w:val="left"/>
              <w:rPr>
                <w:noProof/>
                <w:sz w:val="20"/>
              </w:rPr>
            </w:pPr>
            <w:r>
              <w:rPr>
                <w:b/>
                <w:bCs/>
                <w:noProof/>
                <w:sz w:val="20"/>
              </w:rPr>
              <w:t>Comunicare privind misiunile de cercetare și inovare în cadrul programului Orizont Europa</w:t>
            </w:r>
            <w:r>
              <w:rPr>
                <w:noProof/>
                <w:sz w:val="20"/>
              </w:rPr>
              <w:t xml:space="preserve"> (propunere fără caracter legislativ, T4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i/>
                <w:noProof/>
                <w:sz w:val="20"/>
              </w:rPr>
            </w:pPr>
            <w:r>
              <w:rPr>
                <w:bCs/>
                <w:i/>
                <w:noProof/>
                <w:sz w:val="20"/>
              </w:rPr>
              <w:t>T3 2020</w:t>
            </w:r>
          </w:p>
          <w:p w:rsidR="00A1317E" w:rsidRDefault="00A1317E">
            <w:pPr>
              <w:spacing w:after="0"/>
              <w:jc w:val="left"/>
              <w:rPr>
                <w:bCs/>
                <w:noProof/>
                <w:sz w:val="20"/>
              </w:rPr>
            </w:pPr>
          </w:p>
          <w:p w:rsidR="00A1317E" w:rsidRDefault="00A5267E">
            <w:pPr>
              <w:spacing w:after="0"/>
              <w:jc w:val="left"/>
              <w:rPr>
                <w:bCs/>
                <w:noProof/>
                <w:sz w:val="20"/>
              </w:rPr>
            </w:pP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Finanțe digitale</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noProof/>
                <w:sz w:val="20"/>
              </w:rPr>
            </w:pPr>
            <w:r>
              <w:rPr>
                <w:b/>
                <w:bCs/>
                <w:noProof/>
                <w:sz w:val="20"/>
              </w:rPr>
              <w:t xml:space="preserve">Planul de acțiune </w:t>
            </w:r>
            <w:r>
              <w:rPr>
                <w:b/>
                <w:bCs/>
                <w:noProof/>
                <w:sz w:val="20"/>
              </w:rPr>
              <w:t>privind FinTech, inclusiv Strategia privind o piață europeană integrată a plăților</w:t>
            </w:r>
            <w:r>
              <w:rPr>
                <w:noProof/>
                <w:sz w:val="20"/>
              </w:rPr>
              <w:t xml:space="preserve"> (propunere fără caracter legislativ, T3 2020);</w:t>
            </w:r>
            <w:r>
              <w:rPr>
                <w:noProof/>
              </w:rPr>
              <w:t xml:space="preserve"> </w:t>
            </w:r>
            <w:r>
              <w:rPr>
                <w:noProof/>
              </w:rPr>
              <w:br/>
            </w:r>
            <w:r>
              <w:rPr>
                <w:b/>
                <w:bCs/>
                <w:noProof/>
                <w:sz w:val="20"/>
              </w:rPr>
              <w:t>Propunere privind criptoactivele</w:t>
            </w:r>
            <w:r>
              <w:rPr>
                <w:noProof/>
                <w:sz w:val="20"/>
              </w:rPr>
              <w:t xml:space="preserve"> (propunere legislativă care include o evaluare a impactului, articolul 114 alineatul din TFUE, T3 2020); </w:t>
            </w:r>
          </w:p>
          <w:p w:rsidR="00A1317E" w:rsidRDefault="00A5267E">
            <w:pPr>
              <w:spacing w:after="0"/>
              <w:jc w:val="left"/>
              <w:rPr>
                <w:noProof/>
                <w:sz w:val="20"/>
              </w:rPr>
            </w:pPr>
            <w:r>
              <w:rPr>
                <w:b/>
                <w:bCs/>
                <w:noProof/>
                <w:sz w:val="20"/>
              </w:rPr>
              <w:t>Actul legislativ privind furnizarea de servicii financiare transsectoriale referitor la reziliența operațională și cibernetică</w:t>
            </w:r>
            <w:r>
              <w:rPr>
                <w:noProof/>
                <w:sz w:val="20"/>
              </w:rPr>
              <w:t xml:space="preserve"> (propunere legislativă</w:t>
            </w:r>
            <w:r>
              <w:rPr>
                <w:noProof/>
                <w:sz w:val="20"/>
              </w:rPr>
              <w:t xml:space="preserve"> care include o evaluare a impactului, articolul 114 din TFUE, T3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noProof/>
                <w:sz w:val="20"/>
              </w:rPr>
              <w:t>T3 2020</w:t>
            </w:r>
          </w:p>
          <w:p w:rsidR="00A1317E" w:rsidRDefault="00A5267E">
            <w:pPr>
              <w:spacing w:after="0"/>
              <w:jc w:val="left"/>
              <w:rPr>
                <w:bCs/>
                <w:noProof/>
                <w:sz w:val="20"/>
              </w:rPr>
            </w:pPr>
            <w:r>
              <w:rPr>
                <w:bCs/>
                <w:noProof/>
                <w:sz w:val="20"/>
              </w:rPr>
              <w:t>T3 2020</w:t>
            </w:r>
          </w:p>
          <w:p w:rsidR="00A1317E" w:rsidRDefault="00A5267E">
            <w:pPr>
              <w:spacing w:after="0"/>
              <w:jc w:val="left"/>
              <w:rPr>
                <w:bCs/>
                <w:noProof/>
                <w:sz w:val="20"/>
              </w:rPr>
            </w:pPr>
            <w:r>
              <w:rPr>
                <w:bCs/>
                <w:noProof/>
                <w:sz w:val="20"/>
              </w:rPr>
              <w:t>T3 2020</w:t>
            </w:r>
          </w:p>
        </w:tc>
      </w:tr>
      <w:tr w:rsidR="00A1317E">
        <w:trPr>
          <w:cantSplit/>
        </w:trPr>
        <w:tc>
          <w:tcPr>
            <w:tcW w:w="15083" w:type="dxa"/>
            <w:gridSpan w:val="4"/>
            <w:tcBorders>
              <w:bottom w:val="single" w:sz="4" w:space="0" w:color="auto"/>
            </w:tcBorders>
            <w:shd w:val="clear" w:color="auto" w:fill="F68A42"/>
          </w:tcPr>
          <w:p w:rsidR="00A1317E" w:rsidRDefault="00A5267E">
            <w:pPr>
              <w:keepNext/>
              <w:spacing w:before="60" w:after="60"/>
              <w:rPr>
                <w:b/>
                <w:bCs/>
                <w:noProof/>
                <w:color w:val="FFFFFF"/>
                <w:sz w:val="20"/>
              </w:rPr>
            </w:pPr>
            <w:r>
              <w:rPr>
                <w:b/>
                <w:bCs/>
                <w:noProof/>
                <w:color w:val="FFFFFF"/>
                <w:sz w:val="20"/>
              </w:rPr>
              <w:t>O economie în serviciul cetățenilor</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color w:val="FFFFF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Europa socială</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jc w:val="left"/>
              <w:rPr>
                <w:b/>
                <w:bCs/>
                <w:noProof/>
                <w:sz w:val="20"/>
              </w:rPr>
            </w:pPr>
            <w:r>
              <w:rPr>
                <w:b/>
                <w:bCs/>
                <w:noProof/>
                <w:sz w:val="20"/>
              </w:rPr>
              <w:t>O Europă socială puternică ce asigură o tranziție justă</w:t>
            </w:r>
            <w:r>
              <w:rPr>
                <w:noProof/>
                <w:sz w:val="20"/>
              </w:rPr>
              <w:t xml:space="preserve"> (propunere fără caracter legislativ, T1 2020); </w:t>
            </w:r>
            <w:r>
              <w:rPr>
                <w:noProof/>
              </w:rPr>
              <w:br/>
            </w:r>
            <w:r>
              <w:rPr>
                <w:b/>
                <w:bCs/>
                <w:noProof/>
                <w:sz w:val="20"/>
              </w:rPr>
              <w:t>Salarii minime echitabile pentru lucrătorii din UE</w:t>
            </w:r>
            <w:r>
              <w:rPr>
                <w:noProof/>
                <w:sz w:val="20"/>
              </w:rPr>
              <w:t xml:space="preserve"> [articolul 153 alineatul (1) litera (b), articolul 153 alineatul (2) și articolul 154 din TFUE, T1/T3 2020];</w:t>
            </w:r>
            <w:r>
              <w:rPr>
                <w:noProof/>
              </w:rPr>
              <w:t xml:space="preserve"> </w:t>
            </w:r>
            <w:r>
              <w:rPr>
                <w:noProof/>
              </w:rPr>
              <w:br/>
            </w:r>
            <w:r>
              <w:rPr>
                <w:b/>
                <w:bCs/>
                <w:noProof/>
                <w:sz w:val="20"/>
              </w:rPr>
              <w:t>Consolidarea Garanției pentru tineret</w:t>
            </w:r>
            <w:r>
              <w:rPr>
                <w:noProof/>
                <w:sz w:val="20"/>
              </w:rPr>
              <w:t xml:space="preserve"> (propunere fără caracter legislativ, T2 2020);</w:t>
            </w:r>
            <w:r>
              <w:rPr>
                <w:noProof/>
              </w:rPr>
              <w:t xml:space="preserve"> </w:t>
            </w:r>
            <w:r>
              <w:rPr>
                <w:noProof/>
              </w:rPr>
              <w:br/>
            </w:r>
            <w:r>
              <w:rPr>
                <w:b/>
                <w:bCs/>
                <w:noProof/>
                <w:sz w:val="20"/>
              </w:rPr>
              <w:t xml:space="preserve">Sistemul </w:t>
            </w:r>
            <w:r>
              <w:rPr>
                <w:b/>
                <w:bCs/>
                <w:noProof/>
                <w:sz w:val="20"/>
              </w:rPr>
              <w:t>european de reasigurare pentru indemnizațiile de șomaj</w:t>
            </w:r>
            <w:r>
              <w:rPr>
                <w:noProof/>
                <w:sz w:val="20"/>
              </w:rPr>
              <w:t xml:space="preserve"> (propunere legislativă care include o evaluare a impactului, T4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noProof/>
                <w:sz w:val="20"/>
              </w:rPr>
              <w:t>adoptată</w:t>
            </w:r>
          </w:p>
          <w:p w:rsidR="00A1317E" w:rsidRDefault="00A5267E">
            <w:pPr>
              <w:spacing w:after="0"/>
              <w:jc w:val="left"/>
              <w:rPr>
                <w:bCs/>
                <w:i/>
                <w:noProof/>
                <w:sz w:val="18"/>
                <w:szCs w:val="18"/>
              </w:rPr>
            </w:pPr>
            <w:r>
              <w:rPr>
                <w:bCs/>
                <w:noProof/>
                <w:sz w:val="18"/>
                <w:szCs w:val="18"/>
              </w:rPr>
              <w:t>T1/</w:t>
            </w:r>
            <w:r>
              <w:rPr>
                <w:bCs/>
                <w:i/>
                <w:noProof/>
                <w:sz w:val="18"/>
                <w:szCs w:val="18"/>
              </w:rPr>
              <w:t xml:space="preserve">T4 </w:t>
            </w:r>
            <w:r>
              <w:rPr>
                <w:bCs/>
                <w:noProof/>
                <w:sz w:val="18"/>
                <w:szCs w:val="18"/>
              </w:rPr>
              <w:t>2020</w:t>
            </w:r>
          </w:p>
          <w:p w:rsidR="00A1317E" w:rsidRDefault="00A1317E">
            <w:pPr>
              <w:spacing w:after="0"/>
              <w:jc w:val="left"/>
              <w:rPr>
                <w:bCs/>
                <w:noProof/>
                <w:sz w:val="4"/>
                <w:szCs w:val="4"/>
              </w:rPr>
            </w:pPr>
          </w:p>
          <w:p w:rsidR="00A1317E" w:rsidRDefault="00A5267E">
            <w:pPr>
              <w:spacing w:after="0"/>
              <w:jc w:val="left"/>
              <w:rPr>
                <w:bCs/>
                <w:noProof/>
                <w:sz w:val="20"/>
              </w:rPr>
            </w:pPr>
            <w:r>
              <w:rPr>
                <w:bCs/>
                <w:noProof/>
                <w:sz w:val="20"/>
              </w:rPr>
              <w:t>T2 2020</w:t>
            </w:r>
          </w:p>
          <w:p w:rsidR="00A1317E" w:rsidRDefault="00A5267E">
            <w:pPr>
              <w:spacing w:after="0"/>
              <w:jc w:val="left"/>
              <w:rPr>
                <w:bCs/>
                <w:noProof/>
                <w:sz w:val="20"/>
              </w:rPr>
            </w:pPr>
            <w:r>
              <w:rPr>
                <w:bCs/>
                <w:noProof/>
                <w:sz w:val="20"/>
              </w:rPr>
              <w:t>instrument temporar adoptat</w:t>
            </w:r>
          </w:p>
        </w:tc>
      </w:tr>
      <w:tr w:rsidR="00A1317E">
        <w:trPr>
          <w:cantSplit/>
        </w:trPr>
        <w:tc>
          <w:tcPr>
            <w:tcW w:w="483" w:type="dxa"/>
            <w:tcBorders>
              <w:bottom w:val="single" w:sz="4" w:space="0" w:color="auto"/>
              <w:right w:val="single" w:sz="4" w:space="0" w:color="auto"/>
            </w:tcBorders>
            <w:shd w:val="clear" w:color="auto" w:fill="FFFFFF"/>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shd w:val="clear" w:color="auto" w:fill="FFFFFF"/>
            <w:tcMar>
              <w:top w:w="85" w:type="dxa"/>
              <w:bottom w:w="85" w:type="dxa"/>
            </w:tcMar>
          </w:tcPr>
          <w:p w:rsidR="00A1317E" w:rsidRDefault="00A5267E">
            <w:pPr>
              <w:spacing w:after="0"/>
              <w:rPr>
                <w:b/>
                <w:bCs/>
                <w:noProof/>
                <w:color w:val="000000"/>
                <w:sz w:val="20"/>
              </w:rPr>
            </w:pPr>
            <w:r>
              <w:rPr>
                <w:b/>
                <w:bCs/>
                <w:noProof/>
                <w:sz w:val="20"/>
              </w:rPr>
              <w:t>Guvernanța economică</w:t>
            </w:r>
          </w:p>
        </w:tc>
        <w:tc>
          <w:tcPr>
            <w:tcW w:w="9639" w:type="dxa"/>
            <w:tcBorders>
              <w:bottom w:val="single" w:sz="4" w:space="0" w:color="auto"/>
            </w:tcBorders>
            <w:shd w:val="clear" w:color="auto" w:fill="auto"/>
            <w:tcMar>
              <w:top w:w="85" w:type="dxa"/>
              <w:bottom w:w="85" w:type="dxa"/>
            </w:tcMar>
          </w:tcPr>
          <w:p w:rsidR="00A1317E" w:rsidRDefault="00A5267E">
            <w:pPr>
              <w:spacing w:after="0"/>
              <w:rPr>
                <w:b/>
                <w:bCs/>
                <w:noProof/>
                <w:sz w:val="20"/>
              </w:rPr>
            </w:pPr>
            <w:r>
              <w:rPr>
                <w:b/>
                <w:bCs/>
                <w:noProof/>
                <w:sz w:val="20"/>
              </w:rPr>
              <w:t>Revizuirea cadrului de guvernanță economică</w:t>
            </w:r>
            <w:r>
              <w:rPr>
                <w:noProof/>
                <w:sz w:val="20"/>
              </w:rPr>
              <w:t xml:space="preserve"> (propunere fără caracter legislativ, T1 2020)</w:t>
            </w:r>
          </w:p>
        </w:tc>
        <w:tc>
          <w:tcPr>
            <w:tcW w:w="1134" w:type="dxa"/>
            <w:tcBorders>
              <w:bottom w:val="single" w:sz="4" w:space="0" w:color="auto"/>
            </w:tcBorders>
          </w:tcPr>
          <w:p w:rsidR="00A1317E" w:rsidRDefault="00A5267E">
            <w:pPr>
              <w:spacing w:after="0"/>
              <w:rPr>
                <w:bCs/>
                <w:noProof/>
                <w:sz w:val="20"/>
              </w:rPr>
            </w:pPr>
            <w:r>
              <w:rPr>
                <w:bCs/>
                <w:noProof/>
                <w:sz w:val="20"/>
              </w:rPr>
              <w:t>adoptată</w:t>
            </w:r>
          </w:p>
        </w:tc>
      </w:tr>
      <w:tr w:rsidR="00A1317E">
        <w:trPr>
          <w:cantSplit/>
        </w:trPr>
        <w:tc>
          <w:tcPr>
            <w:tcW w:w="483" w:type="dxa"/>
            <w:tcBorders>
              <w:bottom w:val="single" w:sz="4" w:space="0" w:color="auto"/>
              <w:right w:val="single" w:sz="4" w:space="0" w:color="auto"/>
            </w:tcBorders>
            <w:shd w:val="clear" w:color="auto" w:fill="FFFFFF"/>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shd w:val="clear" w:color="auto" w:fill="FFFFFF"/>
            <w:tcMar>
              <w:top w:w="85" w:type="dxa"/>
              <w:bottom w:w="85" w:type="dxa"/>
            </w:tcMar>
          </w:tcPr>
          <w:p w:rsidR="00A1317E" w:rsidRDefault="00A5267E">
            <w:pPr>
              <w:spacing w:after="0"/>
              <w:rPr>
                <w:b/>
                <w:bCs/>
                <w:noProof/>
                <w:sz w:val="20"/>
              </w:rPr>
            </w:pPr>
            <w:r>
              <w:rPr>
                <w:b/>
                <w:bCs/>
                <w:noProof/>
                <w:sz w:val="20"/>
              </w:rPr>
              <w:t>Aprofundarea uniunii piețelor de capital</w:t>
            </w:r>
          </w:p>
        </w:tc>
        <w:tc>
          <w:tcPr>
            <w:tcW w:w="9639" w:type="dxa"/>
            <w:tcBorders>
              <w:left w:val="single" w:sz="4" w:space="0" w:color="auto"/>
              <w:bottom w:val="single" w:sz="4" w:space="0" w:color="auto"/>
              <w:right w:val="single" w:sz="4" w:space="0" w:color="auto"/>
            </w:tcBorders>
            <w:shd w:val="clear" w:color="auto" w:fill="auto"/>
            <w:tcMar>
              <w:top w:w="85" w:type="dxa"/>
              <w:bottom w:w="85" w:type="dxa"/>
            </w:tcMar>
          </w:tcPr>
          <w:p w:rsidR="00A1317E" w:rsidRDefault="00A5267E">
            <w:pPr>
              <w:spacing w:after="0"/>
              <w:jc w:val="left"/>
              <w:rPr>
                <w:noProof/>
                <w:sz w:val="20"/>
              </w:rPr>
            </w:pPr>
            <w:r>
              <w:rPr>
                <w:b/>
                <w:bCs/>
                <w:noProof/>
                <w:sz w:val="20"/>
              </w:rPr>
              <w:t>Planul de acțiune privind uniunea piețelor de capital</w:t>
            </w:r>
            <w:r>
              <w:rPr>
                <w:noProof/>
                <w:sz w:val="20"/>
              </w:rPr>
              <w:t xml:space="preserve"> (propunere fără caracter legislativ, T3 2020); </w:t>
            </w:r>
          </w:p>
          <w:p w:rsidR="00A1317E" w:rsidRDefault="00A5267E">
            <w:pPr>
              <w:spacing w:after="0"/>
              <w:jc w:val="left"/>
              <w:rPr>
                <w:noProof/>
                <w:sz w:val="20"/>
              </w:rPr>
            </w:pPr>
            <w:r>
              <w:rPr>
                <w:b/>
                <w:bCs/>
                <w:noProof/>
                <w:sz w:val="20"/>
              </w:rPr>
              <w:t xml:space="preserve">Revizuirea cadrului de reglementare pentru firmele de investiții și operatorii de piață (MiFID II și MiFIR), </w:t>
            </w:r>
            <w:r>
              <w:rPr>
                <w:noProof/>
                <w:sz w:val="20"/>
              </w:rPr>
              <w:t xml:space="preserve">[propunere legislativă care include o evaluare a impactului, articolul 53 alineatul (1) și articolul 114 alineatul (1) din TFUE, T3 2020]; </w:t>
            </w:r>
          </w:p>
          <w:p w:rsidR="00A1317E" w:rsidRDefault="00A5267E">
            <w:pPr>
              <w:spacing w:after="0"/>
              <w:jc w:val="left"/>
              <w:rPr>
                <w:noProof/>
                <w:sz w:val="20"/>
              </w:rPr>
            </w:pPr>
            <w:r>
              <w:rPr>
                <w:b/>
                <w:bCs/>
                <w:noProof/>
                <w:sz w:val="20"/>
              </w:rPr>
              <w:t>Revizui</w:t>
            </w:r>
            <w:r>
              <w:rPr>
                <w:b/>
                <w:bCs/>
                <w:noProof/>
                <w:sz w:val="20"/>
              </w:rPr>
              <w:t>rea Regulamentului privind indicii de referință</w:t>
            </w:r>
            <w:r>
              <w:rPr>
                <w:noProof/>
                <w:sz w:val="20"/>
              </w:rPr>
              <w:t xml:space="preserve"> [propunere legislativă care include o evaluare a impactului, articolul 114 alineatul (1) din TFUE, T3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noProof/>
                <w:sz w:val="20"/>
              </w:rPr>
              <w:t>T4 2020</w:t>
            </w:r>
          </w:p>
          <w:p w:rsidR="00A1317E" w:rsidRDefault="00A5267E">
            <w:pPr>
              <w:spacing w:after="0"/>
              <w:jc w:val="left"/>
              <w:rPr>
                <w:bCs/>
                <w:noProof/>
                <w:sz w:val="20"/>
              </w:rPr>
            </w:pPr>
            <w:r>
              <w:rPr>
                <w:bCs/>
                <w:noProof/>
                <w:sz w:val="20"/>
              </w:rPr>
              <w:t>T3 2020</w:t>
            </w:r>
          </w:p>
          <w:p w:rsidR="00A1317E" w:rsidRDefault="00A1317E">
            <w:pPr>
              <w:spacing w:after="0"/>
              <w:jc w:val="left"/>
              <w:rPr>
                <w:bCs/>
                <w:noProof/>
                <w:sz w:val="20"/>
              </w:rPr>
            </w:pPr>
          </w:p>
          <w:p w:rsidR="00A1317E" w:rsidRDefault="00A1317E">
            <w:pPr>
              <w:spacing w:after="0"/>
              <w:jc w:val="left"/>
              <w:rPr>
                <w:bCs/>
                <w:noProof/>
                <w:sz w:val="20"/>
              </w:rPr>
            </w:pPr>
          </w:p>
          <w:p w:rsidR="00A1317E" w:rsidRDefault="00A5267E">
            <w:pPr>
              <w:spacing w:after="0"/>
              <w:jc w:val="left"/>
              <w:rPr>
                <w:bCs/>
                <w:noProof/>
                <w:sz w:val="20"/>
              </w:rPr>
            </w:pPr>
            <w:r>
              <w:rPr>
                <w:bCs/>
                <w:noProof/>
                <w:sz w:val="20"/>
              </w:rPr>
              <w:t>T3 2020</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b/>
                <w:bCs/>
                <w:noProof/>
                <w:color w:val="000000"/>
                <w:sz w:val="20"/>
              </w:rPr>
            </w:pPr>
            <w:r>
              <w:rPr>
                <w:b/>
                <w:bCs/>
                <w:noProof/>
                <w:sz w:val="20"/>
              </w:rPr>
              <w:t>Finalizarea uniunii bancare</w:t>
            </w:r>
          </w:p>
        </w:tc>
        <w:tc>
          <w:tcPr>
            <w:tcW w:w="9639" w:type="dxa"/>
            <w:tcMar>
              <w:top w:w="85" w:type="dxa"/>
              <w:bottom w:w="85" w:type="dxa"/>
            </w:tcMar>
          </w:tcPr>
          <w:p w:rsidR="00A1317E" w:rsidRDefault="00A5267E">
            <w:pPr>
              <w:spacing w:after="0"/>
              <w:jc w:val="left"/>
              <w:rPr>
                <w:noProof/>
                <w:sz w:val="20"/>
              </w:rPr>
            </w:pPr>
            <w:r>
              <w:rPr>
                <w:b/>
                <w:bCs/>
                <w:noProof/>
                <w:sz w:val="20"/>
              </w:rPr>
              <w:t xml:space="preserve">Planul de acțiune privind combaterea </w:t>
            </w:r>
            <w:r>
              <w:rPr>
                <w:b/>
                <w:bCs/>
                <w:noProof/>
                <w:sz w:val="20"/>
              </w:rPr>
              <w:t>spălării banilor</w:t>
            </w:r>
            <w:r>
              <w:rPr>
                <w:noProof/>
                <w:sz w:val="20"/>
              </w:rPr>
              <w:t xml:space="preserve"> (propunere fără caracter legislativ, T1 2020); </w:t>
            </w:r>
          </w:p>
          <w:p w:rsidR="00A1317E" w:rsidRDefault="00A5267E">
            <w:pPr>
              <w:spacing w:after="0"/>
              <w:jc w:val="left"/>
              <w:rPr>
                <w:noProof/>
                <w:sz w:val="20"/>
              </w:rPr>
            </w:pPr>
            <w:r>
              <w:rPr>
                <w:b/>
                <w:bCs/>
                <w:noProof/>
                <w:sz w:val="20"/>
              </w:rPr>
              <w:t>Revizuirea legislației privind cerințele de capital</w:t>
            </w:r>
            <w:r>
              <w:rPr>
                <w:noProof/>
                <w:sz w:val="20"/>
              </w:rPr>
              <w:t xml:space="preserve"> [propunere legislativă, include o evaluare a impactului, articolul 114 din TFUE (CRR) și articolul 53 din TFUE (CRD), T2 2020]</w:t>
            </w:r>
          </w:p>
        </w:tc>
        <w:tc>
          <w:tcPr>
            <w:tcW w:w="1134" w:type="dxa"/>
          </w:tcPr>
          <w:p w:rsidR="00A1317E" w:rsidRDefault="00A5267E">
            <w:pPr>
              <w:spacing w:after="0"/>
              <w:jc w:val="left"/>
              <w:rPr>
                <w:bCs/>
                <w:noProof/>
                <w:sz w:val="20"/>
              </w:rPr>
            </w:pPr>
            <w:r>
              <w:rPr>
                <w:bCs/>
                <w:noProof/>
                <w:sz w:val="20"/>
              </w:rPr>
              <w:t>adoptată</w:t>
            </w:r>
          </w:p>
          <w:p w:rsidR="00A1317E" w:rsidRDefault="00A5267E">
            <w:pPr>
              <w:spacing w:after="0"/>
              <w:jc w:val="left"/>
              <w:rPr>
                <w:bCs/>
                <w:i/>
                <w:noProof/>
                <w:sz w:val="20"/>
              </w:rPr>
            </w:pPr>
            <w:r>
              <w:rPr>
                <w:bCs/>
                <w:i/>
                <w:noProof/>
                <w:sz w:val="20"/>
              </w:rPr>
              <w:t xml:space="preserve">T4 </w:t>
            </w:r>
            <w:r>
              <w:rPr>
                <w:bCs/>
                <w:i/>
                <w:noProof/>
                <w:sz w:val="20"/>
              </w:rPr>
              <w:t>2020</w:t>
            </w:r>
          </w:p>
          <w:p w:rsidR="00A1317E" w:rsidRDefault="00A1317E">
            <w:pPr>
              <w:spacing w:after="0"/>
              <w:jc w:val="left"/>
              <w:rPr>
                <w:bCs/>
                <w:noProof/>
                <w:sz w:val="20"/>
              </w:rPr>
            </w:pPr>
          </w:p>
        </w:tc>
      </w:tr>
      <w:tr w:rsidR="00A1317E">
        <w:trPr>
          <w:cantSplit/>
        </w:trPr>
        <w:tc>
          <w:tcPr>
            <w:tcW w:w="483" w:type="dxa"/>
            <w:tcBorders>
              <w:right w:val="single" w:sz="4" w:space="0" w:color="auto"/>
            </w:tcBorders>
            <w:shd w:val="clear" w:color="auto" w:fill="FFFFFF"/>
          </w:tcPr>
          <w:p w:rsidR="00A1317E" w:rsidRDefault="00A1317E">
            <w:pPr>
              <w:numPr>
                <w:ilvl w:val="0"/>
                <w:numId w:val="18"/>
              </w:numPr>
              <w:spacing w:after="0"/>
              <w:ind w:left="426"/>
              <w:contextualSpacing/>
              <w:rPr>
                <w:noProof/>
                <w:sz w:val="20"/>
              </w:rPr>
            </w:pPr>
          </w:p>
        </w:tc>
        <w:tc>
          <w:tcPr>
            <w:tcW w:w="3827" w:type="dxa"/>
            <w:tcBorders>
              <w:left w:val="single" w:sz="4" w:space="0" w:color="auto"/>
            </w:tcBorders>
            <w:shd w:val="clear" w:color="auto" w:fill="FFFFFF"/>
            <w:tcMar>
              <w:top w:w="85" w:type="dxa"/>
              <w:bottom w:w="85" w:type="dxa"/>
            </w:tcMar>
          </w:tcPr>
          <w:p w:rsidR="00A1317E" w:rsidRDefault="00A5267E">
            <w:pPr>
              <w:spacing w:after="0"/>
              <w:rPr>
                <w:b/>
                <w:bCs/>
                <w:noProof/>
                <w:color w:val="000000"/>
                <w:sz w:val="20"/>
              </w:rPr>
            </w:pPr>
            <w:r>
              <w:rPr>
                <w:b/>
                <w:bCs/>
                <w:noProof/>
                <w:sz w:val="20"/>
              </w:rPr>
              <w:t>Impozitarea eficace:</w:t>
            </w:r>
          </w:p>
        </w:tc>
        <w:tc>
          <w:tcPr>
            <w:tcW w:w="9639" w:type="dxa"/>
            <w:shd w:val="clear" w:color="auto" w:fill="FFFFFF"/>
            <w:tcMar>
              <w:top w:w="85" w:type="dxa"/>
              <w:bottom w:w="85" w:type="dxa"/>
            </w:tcMar>
          </w:tcPr>
          <w:p w:rsidR="00A1317E" w:rsidRDefault="00A5267E">
            <w:pPr>
              <w:autoSpaceDE w:val="0"/>
              <w:autoSpaceDN w:val="0"/>
              <w:adjustRightInd w:val="0"/>
              <w:spacing w:after="0"/>
              <w:jc w:val="left"/>
              <w:rPr>
                <w:b/>
                <w:bCs/>
                <w:noProof/>
                <w:color w:val="000000"/>
                <w:sz w:val="20"/>
              </w:rPr>
            </w:pPr>
            <w:r>
              <w:rPr>
                <w:b/>
                <w:bCs/>
                <w:noProof/>
                <w:color w:val="000000"/>
                <w:sz w:val="20"/>
              </w:rPr>
              <w:t>O</w:t>
            </w:r>
            <w:r>
              <w:rPr>
                <w:noProof/>
                <w:color w:val="000000"/>
                <w:sz w:val="20"/>
              </w:rPr>
              <w:t xml:space="preserve"> </w:t>
            </w:r>
            <w:r>
              <w:rPr>
                <w:b/>
                <w:bCs/>
                <w:noProof/>
                <w:color w:val="000000"/>
                <w:sz w:val="20"/>
              </w:rPr>
              <w:t>impozitare a întreprinderilor adaptată secolului 21</w:t>
            </w:r>
            <w:r>
              <w:rPr>
                <w:noProof/>
                <w:color w:val="000000"/>
                <w:sz w:val="20"/>
              </w:rPr>
              <w:t xml:space="preserve"> (propunere fără caracter legislativ, T2 2020);</w:t>
            </w:r>
            <w:r>
              <w:rPr>
                <w:b/>
                <w:bCs/>
                <w:noProof/>
                <w:color w:val="000000"/>
                <w:sz w:val="20"/>
              </w:rPr>
              <w:t xml:space="preserve"> </w:t>
            </w:r>
          </w:p>
          <w:p w:rsidR="00A1317E" w:rsidRDefault="00A5267E">
            <w:pPr>
              <w:autoSpaceDE w:val="0"/>
              <w:autoSpaceDN w:val="0"/>
              <w:adjustRightInd w:val="0"/>
              <w:spacing w:after="0"/>
              <w:jc w:val="left"/>
              <w:rPr>
                <w:noProof/>
                <w:color w:val="000000"/>
                <w:sz w:val="20"/>
              </w:rPr>
            </w:pPr>
            <w:r>
              <w:rPr>
                <w:b/>
                <w:bCs/>
                <w:noProof/>
                <w:color w:val="000000"/>
                <w:sz w:val="20"/>
              </w:rPr>
              <w:t>Planul de acțiune pentru combaterea evaziunii fiscale și pentru simplificarea și facilitarea impozitării</w:t>
            </w:r>
            <w:r>
              <w:rPr>
                <w:noProof/>
                <w:color w:val="000000"/>
                <w:sz w:val="20"/>
              </w:rPr>
              <w:t xml:space="preserve"> (propunere legislativă și propunere fără caracter legislativ care includ o evaluare a impactului, articolele 113 și 115 din TFUE, T2 2020), </w:t>
            </w:r>
            <w:r>
              <w:rPr>
                <w:b/>
                <w:bCs/>
                <w:noProof/>
                <w:color w:val="000000"/>
                <w:sz w:val="20"/>
              </w:rPr>
              <w:t>inclusiv buna guvernanță fiscală în UE și dincolo de granițele acesteia</w:t>
            </w:r>
            <w:r>
              <w:rPr>
                <w:noProof/>
                <w:color w:val="000000"/>
                <w:sz w:val="20"/>
              </w:rPr>
              <w:t xml:space="preserve"> (propunere fără caracter legislativ, T3 202</w:t>
            </w:r>
            <w:r>
              <w:rPr>
                <w:noProof/>
                <w:color w:val="000000"/>
                <w:sz w:val="20"/>
              </w:rPr>
              <w:t xml:space="preserve">0) </w:t>
            </w:r>
            <w:r>
              <w:rPr>
                <w:b/>
                <w:bCs/>
                <w:noProof/>
                <w:color w:val="000000"/>
                <w:sz w:val="20"/>
              </w:rPr>
              <w:t>și revizuirea Directivei privind schimbul automat de informații</w:t>
            </w:r>
            <w:r>
              <w:rPr>
                <w:noProof/>
                <w:color w:val="000000"/>
                <w:sz w:val="20"/>
              </w:rPr>
              <w:t xml:space="preserve"> ( propunere legislativă, articolele 113 și 115 din TFUE, T3 2020)</w:t>
            </w:r>
          </w:p>
        </w:tc>
        <w:tc>
          <w:tcPr>
            <w:tcW w:w="1134" w:type="dxa"/>
            <w:shd w:val="clear" w:color="auto" w:fill="FFFFFF"/>
          </w:tcPr>
          <w:p w:rsidR="00A1317E" w:rsidRDefault="00A5267E">
            <w:pPr>
              <w:autoSpaceDE w:val="0"/>
              <w:autoSpaceDN w:val="0"/>
              <w:adjustRightInd w:val="0"/>
              <w:spacing w:after="0"/>
              <w:jc w:val="left"/>
              <w:rPr>
                <w:bCs/>
                <w:i/>
                <w:noProof/>
                <w:color w:val="000000"/>
                <w:sz w:val="20"/>
              </w:rPr>
            </w:pPr>
            <w:r>
              <w:rPr>
                <w:bCs/>
                <w:i/>
                <w:noProof/>
                <w:color w:val="000000"/>
                <w:sz w:val="20"/>
              </w:rPr>
              <w:t>T4 2020</w:t>
            </w:r>
          </w:p>
          <w:p w:rsidR="00A1317E" w:rsidRDefault="00A5267E">
            <w:pPr>
              <w:autoSpaceDE w:val="0"/>
              <w:autoSpaceDN w:val="0"/>
              <w:adjustRightInd w:val="0"/>
              <w:spacing w:after="0"/>
              <w:jc w:val="left"/>
              <w:rPr>
                <w:bCs/>
                <w:i/>
                <w:noProof/>
                <w:color w:val="000000"/>
                <w:sz w:val="20"/>
              </w:rPr>
            </w:pPr>
            <w:r>
              <w:rPr>
                <w:bCs/>
                <w:i/>
                <w:noProof/>
                <w:color w:val="000000"/>
                <w:sz w:val="20"/>
              </w:rPr>
              <w:t>T3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b/>
                <w:bCs/>
                <w:noProof/>
                <w:color w:val="000000"/>
                <w:sz w:val="20"/>
              </w:rPr>
            </w:pPr>
            <w:r>
              <w:rPr>
                <w:b/>
                <w:bCs/>
                <w:noProof/>
                <w:sz w:val="20"/>
              </w:rPr>
              <w:t>Pachetul privind uniunea vamală</w:t>
            </w:r>
          </w:p>
        </w:tc>
        <w:tc>
          <w:tcPr>
            <w:tcW w:w="9639" w:type="dxa"/>
            <w:tcBorders>
              <w:bottom w:val="single" w:sz="4" w:space="0" w:color="auto"/>
            </w:tcBorders>
            <w:tcMar>
              <w:top w:w="85" w:type="dxa"/>
              <w:bottom w:w="85" w:type="dxa"/>
            </w:tcMar>
          </w:tcPr>
          <w:p w:rsidR="00A1317E" w:rsidRDefault="00A5267E">
            <w:pPr>
              <w:autoSpaceDE w:val="0"/>
              <w:autoSpaceDN w:val="0"/>
              <w:adjustRightInd w:val="0"/>
              <w:spacing w:after="0"/>
              <w:jc w:val="left"/>
              <w:rPr>
                <w:noProof/>
                <w:color w:val="000000"/>
                <w:sz w:val="20"/>
              </w:rPr>
            </w:pPr>
            <w:r>
              <w:rPr>
                <w:b/>
                <w:noProof/>
                <w:color w:val="000000"/>
                <w:sz w:val="20"/>
              </w:rPr>
              <w:t>Planul de acțiune privind uniunea vamală</w:t>
            </w:r>
            <w:r>
              <w:rPr>
                <w:noProof/>
                <w:color w:val="000000"/>
                <w:sz w:val="20"/>
              </w:rPr>
              <w:t xml:space="preserve"> (propunere fără caracter legislativ, T2 2020); </w:t>
            </w:r>
          </w:p>
          <w:p w:rsidR="00A1317E" w:rsidRDefault="00A5267E">
            <w:pPr>
              <w:autoSpaceDE w:val="0"/>
              <w:autoSpaceDN w:val="0"/>
              <w:adjustRightInd w:val="0"/>
              <w:spacing w:after="0"/>
              <w:jc w:val="left"/>
              <w:rPr>
                <w:noProof/>
                <w:color w:val="000000"/>
                <w:sz w:val="20"/>
              </w:rPr>
            </w:pPr>
            <w:r>
              <w:rPr>
                <w:b/>
                <w:noProof/>
                <w:color w:val="000000"/>
                <w:sz w:val="20"/>
              </w:rPr>
              <w:t>Propunere privind ghișeul unic în domeniul vamal</w:t>
            </w:r>
            <w:r>
              <w:rPr>
                <w:noProof/>
                <w:color w:val="000000"/>
                <w:sz w:val="20"/>
              </w:rPr>
              <w:t xml:space="preserve"> (propunere legislativă care include o evaluare a impactului, articolele 33 și 114 din TFUE, T3 2020)</w:t>
            </w:r>
          </w:p>
        </w:tc>
        <w:tc>
          <w:tcPr>
            <w:tcW w:w="1134" w:type="dxa"/>
            <w:tcBorders>
              <w:bottom w:val="single" w:sz="4" w:space="0" w:color="auto"/>
            </w:tcBorders>
          </w:tcPr>
          <w:p w:rsidR="00A1317E" w:rsidRDefault="00A5267E">
            <w:pPr>
              <w:autoSpaceDE w:val="0"/>
              <w:autoSpaceDN w:val="0"/>
              <w:adjustRightInd w:val="0"/>
              <w:spacing w:after="0"/>
              <w:jc w:val="left"/>
              <w:rPr>
                <w:i/>
                <w:noProof/>
                <w:color w:val="000000"/>
                <w:sz w:val="20"/>
              </w:rPr>
            </w:pPr>
            <w:r>
              <w:rPr>
                <w:i/>
                <w:noProof/>
                <w:color w:val="000000"/>
                <w:sz w:val="20"/>
              </w:rPr>
              <w:t>T3 2020</w:t>
            </w:r>
          </w:p>
          <w:p w:rsidR="00A1317E" w:rsidRDefault="00A5267E">
            <w:pPr>
              <w:autoSpaceDE w:val="0"/>
              <w:autoSpaceDN w:val="0"/>
              <w:adjustRightInd w:val="0"/>
              <w:spacing w:after="0"/>
              <w:jc w:val="left"/>
              <w:rPr>
                <w:i/>
                <w:noProof/>
                <w:color w:val="000000"/>
                <w:sz w:val="20"/>
              </w:rPr>
            </w:pPr>
            <w:r>
              <w:rPr>
                <w:i/>
                <w:noProof/>
                <w:color w:val="000000"/>
                <w:sz w:val="20"/>
              </w:rPr>
              <w:t>T4 2020</w:t>
            </w:r>
          </w:p>
        </w:tc>
      </w:tr>
      <w:tr w:rsidR="00A1317E">
        <w:trPr>
          <w:cantSplit/>
        </w:trPr>
        <w:tc>
          <w:tcPr>
            <w:tcW w:w="15083" w:type="dxa"/>
            <w:gridSpan w:val="4"/>
            <w:tcBorders>
              <w:bottom w:val="single" w:sz="4" w:space="0" w:color="auto"/>
            </w:tcBorders>
            <w:shd w:val="clear" w:color="auto" w:fill="585EAA"/>
          </w:tcPr>
          <w:p w:rsidR="00A1317E" w:rsidRDefault="00A5267E">
            <w:pPr>
              <w:keepNext/>
              <w:spacing w:before="60" w:after="60"/>
              <w:rPr>
                <w:b/>
                <w:bCs/>
                <w:noProof/>
                <w:color w:val="FFFFFF"/>
                <w:sz w:val="20"/>
              </w:rPr>
            </w:pPr>
            <w:r>
              <w:rPr>
                <w:b/>
                <w:bCs/>
                <w:noProof/>
                <w:color w:val="FFFFFF"/>
                <w:sz w:val="20"/>
              </w:rPr>
              <w:t xml:space="preserve">O Europă mai puternică pe plan </w:t>
            </w:r>
            <w:r>
              <w:rPr>
                <w:b/>
                <w:bCs/>
                <w:noProof/>
                <w:color w:val="FFFFFF"/>
                <w:sz w:val="20"/>
              </w:rPr>
              <w:t>internațional</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Cooperarea internațională</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noProof/>
                <w:sz w:val="20"/>
              </w:rPr>
              <w:t>Semnarea și încheierea Acordului dintre UE și țările din Africa, zona Caraibilor și Pacific</w:t>
            </w:r>
            <w:r>
              <w:rPr>
                <w:noProof/>
                <w:sz w:val="20"/>
              </w:rPr>
              <w:t xml:space="preserve"> (propunere cu caracter legislativ, articolele 217 și 218 din TFUE, T3 2020)</w:t>
            </w:r>
          </w:p>
        </w:tc>
        <w:tc>
          <w:tcPr>
            <w:tcW w:w="1134" w:type="dxa"/>
            <w:tcBorders>
              <w:bottom w:val="single" w:sz="4" w:space="0" w:color="auto"/>
            </w:tcBorders>
          </w:tcPr>
          <w:p w:rsidR="00A1317E" w:rsidRDefault="00A5267E">
            <w:pPr>
              <w:spacing w:after="0"/>
              <w:jc w:val="left"/>
              <w:rPr>
                <w:noProof/>
                <w:sz w:val="20"/>
              </w:rPr>
            </w:pPr>
            <w:r>
              <w:rPr>
                <w:noProof/>
                <w:sz w:val="20"/>
              </w:rPr>
              <w:t>T3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color w:val="000000"/>
                <w:sz w:val="20"/>
              </w:rPr>
            </w:pPr>
            <w:r>
              <w:rPr>
                <w:b/>
                <w:bCs/>
                <w:noProof/>
                <w:sz w:val="20"/>
              </w:rPr>
              <w:t>Suveranitatea financiară</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noProof/>
                <w:sz w:val="20"/>
              </w:rPr>
              <w:t>Consolidarea suveranității economice și financiare a Europei</w:t>
            </w:r>
            <w:r>
              <w:rPr>
                <w:noProof/>
                <w:sz w:val="20"/>
              </w:rPr>
              <w:t xml:space="preserve"> (propunere fără caracter legislativ, T3 2020)</w:t>
            </w:r>
          </w:p>
        </w:tc>
        <w:tc>
          <w:tcPr>
            <w:tcW w:w="1134" w:type="dxa"/>
            <w:tcBorders>
              <w:bottom w:val="single" w:sz="4" w:space="0" w:color="auto"/>
            </w:tcBorders>
          </w:tcPr>
          <w:p w:rsidR="00A1317E" w:rsidRDefault="00A5267E">
            <w:pPr>
              <w:spacing w:after="0"/>
              <w:jc w:val="left"/>
              <w:rPr>
                <w:i/>
                <w:noProof/>
                <w:sz w:val="20"/>
              </w:rPr>
            </w:pPr>
            <w:r>
              <w:rPr>
                <w:i/>
                <w:noProof/>
                <w:sz w:val="20"/>
              </w:rPr>
              <w:t>T4 2020</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lang w:val="en-IE"/>
              </w:rPr>
            </w:pPr>
          </w:p>
        </w:tc>
        <w:tc>
          <w:tcPr>
            <w:tcW w:w="3827" w:type="dxa"/>
            <w:tcBorders>
              <w:left w:val="single" w:sz="4" w:space="0" w:color="auto"/>
            </w:tcBorders>
            <w:tcMar>
              <w:top w:w="85" w:type="dxa"/>
              <w:bottom w:w="85" w:type="dxa"/>
            </w:tcMar>
          </w:tcPr>
          <w:p w:rsidR="00A1317E" w:rsidRDefault="00A5267E">
            <w:pPr>
              <w:spacing w:after="0"/>
              <w:rPr>
                <w:b/>
                <w:bCs/>
                <w:noProof/>
                <w:color w:val="000000"/>
                <w:sz w:val="20"/>
              </w:rPr>
            </w:pPr>
            <w:r>
              <w:rPr>
                <w:b/>
                <w:bCs/>
                <w:noProof/>
                <w:sz w:val="20"/>
              </w:rPr>
              <w:t>Strategia cu Africa</w:t>
            </w:r>
          </w:p>
        </w:tc>
        <w:tc>
          <w:tcPr>
            <w:tcW w:w="9639" w:type="dxa"/>
            <w:tcMar>
              <w:top w:w="85" w:type="dxa"/>
              <w:bottom w:w="85" w:type="dxa"/>
            </w:tcMar>
          </w:tcPr>
          <w:p w:rsidR="00A1317E" w:rsidRDefault="00A5267E">
            <w:pPr>
              <w:spacing w:after="0"/>
              <w:jc w:val="left"/>
              <w:rPr>
                <w:noProof/>
                <w:sz w:val="20"/>
              </w:rPr>
            </w:pPr>
            <w:r>
              <w:rPr>
                <w:b/>
                <w:bCs/>
                <w:noProof/>
                <w:sz w:val="20"/>
              </w:rPr>
              <w:t>Către o strategie globală cu Africa</w:t>
            </w:r>
            <w:r>
              <w:rPr>
                <w:noProof/>
                <w:sz w:val="20"/>
              </w:rPr>
              <w:t xml:space="preserve"> (propunere fără caracter legislativ, T1 2020)</w:t>
            </w:r>
          </w:p>
        </w:tc>
        <w:tc>
          <w:tcPr>
            <w:tcW w:w="1134" w:type="dxa"/>
          </w:tcPr>
          <w:p w:rsidR="00A1317E" w:rsidRDefault="00A5267E">
            <w:pPr>
              <w:spacing w:after="0"/>
              <w:jc w:val="left"/>
              <w:rPr>
                <w:bCs/>
                <w:noProof/>
                <w:sz w:val="20"/>
              </w:rPr>
            </w:pPr>
            <w:r>
              <w:rPr>
                <w:bCs/>
                <w:noProof/>
                <w:sz w:val="20"/>
              </w:rPr>
              <w:t>adoptată</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b/>
                <w:bCs/>
                <w:noProof/>
                <w:sz w:val="20"/>
              </w:rPr>
            </w:pPr>
            <w:r>
              <w:rPr>
                <w:b/>
                <w:bCs/>
                <w:noProof/>
                <w:sz w:val="20"/>
              </w:rPr>
              <w:t>Extinderea</w:t>
            </w:r>
          </w:p>
        </w:tc>
        <w:tc>
          <w:tcPr>
            <w:tcW w:w="9639" w:type="dxa"/>
            <w:tcMar>
              <w:top w:w="85" w:type="dxa"/>
              <w:bottom w:w="85" w:type="dxa"/>
            </w:tcMar>
          </w:tcPr>
          <w:p w:rsidR="00A1317E" w:rsidRDefault="00A5267E">
            <w:pPr>
              <w:spacing w:after="0"/>
              <w:jc w:val="left"/>
              <w:rPr>
                <w:b/>
                <w:noProof/>
                <w:sz w:val="20"/>
              </w:rPr>
            </w:pPr>
            <w:r>
              <w:rPr>
                <w:b/>
                <w:noProof/>
                <w:sz w:val="20"/>
              </w:rPr>
              <w:t xml:space="preserve">Consolidarea procesului de aderare – o perspectivă credibilă de integrare a Balcanilor de Vest în UE </w:t>
            </w:r>
            <w:r>
              <w:rPr>
                <w:noProof/>
                <w:sz w:val="20"/>
              </w:rPr>
              <w:t>(propunere fără caracter legislativ, T1 2020);</w:t>
            </w:r>
          </w:p>
          <w:p w:rsidR="00A1317E" w:rsidRDefault="00A5267E">
            <w:pPr>
              <w:spacing w:after="0"/>
              <w:jc w:val="left"/>
              <w:rPr>
                <w:b/>
                <w:bCs/>
                <w:noProof/>
                <w:sz w:val="20"/>
              </w:rPr>
            </w:pPr>
            <w:r>
              <w:rPr>
                <w:b/>
                <w:noProof/>
                <w:sz w:val="20"/>
              </w:rPr>
              <w:t>Intensificarea cooperării noastre cu Balcanii de Vest – contribuția Comisiei la Summitul UE-Balcanii de Vest</w:t>
            </w:r>
            <w:r>
              <w:rPr>
                <w:noProof/>
                <w:sz w:val="20"/>
              </w:rPr>
              <w:t xml:space="preserve"> (propunere fără caracter legislativ, T2 2020)</w:t>
            </w:r>
          </w:p>
        </w:tc>
        <w:tc>
          <w:tcPr>
            <w:tcW w:w="1134" w:type="dxa"/>
          </w:tcPr>
          <w:p w:rsidR="00A1317E" w:rsidRDefault="00A5267E">
            <w:pPr>
              <w:spacing w:after="0"/>
              <w:jc w:val="left"/>
              <w:rPr>
                <w:noProof/>
                <w:sz w:val="20"/>
              </w:rPr>
            </w:pPr>
            <w:r>
              <w:rPr>
                <w:noProof/>
                <w:sz w:val="20"/>
              </w:rPr>
              <w:t>adoptată</w:t>
            </w:r>
          </w:p>
          <w:p w:rsidR="00A1317E" w:rsidRDefault="00A1317E">
            <w:pPr>
              <w:spacing w:after="0"/>
              <w:jc w:val="left"/>
              <w:rPr>
                <w:noProof/>
                <w:sz w:val="20"/>
              </w:rPr>
            </w:pPr>
          </w:p>
          <w:p w:rsidR="00A1317E" w:rsidRDefault="00A5267E">
            <w:pPr>
              <w:spacing w:after="0"/>
              <w:jc w:val="left"/>
              <w:rPr>
                <w:noProof/>
                <w:sz w:val="20"/>
              </w:rPr>
            </w:pPr>
            <w:r>
              <w:rPr>
                <w:noProof/>
                <w:sz w:val="20"/>
              </w:rPr>
              <w:t xml:space="preserve">adoptată / </w:t>
            </w:r>
            <w:r>
              <w:rPr>
                <w:i/>
                <w:noProof/>
                <w:sz w:val="20"/>
              </w:rPr>
              <w:t>T4 2020</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b/>
                <w:bCs/>
                <w:noProof/>
                <w:sz w:val="20"/>
              </w:rPr>
            </w:pPr>
            <w:r>
              <w:rPr>
                <w:b/>
                <w:bCs/>
                <w:noProof/>
                <w:sz w:val="20"/>
              </w:rPr>
              <w:t xml:space="preserve">Parteneriatul estic </w:t>
            </w:r>
          </w:p>
        </w:tc>
        <w:tc>
          <w:tcPr>
            <w:tcW w:w="9639" w:type="dxa"/>
            <w:tcMar>
              <w:top w:w="85" w:type="dxa"/>
              <w:bottom w:w="85" w:type="dxa"/>
            </w:tcMar>
          </w:tcPr>
          <w:p w:rsidR="00A1317E" w:rsidRDefault="00A5267E">
            <w:pPr>
              <w:spacing w:after="0"/>
              <w:jc w:val="left"/>
              <w:rPr>
                <w:b/>
                <w:bCs/>
                <w:noProof/>
                <w:sz w:val="20"/>
              </w:rPr>
            </w:pPr>
            <w:r>
              <w:rPr>
                <w:b/>
                <w:bCs/>
                <w:noProof/>
                <w:sz w:val="20"/>
              </w:rPr>
              <w:t>Parteneriatul estic după 2020</w:t>
            </w:r>
            <w:r>
              <w:rPr>
                <w:noProof/>
                <w:sz w:val="20"/>
              </w:rPr>
              <w:t xml:space="preserve"> (propunere fără caracter legislativ, T1 2020)</w:t>
            </w:r>
          </w:p>
        </w:tc>
        <w:tc>
          <w:tcPr>
            <w:tcW w:w="1134" w:type="dxa"/>
          </w:tcPr>
          <w:p w:rsidR="00A1317E" w:rsidRDefault="00A5267E">
            <w:pPr>
              <w:spacing w:after="0"/>
              <w:jc w:val="left"/>
              <w:rPr>
                <w:bCs/>
                <w:noProof/>
                <w:sz w:val="20"/>
              </w:rPr>
            </w:pPr>
            <w:r>
              <w:rPr>
                <w:bCs/>
                <w:noProof/>
                <w:sz w:val="20"/>
              </w:rPr>
              <w:t>adoptată</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b/>
                <w:bCs/>
                <w:noProof/>
                <w:sz w:val="20"/>
              </w:rPr>
            </w:pPr>
            <w:r>
              <w:rPr>
                <w:b/>
                <w:bCs/>
                <w:noProof/>
                <w:sz w:val="20"/>
              </w:rPr>
              <w:t>Drepturile omului, democrație și egalitate de gen</w:t>
            </w:r>
          </w:p>
        </w:tc>
        <w:tc>
          <w:tcPr>
            <w:tcW w:w="9639" w:type="dxa"/>
            <w:tcMar>
              <w:top w:w="85" w:type="dxa"/>
              <w:bottom w:w="85" w:type="dxa"/>
            </w:tcMar>
          </w:tcPr>
          <w:p w:rsidR="00A1317E" w:rsidRDefault="00A5267E">
            <w:pPr>
              <w:spacing w:after="0"/>
              <w:jc w:val="left"/>
              <w:rPr>
                <w:b/>
                <w:bCs/>
                <w:noProof/>
                <w:sz w:val="20"/>
              </w:rPr>
            </w:pPr>
            <w:r>
              <w:rPr>
                <w:b/>
                <w:bCs/>
                <w:noProof/>
                <w:sz w:val="20"/>
              </w:rPr>
              <w:t xml:space="preserve">Planul de acțiune </w:t>
            </w:r>
            <w:r>
              <w:rPr>
                <w:b/>
                <w:bCs/>
                <w:noProof/>
                <w:sz w:val="20"/>
              </w:rPr>
              <w:t>privind drepturile omului și democrația (2020-2024)</w:t>
            </w:r>
            <w:r>
              <w:rPr>
                <w:noProof/>
                <w:sz w:val="20"/>
              </w:rPr>
              <w:t xml:space="preserve"> [propunere legislativă și propunere fără caracter legislativ, T1 2020];</w:t>
            </w:r>
            <w:r>
              <w:rPr>
                <w:noProof/>
              </w:rPr>
              <w:t xml:space="preserve"> </w:t>
            </w:r>
            <w:r>
              <w:rPr>
                <w:noProof/>
              </w:rPr>
              <w:br/>
            </w:r>
            <w:r>
              <w:rPr>
                <w:b/>
                <w:bCs/>
                <w:noProof/>
                <w:sz w:val="20"/>
              </w:rPr>
              <w:t>Planul de acțiune privind egalitatea de gen și emanciparea femeilor în contextul relațiilor externe pentru perioada 2021-2025</w:t>
            </w:r>
            <w:r>
              <w:rPr>
                <w:noProof/>
                <w:sz w:val="20"/>
              </w:rPr>
              <w:t xml:space="preserve"> (prop</w:t>
            </w:r>
            <w:r>
              <w:rPr>
                <w:noProof/>
                <w:sz w:val="20"/>
              </w:rPr>
              <w:t>unere fără caracter legislativ, T4 2020)</w:t>
            </w:r>
          </w:p>
        </w:tc>
        <w:tc>
          <w:tcPr>
            <w:tcW w:w="1134" w:type="dxa"/>
          </w:tcPr>
          <w:p w:rsidR="00A1317E" w:rsidRDefault="00A5267E">
            <w:pPr>
              <w:spacing w:after="0"/>
              <w:jc w:val="left"/>
              <w:rPr>
                <w:bCs/>
                <w:noProof/>
                <w:sz w:val="20"/>
              </w:rPr>
            </w:pPr>
            <w:r>
              <w:rPr>
                <w:bCs/>
                <w:noProof/>
                <w:sz w:val="20"/>
              </w:rPr>
              <w:t>adoptată</w:t>
            </w:r>
          </w:p>
          <w:p w:rsidR="00A1317E" w:rsidRDefault="00A5267E">
            <w:pPr>
              <w:spacing w:after="0"/>
              <w:jc w:val="left"/>
              <w:rPr>
                <w:bCs/>
                <w:noProof/>
                <w:sz w:val="20"/>
              </w:rPr>
            </w:pP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b/>
                <w:bCs/>
                <w:noProof/>
                <w:color w:val="000000"/>
                <w:sz w:val="20"/>
              </w:rPr>
            </w:pPr>
            <w:r>
              <w:rPr>
                <w:b/>
                <w:bCs/>
                <w:noProof/>
                <w:sz w:val="20"/>
              </w:rPr>
              <w:t>Politica comercială</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bCs/>
                <w:noProof/>
                <w:sz w:val="20"/>
              </w:rPr>
              <w:t>Examinarea politicilor comerciale, inclusiv inițiativa de reformare a OMC</w:t>
            </w:r>
            <w:r>
              <w:rPr>
                <w:noProof/>
                <w:sz w:val="20"/>
              </w:rPr>
              <w:t xml:space="preserve"> (propunere fără caracter legislativ, T4 2020)</w:t>
            </w:r>
          </w:p>
        </w:tc>
        <w:tc>
          <w:tcPr>
            <w:tcW w:w="1134" w:type="dxa"/>
            <w:tcBorders>
              <w:bottom w:val="single" w:sz="4" w:space="0" w:color="auto"/>
            </w:tcBorders>
          </w:tcPr>
          <w:p w:rsidR="00A1317E" w:rsidRDefault="00A5267E">
            <w:pPr>
              <w:spacing w:after="0"/>
              <w:jc w:val="left"/>
              <w:rPr>
                <w:bCs/>
                <w:noProof/>
                <w:sz w:val="20"/>
              </w:rPr>
            </w:pPr>
            <w:r>
              <w:rPr>
                <w:bCs/>
                <w:noProof/>
                <w:sz w:val="20"/>
              </w:rPr>
              <w:t>T4 2020</w:t>
            </w:r>
          </w:p>
        </w:tc>
      </w:tr>
      <w:tr w:rsidR="00A1317E">
        <w:trPr>
          <w:cantSplit/>
        </w:trPr>
        <w:tc>
          <w:tcPr>
            <w:tcW w:w="15083" w:type="dxa"/>
            <w:gridSpan w:val="4"/>
            <w:tcBorders>
              <w:bottom w:val="single" w:sz="4" w:space="0" w:color="auto"/>
            </w:tcBorders>
            <w:shd w:val="clear" w:color="auto" w:fill="DA5C57"/>
          </w:tcPr>
          <w:p w:rsidR="00A1317E" w:rsidRDefault="00A5267E">
            <w:pPr>
              <w:keepNext/>
              <w:spacing w:before="60" w:after="60"/>
              <w:rPr>
                <w:b/>
                <w:bCs/>
                <w:noProof/>
                <w:color w:val="FFFFFF"/>
                <w:sz w:val="20"/>
              </w:rPr>
            </w:pPr>
            <w:r>
              <w:rPr>
                <w:b/>
                <w:bCs/>
                <w:noProof/>
                <w:color w:val="FFFFFF"/>
                <w:sz w:val="20"/>
              </w:rPr>
              <w:t>Promovarea modului nostru de viață european</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b/>
                <w:bCs/>
                <w:noProof/>
                <w:color w:val="000000"/>
                <w:sz w:val="20"/>
              </w:rPr>
            </w:pPr>
            <w:r>
              <w:rPr>
                <w:b/>
                <w:bCs/>
                <w:noProof/>
                <w:sz w:val="20"/>
              </w:rPr>
              <w:t>Promovarea competențelor, a educației și a incluziunii</w:t>
            </w:r>
          </w:p>
        </w:tc>
        <w:tc>
          <w:tcPr>
            <w:tcW w:w="9639" w:type="dxa"/>
            <w:tcMar>
              <w:top w:w="85" w:type="dxa"/>
              <w:bottom w:w="85" w:type="dxa"/>
            </w:tcMar>
          </w:tcPr>
          <w:p w:rsidR="00A1317E" w:rsidRDefault="00A5267E">
            <w:pPr>
              <w:spacing w:after="0"/>
              <w:jc w:val="left"/>
              <w:rPr>
                <w:noProof/>
                <w:sz w:val="20"/>
              </w:rPr>
            </w:pPr>
            <w:r>
              <w:rPr>
                <w:b/>
                <w:bCs/>
                <w:noProof/>
                <w:sz w:val="20"/>
              </w:rPr>
              <w:t xml:space="preserve">Agenda actualizată pentru competențe în Europa </w:t>
            </w:r>
            <w:r>
              <w:rPr>
                <w:noProof/>
                <w:sz w:val="20"/>
              </w:rPr>
              <w:t>(propunere fără caracter legislativ, T1 2020);</w:t>
            </w:r>
            <w:r>
              <w:rPr>
                <w:noProof/>
              </w:rPr>
              <w:t xml:space="preserve"> </w:t>
            </w:r>
            <w:r>
              <w:rPr>
                <w:noProof/>
              </w:rPr>
              <w:br/>
            </w:r>
            <w:r>
              <w:rPr>
                <w:b/>
                <w:bCs/>
                <w:noProof/>
                <w:sz w:val="20"/>
              </w:rPr>
              <w:t>Realizarea</w:t>
            </w:r>
            <w:r>
              <w:rPr>
                <w:noProof/>
                <w:sz w:val="20"/>
              </w:rPr>
              <w:t xml:space="preserve"> </w:t>
            </w:r>
            <w:r>
              <w:rPr>
                <w:b/>
                <w:bCs/>
                <w:noProof/>
                <w:sz w:val="20"/>
              </w:rPr>
              <w:t>Spațiului european al educației</w:t>
            </w:r>
            <w:r>
              <w:rPr>
                <w:noProof/>
                <w:sz w:val="20"/>
              </w:rPr>
              <w:t xml:space="preserve"> (propunere fără caracter legislativ, T3 2020); </w:t>
            </w:r>
          </w:p>
          <w:p w:rsidR="00A1317E" w:rsidRDefault="00A5267E">
            <w:pPr>
              <w:spacing w:after="0"/>
              <w:jc w:val="left"/>
              <w:rPr>
                <w:noProof/>
                <w:sz w:val="20"/>
              </w:rPr>
            </w:pPr>
            <w:r>
              <w:rPr>
                <w:b/>
                <w:bCs/>
                <w:noProof/>
                <w:sz w:val="20"/>
              </w:rPr>
              <w:t xml:space="preserve">Planul de </w:t>
            </w:r>
            <w:r>
              <w:rPr>
                <w:b/>
                <w:bCs/>
                <w:noProof/>
                <w:sz w:val="20"/>
              </w:rPr>
              <w:t>acțiune privind integrarea și incluziunea</w:t>
            </w:r>
            <w:r>
              <w:rPr>
                <w:noProof/>
                <w:sz w:val="20"/>
              </w:rPr>
              <w:t xml:space="preserve"> (propunere fără caracter legislativ, T4 2020);</w:t>
            </w:r>
          </w:p>
        </w:tc>
        <w:tc>
          <w:tcPr>
            <w:tcW w:w="1134" w:type="dxa"/>
          </w:tcPr>
          <w:p w:rsidR="00A1317E" w:rsidRDefault="00A5267E">
            <w:pPr>
              <w:spacing w:after="0"/>
              <w:jc w:val="left"/>
              <w:rPr>
                <w:bCs/>
                <w:i/>
                <w:noProof/>
                <w:sz w:val="20"/>
              </w:rPr>
            </w:pPr>
            <w:r>
              <w:rPr>
                <w:bCs/>
                <w:i/>
                <w:noProof/>
                <w:sz w:val="20"/>
              </w:rPr>
              <w:t>T3 2020</w:t>
            </w:r>
          </w:p>
          <w:p w:rsidR="00A1317E" w:rsidRDefault="00A5267E">
            <w:pPr>
              <w:spacing w:after="0"/>
              <w:jc w:val="left"/>
              <w:rPr>
                <w:bCs/>
                <w:noProof/>
                <w:sz w:val="20"/>
              </w:rPr>
            </w:pPr>
            <w:r>
              <w:rPr>
                <w:bCs/>
                <w:noProof/>
                <w:sz w:val="20"/>
              </w:rPr>
              <w:t>T3 2020</w:t>
            </w:r>
          </w:p>
          <w:p w:rsidR="00A1317E" w:rsidRDefault="00A5267E">
            <w:pPr>
              <w:spacing w:after="0"/>
              <w:jc w:val="left"/>
              <w:rPr>
                <w:bCs/>
                <w:noProof/>
                <w:sz w:val="20"/>
              </w:rPr>
            </w:pP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b/>
                <w:bCs/>
                <w:noProof/>
                <w:color w:val="000000"/>
                <w:sz w:val="20"/>
              </w:rPr>
            </w:pPr>
            <w:r>
              <w:rPr>
                <w:b/>
                <w:bCs/>
                <w:noProof/>
                <w:sz w:val="20"/>
              </w:rPr>
              <w:t>Un nou Pact privind migrația și azilul</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bCs/>
                <w:noProof/>
                <w:sz w:val="20"/>
              </w:rPr>
              <w:t>Un nou Pact privind migrația și azilul și propunerile legislative conexe</w:t>
            </w:r>
            <w:r>
              <w:rPr>
                <w:noProof/>
                <w:sz w:val="20"/>
              </w:rPr>
              <w:t xml:space="preserve"> (propunere fără caracter legislativ și propunere legislativă, articolele 78 și 79 din TFUE, T1 2020)</w:t>
            </w:r>
          </w:p>
        </w:tc>
        <w:tc>
          <w:tcPr>
            <w:tcW w:w="1134" w:type="dxa"/>
            <w:tcBorders>
              <w:bottom w:val="single" w:sz="4" w:space="0" w:color="auto"/>
            </w:tcBorders>
          </w:tcPr>
          <w:p w:rsidR="00A1317E" w:rsidRDefault="00A5267E">
            <w:pPr>
              <w:spacing w:after="0"/>
              <w:jc w:val="left"/>
              <w:rPr>
                <w:bCs/>
                <w:i/>
                <w:noProof/>
                <w:sz w:val="20"/>
              </w:rPr>
            </w:pPr>
            <w:r>
              <w:rPr>
                <w:bCs/>
                <w:i/>
                <w:noProof/>
                <w:sz w:val="20"/>
              </w:rPr>
              <w:t>T2 2020</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noProof/>
                <w:sz w:val="20"/>
              </w:rPr>
            </w:pPr>
            <w:r>
              <w:rPr>
                <w:b/>
                <w:bCs/>
                <w:noProof/>
                <w:sz w:val="20"/>
              </w:rPr>
              <w:t>Promovarea securității Europei</w:t>
            </w:r>
          </w:p>
        </w:tc>
        <w:tc>
          <w:tcPr>
            <w:tcW w:w="9639" w:type="dxa"/>
            <w:tcMar>
              <w:top w:w="85" w:type="dxa"/>
              <w:bottom w:w="85" w:type="dxa"/>
            </w:tcMar>
          </w:tcPr>
          <w:p w:rsidR="00A1317E" w:rsidRDefault="00A5267E">
            <w:pPr>
              <w:spacing w:after="0"/>
              <w:jc w:val="left"/>
              <w:rPr>
                <w:noProof/>
                <w:sz w:val="20"/>
              </w:rPr>
            </w:pPr>
            <w:r>
              <w:rPr>
                <w:noProof/>
                <w:sz w:val="20"/>
              </w:rPr>
              <w:t xml:space="preserve">O </w:t>
            </w:r>
            <w:r>
              <w:rPr>
                <w:b/>
                <w:bCs/>
                <w:noProof/>
                <w:sz w:val="20"/>
              </w:rPr>
              <w:t>nouă</w:t>
            </w:r>
            <w:r>
              <w:rPr>
                <w:noProof/>
                <w:sz w:val="20"/>
              </w:rPr>
              <w:t xml:space="preserve"> </w:t>
            </w:r>
            <w:r>
              <w:rPr>
                <w:b/>
                <w:bCs/>
                <w:noProof/>
                <w:sz w:val="20"/>
              </w:rPr>
              <w:t>Strategie privind uniunea securității</w:t>
            </w:r>
            <w:r>
              <w:rPr>
                <w:noProof/>
                <w:sz w:val="20"/>
              </w:rPr>
              <w:t xml:space="preserve"> (propunere fără caracter legislativ, T2 2020); </w:t>
            </w:r>
          </w:p>
          <w:p w:rsidR="00A1317E" w:rsidRDefault="00A5267E">
            <w:pPr>
              <w:spacing w:after="0"/>
              <w:jc w:val="left"/>
              <w:rPr>
                <w:noProof/>
                <w:sz w:val="20"/>
              </w:rPr>
            </w:pPr>
            <w:r>
              <w:rPr>
                <w:b/>
                <w:bCs/>
                <w:noProof/>
                <w:sz w:val="20"/>
              </w:rPr>
              <w:t xml:space="preserve">Consolidarea </w:t>
            </w:r>
            <w:r>
              <w:rPr>
                <w:b/>
                <w:bCs/>
                <w:noProof/>
                <w:sz w:val="20"/>
              </w:rPr>
              <w:t>mandatului Europol</w:t>
            </w:r>
            <w:r>
              <w:rPr>
                <w:noProof/>
                <w:sz w:val="20"/>
              </w:rPr>
              <w:t xml:space="preserve"> (propunere legislativă care include o evaluare a impactului, articolul 88 din TFUE, T4 2020) </w:t>
            </w:r>
            <w:r>
              <w:rPr>
                <w:noProof/>
              </w:rPr>
              <w:br/>
            </w:r>
            <w:r>
              <w:rPr>
                <w:b/>
                <w:bCs/>
                <w:noProof/>
                <w:sz w:val="20"/>
              </w:rPr>
              <w:t>Propunere de măsuri suplimentare privind protejarea infrastructurilor critice</w:t>
            </w:r>
            <w:r>
              <w:rPr>
                <w:noProof/>
                <w:sz w:val="20"/>
              </w:rPr>
              <w:t xml:space="preserve"> (propunere legislativă care include o evaluare a impactului, T4 2</w:t>
            </w:r>
            <w:r>
              <w:rPr>
                <w:noProof/>
                <w:sz w:val="20"/>
              </w:rPr>
              <w:t>020);</w:t>
            </w:r>
          </w:p>
          <w:p w:rsidR="00A1317E" w:rsidRDefault="00A5267E">
            <w:pPr>
              <w:spacing w:after="0"/>
              <w:jc w:val="left"/>
              <w:rPr>
                <w:noProof/>
                <w:sz w:val="20"/>
              </w:rPr>
            </w:pPr>
            <w:r>
              <w:rPr>
                <w:b/>
                <w:bCs/>
                <w:noProof/>
                <w:sz w:val="20"/>
              </w:rPr>
              <w:t>O nouă strategie a UE pentru eradicarea traficului de persoane</w:t>
            </w:r>
            <w:r>
              <w:rPr>
                <w:noProof/>
                <w:sz w:val="20"/>
              </w:rPr>
              <w:t xml:space="preserve"> (propunere fără caracter legislativ, T4 2020);</w:t>
            </w:r>
          </w:p>
          <w:p w:rsidR="00A1317E" w:rsidRDefault="00A5267E">
            <w:pPr>
              <w:spacing w:after="0"/>
              <w:jc w:val="left"/>
              <w:rPr>
                <w:noProof/>
                <w:sz w:val="20"/>
              </w:rPr>
            </w:pPr>
            <w:r>
              <w:rPr>
                <w:b/>
                <w:bCs/>
                <w:noProof/>
                <w:sz w:val="20"/>
              </w:rPr>
              <w:t>Strategia UE pentru o combatere mai eficace a abuzului sexual asupra copiilor</w:t>
            </w:r>
            <w:r>
              <w:rPr>
                <w:noProof/>
                <w:sz w:val="20"/>
              </w:rPr>
              <w:t xml:space="preserve"> (propunere fără caracter legislativ, T2 2020)</w:t>
            </w:r>
            <w:r>
              <w:rPr>
                <w:noProof/>
                <w:color w:val="000000"/>
                <w:sz w:val="20"/>
              </w:rPr>
              <w:t xml:space="preserve"> </w:t>
            </w:r>
          </w:p>
        </w:tc>
        <w:tc>
          <w:tcPr>
            <w:tcW w:w="1134" w:type="dxa"/>
          </w:tcPr>
          <w:p w:rsidR="00A1317E" w:rsidRDefault="00A5267E">
            <w:pPr>
              <w:spacing w:after="0"/>
              <w:jc w:val="left"/>
              <w:rPr>
                <w:bCs/>
                <w:i/>
                <w:noProof/>
                <w:sz w:val="20"/>
              </w:rPr>
            </w:pPr>
            <w:r>
              <w:rPr>
                <w:bCs/>
                <w:i/>
                <w:noProof/>
                <w:sz w:val="20"/>
              </w:rPr>
              <w:t>T3 2020</w:t>
            </w:r>
          </w:p>
          <w:p w:rsidR="00A1317E" w:rsidRDefault="00A5267E">
            <w:pPr>
              <w:spacing w:after="0"/>
              <w:jc w:val="left"/>
              <w:rPr>
                <w:bCs/>
                <w:noProof/>
                <w:sz w:val="20"/>
              </w:rPr>
            </w:pPr>
            <w:r>
              <w:rPr>
                <w:bCs/>
                <w:noProof/>
                <w:sz w:val="20"/>
              </w:rPr>
              <w:t>T4 2020</w:t>
            </w:r>
          </w:p>
          <w:p w:rsidR="00A1317E" w:rsidRDefault="00A5267E">
            <w:pPr>
              <w:spacing w:after="0"/>
              <w:jc w:val="left"/>
              <w:rPr>
                <w:bCs/>
                <w:noProof/>
                <w:sz w:val="20"/>
              </w:rPr>
            </w:pPr>
            <w:r>
              <w:rPr>
                <w:bCs/>
                <w:noProof/>
                <w:sz w:val="20"/>
              </w:rPr>
              <w:t>T4 2020</w:t>
            </w:r>
          </w:p>
          <w:p w:rsidR="00A1317E" w:rsidRDefault="00A1317E">
            <w:pPr>
              <w:spacing w:after="0"/>
              <w:jc w:val="left"/>
              <w:rPr>
                <w:bCs/>
                <w:noProof/>
                <w:sz w:val="20"/>
              </w:rPr>
            </w:pPr>
          </w:p>
          <w:p w:rsidR="00A1317E" w:rsidRDefault="00A5267E">
            <w:pPr>
              <w:spacing w:after="0"/>
              <w:jc w:val="left"/>
              <w:rPr>
                <w:bCs/>
                <w:i/>
                <w:noProof/>
                <w:sz w:val="20"/>
              </w:rPr>
            </w:pPr>
            <w:r>
              <w:rPr>
                <w:bCs/>
                <w:i/>
                <w:noProof/>
                <w:sz w:val="20"/>
              </w:rPr>
              <w:t>T1 2021</w:t>
            </w:r>
          </w:p>
          <w:p w:rsidR="00A1317E" w:rsidRDefault="00A5267E">
            <w:pPr>
              <w:spacing w:after="0"/>
              <w:jc w:val="left"/>
              <w:rPr>
                <w:bCs/>
                <w:noProof/>
                <w:sz w:val="20"/>
              </w:rPr>
            </w:pPr>
            <w:r>
              <w:rPr>
                <w:bCs/>
                <w:i/>
                <w:noProof/>
                <w:sz w:val="20"/>
              </w:rPr>
              <w:t>T3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Protejarea sănătății</w:t>
            </w:r>
          </w:p>
        </w:tc>
        <w:tc>
          <w:tcPr>
            <w:tcW w:w="9639" w:type="dxa"/>
            <w:tcBorders>
              <w:bottom w:val="single" w:sz="4" w:space="0" w:color="auto"/>
            </w:tcBorders>
            <w:tcMar>
              <w:top w:w="85" w:type="dxa"/>
              <w:bottom w:w="85" w:type="dxa"/>
            </w:tcMar>
          </w:tcPr>
          <w:p w:rsidR="00A1317E" w:rsidRDefault="00A5267E">
            <w:pPr>
              <w:spacing w:after="0"/>
              <w:jc w:val="left"/>
              <w:rPr>
                <w:noProof/>
                <w:sz w:val="20"/>
              </w:rPr>
            </w:pPr>
            <w:r>
              <w:rPr>
                <w:b/>
                <w:bCs/>
                <w:noProof/>
                <w:sz w:val="20"/>
              </w:rPr>
              <w:t>Planul european de combatere a cancerului</w:t>
            </w:r>
            <w:r>
              <w:rPr>
                <w:noProof/>
                <w:sz w:val="20"/>
              </w:rPr>
              <w:t xml:space="preserve"> (propunere legislativă, T4 2020);</w:t>
            </w:r>
            <w:r>
              <w:rPr>
                <w:noProof/>
              </w:rPr>
              <w:t xml:space="preserve"> </w:t>
            </w:r>
            <w:r>
              <w:rPr>
                <w:noProof/>
              </w:rPr>
              <w:br/>
            </w:r>
            <w:r>
              <w:rPr>
                <w:b/>
                <w:bCs/>
                <w:noProof/>
                <w:sz w:val="20"/>
              </w:rPr>
              <w:t xml:space="preserve">O strategie farmaceutică pentru Europa </w:t>
            </w:r>
            <w:r>
              <w:rPr>
                <w:noProof/>
                <w:sz w:val="20"/>
              </w:rPr>
              <w:t>(propunere fără caracter legislativ, T4 2020);</w:t>
            </w:r>
          </w:p>
        </w:tc>
        <w:tc>
          <w:tcPr>
            <w:tcW w:w="1134" w:type="dxa"/>
            <w:tcBorders>
              <w:bottom w:val="single" w:sz="4" w:space="0" w:color="auto"/>
            </w:tcBorders>
          </w:tcPr>
          <w:p w:rsidR="00A1317E" w:rsidRDefault="00A5267E">
            <w:pPr>
              <w:spacing w:after="0"/>
              <w:jc w:val="left"/>
              <w:rPr>
                <w:bCs/>
                <w:noProof/>
                <w:sz w:val="20"/>
              </w:rPr>
            </w:pPr>
            <w:r>
              <w:rPr>
                <w:bCs/>
                <w:noProof/>
                <w:sz w:val="20"/>
              </w:rPr>
              <w:t>T4 2020</w:t>
            </w:r>
          </w:p>
          <w:p w:rsidR="00A1317E" w:rsidRDefault="00A5267E">
            <w:pPr>
              <w:spacing w:after="0"/>
              <w:jc w:val="left"/>
              <w:rPr>
                <w:bCs/>
                <w:noProof/>
                <w:sz w:val="20"/>
              </w:rPr>
            </w:pPr>
            <w:r>
              <w:rPr>
                <w:bCs/>
                <w:noProof/>
                <w:sz w:val="20"/>
              </w:rPr>
              <w:t>T4 2020</w:t>
            </w:r>
          </w:p>
        </w:tc>
      </w:tr>
      <w:tr w:rsidR="00A1317E">
        <w:trPr>
          <w:cantSplit/>
        </w:trPr>
        <w:tc>
          <w:tcPr>
            <w:tcW w:w="15083" w:type="dxa"/>
            <w:gridSpan w:val="4"/>
            <w:tcBorders>
              <w:bottom w:val="single" w:sz="4" w:space="0" w:color="auto"/>
            </w:tcBorders>
            <w:shd w:val="clear" w:color="auto" w:fill="00ADDC"/>
          </w:tcPr>
          <w:p w:rsidR="00A1317E" w:rsidRDefault="00A5267E">
            <w:pPr>
              <w:keepNext/>
              <w:spacing w:before="60" w:after="60"/>
              <w:rPr>
                <w:b/>
                <w:bCs/>
                <w:noProof/>
                <w:color w:val="FFFFFF"/>
                <w:sz w:val="20"/>
              </w:rPr>
            </w:pPr>
            <w:r>
              <w:rPr>
                <w:b/>
                <w:bCs/>
                <w:noProof/>
                <w:color w:val="FFFFFF"/>
                <w:sz w:val="20"/>
              </w:rPr>
              <w:t xml:space="preserve">Un nou elan pentru </w:t>
            </w:r>
            <w:r>
              <w:rPr>
                <w:b/>
                <w:bCs/>
                <w:noProof/>
                <w:color w:val="FFFFFF"/>
                <w:sz w:val="20"/>
              </w:rPr>
              <w:t>democrația europeană</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Agenda consumatorului</w:t>
            </w:r>
          </w:p>
        </w:tc>
        <w:tc>
          <w:tcPr>
            <w:tcW w:w="9639" w:type="dxa"/>
            <w:tcBorders>
              <w:bottom w:val="single" w:sz="4" w:space="0" w:color="auto"/>
            </w:tcBorders>
            <w:tcMar>
              <w:top w:w="85" w:type="dxa"/>
              <w:bottom w:w="85" w:type="dxa"/>
            </w:tcMar>
          </w:tcPr>
          <w:p w:rsidR="00A1317E" w:rsidRDefault="00A5267E">
            <w:pPr>
              <w:spacing w:after="0"/>
              <w:rPr>
                <w:noProof/>
                <w:sz w:val="20"/>
              </w:rPr>
            </w:pPr>
            <w:r>
              <w:rPr>
                <w:noProof/>
                <w:sz w:val="20"/>
              </w:rPr>
              <w:t xml:space="preserve">O </w:t>
            </w:r>
            <w:r>
              <w:rPr>
                <w:b/>
                <w:noProof/>
                <w:sz w:val="20"/>
              </w:rPr>
              <w:t>nouă</w:t>
            </w:r>
            <w:r>
              <w:rPr>
                <w:noProof/>
                <w:sz w:val="20"/>
              </w:rPr>
              <w:t xml:space="preserve"> </w:t>
            </w:r>
            <w:r>
              <w:rPr>
                <w:b/>
                <w:noProof/>
                <w:sz w:val="20"/>
              </w:rPr>
              <w:t>Agendă a consumatorului</w:t>
            </w:r>
            <w:r>
              <w:rPr>
                <w:noProof/>
                <w:sz w:val="20"/>
              </w:rPr>
              <w:t xml:space="preserve"> (propunere fără caracter legislativ, T4 2020);</w:t>
            </w:r>
          </w:p>
        </w:tc>
        <w:tc>
          <w:tcPr>
            <w:tcW w:w="1134" w:type="dxa"/>
            <w:tcBorders>
              <w:bottom w:val="single" w:sz="4" w:space="0" w:color="auto"/>
            </w:tcBorders>
          </w:tcPr>
          <w:p w:rsidR="00A1317E" w:rsidRDefault="00A5267E">
            <w:pPr>
              <w:spacing w:after="0"/>
              <w:rPr>
                <w:noProof/>
                <w:sz w:val="20"/>
              </w:rPr>
            </w:pPr>
            <w:r>
              <w:rPr>
                <w:noProof/>
                <w:sz w:val="20"/>
              </w:rPr>
              <w:t>T4 2020</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noProof/>
                <w:sz w:val="20"/>
              </w:rPr>
            </w:pPr>
            <w:r>
              <w:rPr>
                <w:b/>
                <w:bCs/>
                <w:noProof/>
                <w:sz w:val="20"/>
              </w:rPr>
              <w:t>Abordarea impactului schimbărilor demografice</w:t>
            </w:r>
          </w:p>
        </w:tc>
        <w:tc>
          <w:tcPr>
            <w:tcW w:w="9639" w:type="dxa"/>
            <w:tcMar>
              <w:top w:w="85" w:type="dxa"/>
              <w:bottom w:w="85" w:type="dxa"/>
            </w:tcMar>
          </w:tcPr>
          <w:p w:rsidR="00A1317E" w:rsidRDefault="00A5267E">
            <w:pPr>
              <w:spacing w:after="0"/>
              <w:jc w:val="left"/>
              <w:rPr>
                <w:b/>
                <w:bCs/>
                <w:noProof/>
                <w:sz w:val="20"/>
              </w:rPr>
            </w:pPr>
            <w:r>
              <w:rPr>
                <w:b/>
                <w:noProof/>
                <w:sz w:val="20"/>
              </w:rPr>
              <w:t>Raportul privind impactul schimbărilor demografice</w:t>
            </w:r>
            <w:r>
              <w:rPr>
                <w:noProof/>
                <w:sz w:val="20"/>
              </w:rPr>
              <w:t xml:space="preserve"> (propunere fără caracter legislativ, T1 2020);</w:t>
            </w:r>
            <w:r>
              <w:rPr>
                <w:noProof/>
              </w:rPr>
              <w:t xml:space="preserve"> </w:t>
            </w:r>
            <w:r>
              <w:rPr>
                <w:noProof/>
              </w:rPr>
              <w:br/>
            </w:r>
            <w:r>
              <w:rPr>
                <w:b/>
                <w:bCs/>
                <w:noProof/>
                <w:sz w:val="20"/>
              </w:rPr>
              <w:t>Cartea verde privind îmbătrânirea</w:t>
            </w:r>
            <w:r>
              <w:rPr>
                <w:noProof/>
                <w:sz w:val="20"/>
              </w:rPr>
              <w:t xml:space="preserve"> (propunere fără caracter legislativ, T4 2020); </w:t>
            </w:r>
          </w:p>
        </w:tc>
        <w:tc>
          <w:tcPr>
            <w:tcW w:w="1134" w:type="dxa"/>
          </w:tcPr>
          <w:p w:rsidR="00A1317E" w:rsidRDefault="00A5267E">
            <w:pPr>
              <w:spacing w:after="0"/>
              <w:jc w:val="left"/>
              <w:rPr>
                <w:bCs/>
                <w:i/>
                <w:noProof/>
                <w:sz w:val="20"/>
              </w:rPr>
            </w:pPr>
            <w:r>
              <w:rPr>
                <w:bCs/>
                <w:i/>
                <w:noProof/>
                <w:sz w:val="20"/>
              </w:rPr>
              <w:t>T2 2020</w:t>
            </w:r>
          </w:p>
          <w:p w:rsidR="00A1317E" w:rsidRDefault="00A5267E">
            <w:pPr>
              <w:spacing w:after="0"/>
              <w:jc w:val="left"/>
              <w:rPr>
                <w:bCs/>
                <w:noProof/>
                <w:sz w:val="20"/>
              </w:rPr>
            </w:pPr>
            <w:r>
              <w:rPr>
                <w:bCs/>
                <w:i/>
                <w:noProof/>
                <w:sz w:val="20"/>
              </w:rPr>
              <w:t>2021</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jc w:val="left"/>
              <w:rPr>
                <w:noProof/>
                <w:sz w:val="20"/>
              </w:rPr>
            </w:pPr>
            <w:r>
              <w:rPr>
                <w:b/>
                <w:bCs/>
                <w:noProof/>
                <w:sz w:val="20"/>
              </w:rPr>
              <w:t>Inițiative privind egalitatea și nediscriminarea</w:t>
            </w:r>
          </w:p>
        </w:tc>
        <w:tc>
          <w:tcPr>
            <w:tcW w:w="9639" w:type="dxa"/>
            <w:tcMar>
              <w:top w:w="85" w:type="dxa"/>
              <w:bottom w:w="85" w:type="dxa"/>
            </w:tcMar>
          </w:tcPr>
          <w:p w:rsidR="00A1317E" w:rsidRDefault="00A5267E">
            <w:pPr>
              <w:spacing w:after="0"/>
              <w:jc w:val="left"/>
              <w:rPr>
                <w:noProof/>
                <w:sz w:val="20"/>
              </w:rPr>
            </w:pPr>
            <w:r>
              <w:rPr>
                <w:b/>
                <w:bCs/>
                <w:noProof/>
                <w:sz w:val="20"/>
              </w:rPr>
              <w:t>Strategia europeană privind egalitatea de gen</w:t>
            </w:r>
            <w:r>
              <w:rPr>
                <w:noProof/>
                <w:sz w:val="20"/>
              </w:rPr>
              <w:t xml:space="preserve"> (propunere fără caracter legislativ, T1 2020), </w:t>
            </w:r>
            <w:r>
              <w:rPr>
                <w:b/>
                <w:bCs/>
                <w:noProof/>
                <w:sz w:val="20"/>
              </w:rPr>
              <w:t>urmată de măsuri obligatorii de asigurare a transparenței salariale</w:t>
            </w:r>
            <w:r>
              <w:rPr>
                <w:noProof/>
                <w:sz w:val="20"/>
              </w:rPr>
              <w:t xml:space="preserve"> (propunere legislativă care include o evaluare a impactului, articolul 157 din TFUE, T4 2020);</w:t>
            </w:r>
            <w:r>
              <w:rPr>
                <w:noProof/>
              </w:rPr>
              <w:t xml:space="preserve"> </w:t>
            </w:r>
            <w:r>
              <w:rPr>
                <w:noProof/>
              </w:rPr>
              <w:br/>
            </w:r>
            <w:r>
              <w:rPr>
                <w:b/>
                <w:bCs/>
                <w:noProof/>
                <w:sz w:val="20"/>
              </w:rPr>
              <w:t>Strategia privind egalitatea pentru persoane</w:t>
            </w:r>
            <w:r>
              <w:rPr>
                <w:b/>
                <w:bCs/>
                <w:noProof/>
                <w:sz w:val="20"/>
              </w:rPr>
              <w:t>le LGBTI</w:t>
            </w:r>
            <w:r>
              <w:rPr>
                <w:noProof/>
                <w:sz w:val="20"/>
              </w:rPr>
              <w:t xml:space="preserve"> (propunere fără caracter legislativ, T4 2020);</w:t>
            </w:r>
            <w:r>
              <w:rPr>
                <w:noProof/>
              </w:rPr>
              <w:t xml:space="preserve"> </w:t>
            </w:r>
            <w:r>
              <w:rPr>
                <w:noProof/>
              </w:rPr>
              <w:br/>
            </w:r>
            <w:r>
              <w:rPr>
                <w:b/>
                <w:bCs/>
                <w:noProof/>
                <w:sz w:val="20"/>
              </w:rPr>
              <w:t xml:space="preserve">Cadrul UE post-2020 privind Strategia pentru egalitatea romilor și Strategia privind incluziunea romilor </w:t>
            </w:r>
            <w:r>
              <w:rPr>
                <w:noProof/>
                <w:sz w:val="20"/>
              </w:rPr>
              <w:t>(propunere fără caracter legislativ, T4 2020)</w:t>
            </w:r>
          </w:p>
        </w:tc>
        <w:tc>
          <w:tcPr>
            <w:tcW w:w="1134" w:type="dxa"/>
          </w:tcPr>
          <w:p w:rsidR="00A1317E" w:rsidRDefault="00A5267E">
            <w:pPr>
              <w:spacing w:after="0"/>
              <w:jc w:val="left"/>
              <w:rPr>
                <w:bCs/>
                <w:noProof/>
                <w:sz w:val="20"/>
              </w:rPr>
            </w:pPr>
            <w:r>
              <w:rPr>
                <w:bCs/>
                <w:noProof/>
                <w:sz w:val="20"/>
              </w:rPr>
              <w:t>adoptată, T4 2020</w:t>
            </w:r>
          </w:p>
          <w:p w:rsidR="00A1317E" w:rsidRDefault="00A5267E">
            <w:pPr>
              <w:spacing w:after="0"/>
              <w:jc w:val="left"/>
              <w:rPr>
                <w:bCs/>
                <w:noProof/>
                <w:sz w:val="20"/>
              </w:rPr>
            </w:pPr>
            <w:r>
              <w:rPr>
                <w:bCs/>
                <w:noProof/>
                <w:sz w:val="20"/>
              </w:rPr>
              <w:t>T4 2020</w:t>
            </w:r>
          </w:p>
          <w:p w:rsidR="00A1317E" w:rsidRDefault="00A5267E">
            <w:pPr>
              <w:spacing w:after="0"/>
              <w:jc w:val="left"/>
              <w:rPr>
                <w:bCs/>
                <w:noProof/>
                <w:sz w:val="20"/>
              </w:rPr>
            </w:pP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b/>
                <w:bCs/>
                <w:noProof/>
                <w:sz w:val="20"/>
              </w:rPr>
            </w:pPr>
            <w:r>
              <w:rPr>
                <w:b/>
                <w:bCs/>
                <w:noProof/>
                <w:sz w:val="20"/>
              </w:rPr>
              <w:t>Democrația</w:t>
            </w:r>
          </w:p>
        </w:tc>
        <w:tc>
          <w:tcPr>
            <w:tcW w:w="9639" w:type="dxa"/>
            <w:tcBorders>
              <w:left w:val="single" w:sz="4" w:space="0" w:color="auto"/>
              <w:bottom w:val="single" w:sz="4" w:space="0" w:color="auto"/>
              <w:right w:val="single" w:sz="4" w:space="0" w:color="auto"/>
            </w:tcBorders>
            <w:tcMar>
              <w:top w:w="85" w:type="dxa"/>
              <w:bottom w:w="85" w:type="dxa"/>
            </w:tcMar>
          </w:tcPr>
          <w:p w:rsidR="00A1317E" w:rsidRDefault="00A5267E">
            <w:pPr>
              <w:spacing w:after="0"/>
              <w:rPr>
                <w:noProof/>
                <w:sz w:val="20"/>
              </w:rPr>
            </w:pPr>
            <w:r>
              <w:rPr>
                <w:b/>
                <w:bCs/>
                <w:noProof/>
                <w:sz w:val="20"/>
              </w:rPr>
              <w:t>D</w:t>
            </w:r>
            <w:r>
              <w:rPr>
                <w:b/>
                <w:bCs/>
                <w:noProof/>
                <w:sz w:val="20"/>
              </w:rPr>
              <w:t>ezinformare – verificarea veridicității faptelor / Planul de acțiune pentru democrația europeană</w:t>
            </w:r>
            <w:r>
              <w:rPr>
                <w:noProof/>
                <w:sz w:val="20"/>
              </w:rPr>
              <w:t xml:space="preserve"> (propunere fără caracter legislativ și propunere legislativă care include o evaluare a impactului, articolele 224 și 114 din TFUE, T4 2020)</w:t>
            </w:r>
          </w:p>
        </w:tc>
        <w:tc>
          <w:tcPr>
            <w:tcW w:w="1134" w:type="dxa"/>
            <w:tcBorders>
              <w:left w:val="single" w:sz="4" w:space="0" w:color="auto"/>
              <w:bottom w:val="single" w:sz="4" w:space="0" w:color="auto"/>
              <w:right w:val="single" w:sz="4" w:space="0" w:color="auto"/>
            </w:tcBorders>
          </w:tcPr>
          <w:p w:rsidR="00A1317E" w:rsidRDefault="00A5267E">
            <w:pPr>
              <w:spacing w:after="0"/>
              <w:jc w:val="left"/>
              <w:rPr>
                <w:bCs/>
                <w:noProof/>
                <w:sz w:val="20"/>
              </w:rPr>
            </w:pPr>
            <w:r>
              <w:rPr>
                <w:bCs/>
                <w:i/>
                <w:noProof/>
                <w:sz w:val="20"/>
              </w:rPr>
              <w:t>T2</w:t>
            </w:r>
            <w:r>
              <w:rPr>
                <w:bCs/>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Viitorul Europei</w:t>
            </w:r>
          </w:p>
        </w:tc>
        <w:tc>
          <w:tcPr>
            <w:tcW w:w="9639" w:type="dxa"/>
            <w:tcBorders>
              <w:bottom w:val="single" w:sz="4" w:space="0" w:color="auto"/>
            </w:tcBorders>
            <w:tcMar>
              <w:top w:w="85" w:type="dxa"/>
              <w:bottom w:w="85" w:type="dxa"/>
            </w:tcMar>
          </w:tcPr>
          <w:p w:rsidR="00A1317E" w:rsidRDefault="00A5267E">
            <w:pPr>
              <w:spacing w:after="0"/>
              <w:rPr>
                <w:noProof/>
                <w:sz w:val="20"/>
              </w:rPr>
            </w:pPr>
            <w:r>
              <w:rPr>
                <w:b/>
                <w:noProof/>
                <w:sz w:val="20"/>
              </w:rPr>
              <w:t>Pregătirea Conferinței privind viitorul Europe</w:t>
            </w:r>
            <w:r>
              <w:rPr>
                <w:noProof/>
                <w:sz w:val="20"/>
              </w:rPr>
              <w:t>i (propunere fără caracter legislativ, T1 2020)</w:t>
            </w:r>
          </w:p>
        </w:tc>
        <w:tc>
          <w:tcPr>
            <w:tcW w:w="1134" w:type="dxa"/>
            <w:tcBorders>
              <w:bottom w:val="single" w:sz="4" w:space="0" w:color="auto"/>
            </w:tcBorders>
          </w:tcPr>
          <w:p w:rsidR="00A1317E" w:rsidRDefault="00A5267E">
            <w:pPr>
              <w:spacing w:after="0"/>
              <w:rPr>
                <w:noProof/>
                <w:sz w:val="20"/>
              </w:rPr>
            </w:pPr>
            <w:r>
              <w:rPr>
                <w:noProof/>
                <w:sz w:val="20"/>
              </w:rPr>
              <w:t>adoptată</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Statul de drept</w:t>
            </w:r>
          </w:p>
        </w:tc>
        <w:tc>
          <w:tcPr>
            <w:tcW w:w="9639" w:type="dxa"/>
            <w:tcBorders>
              <w:bottom w:val="single" w:sz="4" w:space="0" w:color="auto"/>
            </w:tcBorders>
            <w:tcMar>
              <w:top w:w="85" w:type="dxa"/>
              <w:bottom w:w="85" w:type="dxa"/>
            </w:tcMar>
          </w:tcPr>
          <w:p w:rsidR="00A1317E" w:rsidRDefault="00A5267E">
            <w:pPr>
              <w:spacing w:after="0"/>
              <w:rPr>
                <w:noProof/>
                <w:sz w:val="20"/>
              </w:rPr>
            </w:pPr>
            <w:r>
              <w:rPr>
                <w:b/>
                <w:bCs/>
                <w:noProof/>
                <w:sz w:val="20"/>
              </w:rPr>
              <w:t xml:space="preserve">Raportul anual 2020 privind statul de drept </w:t>
            </w:r>
            <w:r>
              <w:rPr>
                <w:noProof/>
                <w:sz w:val="20"/>
              </w:rPr>
              <w:t>(propunere fără caracter legislativ, T3 2020)</w:t>
            </w:r>
          </w:p>
        </w:tc>
        <w:tc>
          <w:tcPr>
            <w:tcW w:w="1134" w:type="dxa"/>
            <w:tcBorders>
              <w:bottom w:val="single" w:sz="4" w:space="0" w:color="auto"/>
            </w:tcBorders>
          </w:tcPr>
          <w:p w:rsidR="00A1317E" w:rsidRDefault="00A5267E">
            <w:pPr>
              <w:spacing w:after="0"/>
              <w:rPr>
                <w:bCs/>
                <w:noProof/>
                <w:sz w:val="20"/>
              </w:rPr>
            </w:pPr>
            <w:r>
              <w:rPr>
                <w:bCs/>
                <w:noProof/>
                <w:sz w:val="20"/>
              </w:rPr>
              <w:t>T3 2020</w:t>
            </w:r>
          </w:p>
        </w:tc>
      </w:tr>
      <w:tr w:rsidR="00A1317E">
        <w:trPr>
          <w:cantSplit/>
        </w:trPr>
        <w:tc>
          <w:tcPr>
            <w:tcW w:w="483" w:type="dxa"/>
            <w:tcBorders>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A1317E" w:rsidRDefault="00A5267E">
            <w:pPr>
              <w:spacing w:after="0"/>
              <w:rPr>
                <w:b/>
                <w:bCs/>
                <w:noProof/>
                <w:color w:val="000000"/>
                <w:sz w:val="20"/>
              </w:rPr>
            </w:pPr>
            <w:r>
              <w:rPr>
                <w:b/>
                <w:bCs/>
                <w:noProof/>
                <w:sz w:val="20"/>
              </w:rPr>
              <w:t xml:space="preserve">Drepturile </w:t>
            </w:r>
            <w:r>
              <w:rPr>
                <w:b/>
                <w:bCs/>
                <w:noProof/>
                <w:sz w:val="20"/>
              </w:rPr>
              <w:t>fundamentale</w:t>
            </w:r>
          </w:p>
        </w:tc>
        <w:tc>
          <w:tcPr>
            <w:tcW w:w="9639" w:type="dxa"/>
            <w:tcMar>
              <w:top w:w="85" w:type="dxa"/>
              <w:bottom w:w="85" w:type="dxa"/>
            </w:tcMar>
          </w:tcPr>
          <w:p w:rsidR="00A1317E" w:rsidRDefault="00A5267E">
            <w:pPr>
              <w:spacing w:after="0"/>
              <w:jc w:val="left"/>
              <w:rPr>
                <w:noProof/>
                <w:sz w:val="20"/>
              </w:rPr>
            </w:pPr>
            <w:r>
              <w:rPr>
                <w:b/>
                <w:bCs/>
                <w:noProof/>
                <w:sz w:val="20"/>
              </w:rPr>
              <w:t>Noua Strategie pentru punerea în aplicare a Cartei drepturilor fundamentale</w:t>
            </w:r>
            <w:r>
              <w:rPr>
                <w:noProof/>
                <w:sz w:val="20"/>
              </w:rPr>
              <w:t xml:space="preserve"> (propunere fără caracter legislativ, T4 2020);</w:t>
            </w:r>
            <w:r>
              <w:rPr>
                <w:noProof/>
              </w:rPr>
              <w:t xml:space="preserve"> </w:t>
            </w:r>
            <w:r>
              <w:rPr>
                <w:noProof/>
              </w:rPr>
              <w:br/>
            </w:r>
            <w:r>
              <w:rPr>
                <w:b/>
                <w:bCs/>
                <w:noProof/>
                <w:sz w:val="20"/>
              </w:rPr>
              <w:t>Strategia UE privind drepturile victimelor</w:t>
            </w:r>
            <w:r>
              <w:rPr>
                <w:noProof/>
                <w:sz w:val="20"/>
              </w:rPr>
              <w:t xml:space="preserve"> (propunere fără caracter legislativ, T2 2020); </w:t>
            </w:r>
          </w:p>
          <w:p w:rsidR="00A1317E" w:rsidRDefault="00A5267E">
            <w:pPr>
              <w:spacing w:after="0"/>
              <w:jc w:val="left"/>
              <w:rPr>
                <w:noProof/>
                <w:sz w:val="20"/>
              </w:rPr>
            </w:pPr>
            <w:r>
              <w:rPr>
                <w:b/>
                <w:bCs/>
                <w:noProof/>
                <w:sz w:val="20"/>
              </w:rPr>
              <w:t>Raportul privind aplicarea R</w:t>
            </w:r>
            <w:r>
              <w:rPr>
                <w:b/>
                <w:bCs/>
                <w:noProof/>
                <w:sz w:val="20"/>
              </w:rPr>
              <w:t>egulamentului general privind protecția datelor (RGPD)</w:t>
            </w:r>
            <w:r>
              <w:rPr>
                <w:noProof/>
                <w:sz w:val="20"/>
              </w:rPr>
              <w:t xml:space="preserve"> (propunere fără caracter legislativ, T2 2020);</w:t>
            </w:r>
            <w:r>
              <w:rPr>
                <w:noProof/>
              </w:rPr>
              <w:t xml:space="preserve"> </w:t>
            </w:r>
            <w:r>
              <w:rPr>
                <w:noProof/>
              </w:rPr>
              <w:br/>
            </w:r>
            <w:r>
              <w:rPr>
                <w:b/>
                <w:bCs/>
                <w:noProof/>
                <w:sz w:val="20"/>
              </w:rPr>
              <w:t>Alinierea normelor relevante ale Uniunii în materie de asigurare a respectării legii în domeniul protecției datelor</w:t>
            </w:r>
            <w:r>
              <w:rPr>
                <w:noProof/>
                <w:sz w:val="20"/>
              </w:rPr>
              <w:t xml:space="preserve"> (propunere fără caracter legislativ, </w:t>
            </w:r>
            <w:r>
              <w:rPr>
                <w:noProof/>
                <w:sz w:val="20"/>
              </w:rPr>
              <w:t>T2 2020)</w:t>
            </w:r>
          </w:p>
        </w:tc>
        <w:tc>
          <w:tcPr>
            <w:tcW w:w="1134" w:type="dxa"/>
          </w:tcPr>
          <w:p w:rsidR="00A1317E" w:rsidRDefault="00A5267E">
            <w:pPr>
              <w:spacing w:after="0"/>
              <w:jc w:val="left"/>
              <w:rPr>
                <w:bCs/>
                <w:i/>
                <w:noProof/>
                <w:sz w:val="20"/>
              </w:rPr>
            </w:pPr>
            <w:r>
              <w:rPr>
                <w:bCs/>
                <w:noProof/>
                <w:sz w:val="20"/>
              </w:rPr>
              <w:t>T4 2020</w:t>
            </w:r>
          </w:p>
          <w:p w:rsidR="00A1317E" w:rsidRDefault="00A5267E">
            <w:pPr>
              <w:spacing w:after="0"/>
              <w:jc w:val="left"/>
              <w:rPr>
                <w:bCs/>
                <w:noProof/>
                <w:sz w:val="20"/>
              </w:rPr>
            </w:pPr>
            <w:r>
              <w:rPr>
                <w:bCs/>
                <w:noProof/>
                <w:sz w:val="20"/>
              </w:rPr>
              <w:t>T2 2020</w:t>
            </w:r>
          </w:p>
          <w:p w:rsidR="00A1317E" w:rsidRDefault="00A5267E">
            <w:pPr>
              <w:spacing w:after="0"/>
              <w:jc w:val="left"/>
              <w:rPr>
                <w:bCs/>
                <w:noProof/>
                <w:sz w:val="20"/>
              </w:rPr>
            </w:pPr>
            <w:r>
              <w:rPr>
                <w:bCs/>
                <w:noProof/>
                <w:sz w:val="20"/>
              </w:rPr>
              <w:t>T2 2020</w:t>
            </w:r>
          </w:p>
          <w:p w:rsidR="00A1317E" w:rsidRDefault="00A5267E">
            <w:pPr>
              <w:spacing w:after="0"/>
              <w:jc w:val="left"/>
              <w:rPr>
                <w:bCs/>
                <w:noProof/>
                <w:sz w:val="20"/>
              </w:rPr>
            </w:pPr>
            <w:r>
              <w:rPr>
                <w:bCs/>
                <w:noProof/>
                <w:sz w:val="20"/>
              </w:rPr>
              <w:t>T2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A1317E" w:rsidRDefault="00A5267E">
            <w:pPr>
              <w:spacing w:after="0"/>
              <w:rPr>
                <w:noProof/>
                <w:sz w:val="20"/>
              </w:rPr>
            </w:pPr>
            <w:r>
              <w:rPr>
                <w:b/>
                <w:bCs/>
                <w:noProof/>
                <w:sz w:val="20"/>
              </w:rPr>
              <w:t>O mai bună reglementare</w:t>
            </w:r>
          </w:p>
        </w:tc>
        <w:tc>
          <w:tcPr>
            <w:tcW w:w="9639" w:type="dxa"/>
            <w:tcBorders>
              <w:bottom w:val="single" w:sz="4" w:space="0" w:color="auto"/>
            </w:tcBorders>
            <w:tcMar>
              <w:top w:w="85" w:type="dxa"/>
              <w:bottom w:w="85" w:type="dxa"/>
            </w:tcMar>
          </w:tcPr>
          <w:p w:rsidR="00A1317E" w:rsidRDefault="00A5267E">
            <w:pPr>
              <w:spacing w:after="0"/>
              <w:rPr>
                <w:noProof/>
                <w:sz w:val="20"/>
              </w:rPr>
            </w:pPr>
            <w:r>
              <w:rPr>
                <w:b/>
                <w:noProof/>
                <w:sz w:val="20"/>
              </w:rPr>
              <w:t>Comunicarea privind o mai bună reglementare</w:t>
            </w:r>
            <w:r>
              <w:rPr>
                <w:noProof/>
                <w:sz w:val="20"/>
              </w:rPr>
              <w:t xml:space="preserve"> (propunere fără caracter legislativ, T2 2020) </w:t>
            </w:r>
          </w:p>
        </w:tc>
        <w:tc>
          <w:tcPr>
            <w:tcW w:w="1134" w:type="dxa"/>
            <w:tcBorders>
              <w:bottom w:val="single" w:sz="4" w:space="0" w:color="auto"/>
            </w:tcBorders>
          </w:tcPr>
          <w:p w:rsidR="00A1317E" w:rsidRDefault="00A5267E">
            <w:pPr>
              <w:spacing w:after="0"/>
              <w:rPr>
                <w:i/>
                <w:noProof/>
                <w:sz w:val="20"/>
              </w:rPr>
            </w:pPr>
            <w:r>
              <w:rPr>
                <w:i/>
                <w:noProof/>
                <w:sz w:val="20"/>
              </w:rPr>
              <w:t>T4 2020</w:t>
            </w:r>
          </w:p>
        </w:tc>
      </w:tr>
      <w:tr w:rsidR="00A1317E">
        <w:trPr>
          <w:cantSplit/>
        </w:trPr>
        <w:tc>
          <w:tcPr>
            <w:tcW w:w="483" w:type="dxa"/>
            <w:tcBorders>
              <w:bottom w:val="single" w:sz="4" w:space="0" w:color="auto"/>
              <w:right w:val="single" w:sz="4" w:space="0" w:color="auto"/>
            </w:tcBorders>
          </w:tcPr>
          <w:p w:rsidR="00A1317E" w:rsidRDefault="00A1317E">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vAlign w:val="center"/>
          </w:tcPr>
          <w:p w:rsidR="00A1317E" w:rsidRDefault="00A5267E">
            <w:pPr>
              <w:spacing w:after="0"/>
              <w:rPr>
                <w:noProof/>
                <w:sz w:val="20"/>
              </w:rPr>
            </w:pPr>
            <w:r>
              <w:rPr>
                <w:b/>
                <w:bCs/>
                <w:noProof/>
                <w:sz w:val="20"/>
              </w:rPr>
              <w:t>Analiza prospectivă</w:t>
            </w:r>
          </w:p>
        </w:tc>
        <w:tc>
          <w:tcPr>
            <w:tcW w:w="9639" w:type="dxa"/>
            <w:tcMar>
              <w:top w:w="85" w:type="dxa"/>
              <w:bottom w:w="85" w:type="dxa"/>
            </w:tcMar>
            <w:vAlign w:val="center"/>
          </w:tcPr>
          <w:p w:rsidR="00A1317E" w:rsidRDefault="00A5267E">
            <w:pPr>
              <w:spacing w:after="0"/>
              <w:rPr>
                <w:noProof/>
                <w:sz w:val="20"/>
              </w:rPr>
            </w:pPr>
            <w:r>
              <w:rPr>
                <w:b/>
                <w:noProof/>
                <w:sz w:val="20"/>
              </w:rPr>
              <w:t>Raportul anual din 2020 privind analiza prospectivă</w:t>
            </w:r>
            <w:r>
              <w:rPr>
                <w:noProof/>
                <w:sz w:val="20"/>
              </w:rPr>
              <w:t xml:space="preserve"> (propunere fără caracter legislativ, T2 2020)</w:t>
            </w:r>
          </w:p>
        </w:tc>
        <w:tc>
          <w:tcPr>
            <w:tcW w:w="1134" w:type="dxa"/>
          </w:tcPr>
          <w:p w:rsidR="00A1317E" w:rsidRDefault="00A5267E">
            <w:pPr>
              <w:spacing w:after="0"/>
              <w:rPr>
                <w:i/>
                <w:noProof/>
                <w:sz w:val="20"/>
              </w:rPr>
            </w:pPr>
            <w:r>
              <w:rPr>
                <w:i/>
                <w:noProof/>
                <w:sz w:val="20"/>
              </w:rPr>
              <w:t>T3 2020</w:t>
            </w:r>
          </w:p>
        </w:tc>
      </w:tr>
    </w:tbl>
    <w:p w:rsidR="00A1317E" w:rsidRDefault="00A1317E">
      <w:pPr>
        <w:spacing w:after="0"/>
        <w:rPr>
          <w:noProof/>
          <w:sz w:val="20"/>
        </w:rPr>
      </w:pPr>
    </w:p>
    <w:p w:rsidR="00A1317E" w:rsidRDefault="00A5267E">
      <w:pPr>
        <w:spacing w:after="0"/>
        <w:jc w:val="left"/>
        <w:rPr>
          <w:noProof/>
          <w:sz w:val="20"/>
        </w:rPr>
      </w:pPr>
      <w:r>
        <w:rPr>
          <w:noProof/>
        </w:rPr>
        <w:br w:type="page"/>
      </w:r>
    </w:p>
    <w:p w:rsidR="00A1317E" w:rsidRDefault="00A5267E">
      <w:pPr>
        <w:keepNext/>
        <w:tabs>
          <w:tab w:val="left" w:pos="651"/>
          <w:tab w:val="left" w:pos="2054"/>
          <w:tab w:val="left" w:pos="4893"/>
        </w:tabs>
        <w:spacing w:after="600" w:line="276" w:lineRule="auto"/>
        <w:jc w:val="center"/>
        <w:rPr>
          <w:b/>
          <w:bCs/>
          <w:noProof/>
          <w:sz w:val="28"/>
          <w:szCs w:val="28"/>
          <w:u w:val="single"/>
        </w:rPr>
      </w:pPr>
      <w:r>
        <w:rPr>
          <w:b/>
          <w:bCs/>
          <w:noProof/>
          <w:sz w:val="28"/>
          <w:szCs w:val="28"/>
          <w:u w:val="single"/>
        </w:rPr>
        <w:t>Anexa II: Inițiative REFIT</w:t>
      </w:r>
      <w:r>
        <w:rPr>
          <w:rStyle w:val="FootnoteReference"/>
          <w:b/>
          <w:bCs/>
          <w:noProof/>
          <w:sz w:val="28"/>
          <w:szCs w:val="28"/>
          <w:u w:val="single"/>
          <w:lang w:eastAsia="de-DE"/>
        </w:rPr>
        <w:footnoteReference w:id="4"/>
      </w:r>
    </w:p>
    <w:tbl>
      <w:tblPr>
        <w:tblW w:w="4688" w:type="pct"/>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454"/>
        <w:gridCol w:w="5864"/>
        <w:gridCol w:w="8565"/>
      </w:tblGrid>
      <w:tr w:rsidR="00A1317E">
        <w:trPr>
          <w:cantSplit/>
          <w:tblHeader/>
        </w:trPr>
        <w:tc>
          <w:tcPr>
            <w:tcW w:w="89" w:type="pct"/>
            <w:tcBorders>
              <w:bottom w:val="single" w:sz="4" w:space="0" w:color="auto"/>
            </w:tcBorders>
            <w:shd w:val="clear" w:color="auto" w:fill="99CCFF"/>
            <w:vAlign w:val="center"/>
          </w:tcPr>
          <w:p w:rsidR="00A1317E" w:rsidRDefault="00A5267E">
            <w:pPr>
              <w:keepNext/>
              <w:spacing w:after="0" w:line="276" w:lineRule="auto"/>
              <w:jc w:val="center"/>
              <w:rPr>
                <w:rFonts w:eastAsiaTheme="minorHAnsi" w:cstheme="minorBidi"/>
                <w:b/>
                <w:noProof/>
                <w:sz w:val="20"/>
              </w:rPr>
            </w:pPr>
            <w:r>
              <w:rPr>
                <w:b/>
                <w:bCs/>
                <w:noProof/>
                <w:sz w:val="20"/>
              </w:rPr>
              <w:t>Nr.</w:t>
            </w:r>
          </w:p>
        </w:tc>
        <w:tc>
          <w:tcPr>
            <w:tcW w:w="2002" w:type="pct"/>
            <w:tcBorders>
              <w:bottom w:val="single" w:sz="4" w:space="0" w:color="auto"/>
            </w:tcBorders>
            <w:shd w:val="clear" w:color="auto" w:fill="99CCFF"/>
            <w:vAlign w:val="center"/>
          </w:tcPr>
          <w:p w:rsidR="00A1317E" w:rsidRDefault="00A5267E">
            <w:pPr>
              <w:keepNext/>
              <w:spacing w:after="0" w:line="276" w:lineRule="auto"/>
              <w:jc w:val="center"/>
              <w:rPr>
                <w:rFonts w:eastAsiaTheme="minorHAnsi" w:cstheme="minorBidi"/>
                <w:b/>
                <w:noProof/>
                <w:sz w:val="20"/>
              </w:rPr>
            </w:pPr>
            <w:r>
              <w:rPr>
                <w:b/>
                <w:noProof/>
                <w:sz w:val="20"/>
              </w:rPr>
              <w:t>Titlul</w:t>
            </w:r>
          </w:p>
        </w:tc>
        <w:tc>
          <w:tcPr>
            <w:tcW w:w="2909" w:type="pct"/>
            <w:tcBorders>
              <w:bottom w:val="single" w:sz="4" w:space="0" w:color="auto"/>
            </w:tcBorders>
            <w:shd w:val="clear" w:color="auto" w:fill="99CCFF"/>
            <w:vAlign w:val="center"/>
          </w:tcPr>
          <w:p w:rsidR="00A1317E" w:rsidRDefault="00A5267E">
            <w:pPr>
              <w:keepNext/>
              <w:spacing w:after="0" w:line="276" w:lineRule="auto"/>
              <w:jc w:val="center"/>
              <w:rPr>
                <w:rFonts w:eastAsiaTheme="minorHAnsi" w:cstheme="minorBidi"/>
                <w:b/>
                <w:noProof/>
                <w:sz w:val="20"/>
              </w:rPr>
            </w:pPr>
            <w:r>
              <w:rPr>
                <w:b/>
                <w:noProof/>
                <w:sz w:val="20"/>
              </w:rPr>
              <w:t>Obiectivul/potențialul de simplificare</w:t>
            </w:r>
            <w:r>
              <w:rPr>
                <w:noProof/>
                <w:sz w:val="20"/>
              </w:rPr>
              <w:t xml:space="preserve"> (o scurtă explicație a obiectivului REFIT al revizuirilor și a potențialului de simplificare al evaluărilor și verificărilor adecvării)</w:t>
            </w:r>
          </w:p>
        </w:tc>
      </w:tr>
      <w:tr w:rsidR="00A1317E">
        <w:trPr>
          <w:cantSplit/>
        </w:trPr>
        <w:tc>
          <w:tcPr>
            <w:tcW w:w="5000" w:type="pct"/>
            <w:gridSpan w:val="3"/>
            <w:tcBorders>
              <w:top w:val="single" w:sz="4" w:space="0" w:color="auto"/>
              <w:left w:val="single" w:sz="4" w:space="0" w:color="auto"/>
              <w:bottom w:val="single" w:sz="4" w:space="0" w:color="auto"/>
            </w:tcBorders>
            <w:shd w:val="clear" w:color="auto" w:fill="9ACA3C" w:themeFill="accent1"/>
          </w:tcPr>
          <w:p w:rsidR="00A1317E" w:rsidRDefault="00A5267E">
            <w:pPr>
              <w:keepNext/>
              <w:spacing w:before="60" w:after="60"/>
              <w:rPr>
                <w:b/>
                <w:bCs/>
                <w:noProof/>
                <w:sz w:val="20"/>
              </w:rPr>
            </w:pPr>
            <w:r>
              <w:rPr>
                <w:b/>
                <w:bCs/>
                <w:noProof/>
                <w:color w:val="FFFFFF" w:themeColor="background1"/>
                <w:sz w:val="20"/>
              </w:rPr>
              <w:t>Pactul verde european</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rPr>
            </w:pPr>
            <w:r>
              <w:rPr>
                <w:b/>
                <w:bCs/>
                <w:noProof/>
                <w:sz w:val="20"/>
              </w:rPr>
              <w:t xml:space="preserve">Evaluarea standardelor de comercializare [cuprinse în Regulamentul privind organizarea comună </w:t>
            </w:r>
            <w:r>
              <w:rPr>
                <w:b/>
                <w:bCs/>
                <w:noProof/>
                <w:sz w:val="20"/>
              </w:rPr>
              <w:t>unică a piețelor (OCP), în „directivele privind micul dejun” și în legislația secundară privind OCP]</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Evaluarea standardelor de comercializare va contribui la verificarea coerenței dintre diferitele acte legislative, precum și la identificarea potențialului</w:t>
            </w:r>
            <w:r>
              <w:rPr>
                <w:noProof/>
                <w:sz w:val="20"/>
              </w:rPr>
              <w:t xml:space="preserve"> lor de simplificare. Rezultatele evaluării ar putea servi drept bază pentru procesul de reflecție cu privire la necesitatea aducerii unor modificări normative standardelor de comercializare.</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highlight w:val="red"/>
              </w:rPr>
            </w:pPr>
            <w:r>
              <w:rPr>
                <w:b/>
                <w:bCs/>
                <w:noProof/>
                <w:sz w:val="20"/>
              </w:rPr>
              <w:t xml:space="preserve">Evaluarea indicațiilor geografice și a specialităților </w:t>
            </w:r>
            <w:r>
              <w:rPr>
                <w:b/>
                <w:bCs/>
                <w:noProof/>
                <w:sz w:val="20"/>
              </w:rPr>
              <w:t>tradiționale garantate protejate în cadrul Uniunii Europene</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Evaluarea indicațiilor geografice și a specialităților tradiționale garantate va contribui la verificarea coerenței dintre diferitele acte legislative referitoare la sistemele de calitate ale UE ș</w:t>
            </w:r>
            <w:r>
              <w:rPr>
                <w:noProof/>
                <w:sz w:val="20"/>
              </w:rPr>
              <w:t>i va fi o ocazie de a analiza necesitatea îmbunătățirii cadrului juridic (din perspectiva modernizării, a simplificării și a raționalizării sale). Rezultatele evaluării ar putea servi drept bază pentru procesul de reflecție cu privire la necesitatea aducer</w:t>
            </w:r>
            <w:r>
              <w:rPr>
                <w:noProof/>
                <w:sz w:val="20"/>
              </w:rPr>
              <w:t>ii unor modificări normative sistemelor de calitate ale UE.</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rPr>
            </w:pPr>
            <w:r>
              <w:rPr>
                <w:b/>
                <w:bCs/>
                <w:noProof/>
                <w:sz w:val="20"/>
              </w:rPr>
              <w:t xml:space="preserve">Revizuirea Orientărilor privind anumite măsuri de ajutor de stat acordate în contextul schemei de comercializare a certificatelor de emisii de gaze cu efect de seră după 2020 </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pacing w:val="-2"/>
                <w:sz w:val="20"/>
              </w:rPr>
            </w:pPr>
            <w:r>
              <w:rPr>
                <w:noProof/>
                <w:spacing w:val="-2"/>
                <w:sz w:val="20"/>
              </w:rPr>
              <w:t xml:space="preserve">Statele membre le </w:t>
            </w:r>
            <w:r>
              <w:rPr>
                <w:noProof/>
                <w:spacing w:val="-2"/>
                <w:sz w:val="20"/>
              </w:rPr>
              <w:t>pot oferi utilizatorilor cu un consum ridicat de energie electrică o compensație pentru o parte din costurile mai ridicate cu energia electrică suportate de aceștia și care decurg din sistemul UE de comercializare a certificatelor de emisii. Obiectivul une</w:t>
            </w:r>
            <w:r>
              <w:rPr>
                <w:noProof/>
                <w:spacing w:val="-2"/>
                <w:sz w:val="20"/>
              </w:rPr>
              <w:t>i astfel de compensații este de a reduce la minimum riscul de relocare a emisiilor de dioxid de carbon, care apare atunci când, din cauza costurilor aferente emisiilor, acestea sunt relocate din UE către țări terțe care nu se confruntă cu constrângeri comp</w:t>
            </w:r>
            <w:r>
              <w:rPr>
                <w:noProof/>
                <w:spacing w:val="-2"/>
                <w:sz w:val="20"/>
              </w:rPr>
              <w:t>arabile. Normele existente privind compensarea vor fi revizuite pentru a se asigura faptul că acestea sunt adaptate la noul sistem de comercializare a certificatelor de emisie pentru perioada 2021-2030. (propunere fără caracter legislativ care include o ev</w:t>
            </w:r>
            <w:r>
              <w:rPr>
                <w:noProof/>
                <w:spacing w:val="-2"/>
                <w:sz w:val="20"/>
              </w:rPr>
              <w:t>aluare a impactului, T4 2020)</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rPr>
            </w:pPr>
            <w:r>
              <w:rPr>
                <w:b/>
                <w:bCs/>
                <w:noProof/>
                <w:sz w:val="20"/>
              </w:rPr>
              <w:t xml:space="preserve">Revizuirea Regulamentului privind rețelele transeuropene de energie (TEN-E) </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i/>
                <w:iCs/>
                <w:noProof/>
                <w:sz w:val="20"/>
              </w:rPr>
            </w:pPr>
            <w:r>
              <w:rPr>
                <w:noProof/>
                <w:sz w:val="20"/>
              </w:rPr>
              <w:t xml:space="preserve">Această inițiativă va garanta alinierea deplină a Regulamentului TEN-E cu Pactul verde european și cu obiectivele de decarbonizare pe termen lung </w:t>
            </w:r>
            <w:r>
              <w:rPr>
                <w:noProof/>
                <w:sz w:val="20"/>
              </w:rPr>
              <w:t>ale Uniunii, contribuind în același timp la integrarea sectorului și a pieței, la securitatea aprovizionării și la stimularea concurenței. (propunere legislativă care include o evaluare a impactului, articolele 170-171 din TFUE, T4 2020)</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rPr>
            </w:pPr>
            <w:r>
              <w:rPr>
                <w:b/>
                <w:bCs/>
                <w:noProof/>
                <w:sz w:val="20"/>
              </w:rPr>
              <w:t>Evaluarea Direct</w:t>
            </w:r>
            <w:r>
              <w:rPr>
                <w:b/>
                <w:bCs/>
                <w:noProof/>
                <w:sz w:val="20"/>
              </w:rPr>
              <w:t>ivei 2011/65/UE privind restricțiile de utilizare a anumitor substanțe periculoase în echipamentele electrice și electronice (RoHS)</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În cadrul evaluării Directivei RoHS se vor analiza eficacitatea și eficiența acesteia din perspectiva procedurii de adoptare</w:t>
            </w:r>
            <w:r>
              <w:rPr>
                <w:noProof/>
                <w:sz w:val="20"/>
              </w:rPr>
              <w:t xml:space="preserve"> a restricțiilor de utilizare a anumitor substanțe și a procesului de acordare de derogări de la restricții. Se va evalua, de asemenea, coerența directivei cu alte acte legislative ale UE și relevanța sa comparativ cu alte acte legislative, în special în c</w:t>
            </w:r>
            <w:r>
              <w:rPr>
                <w:noProof/>
                <w:sz w:val="20"/>
              </w:rPr>
              <w:t>ontextul evaluării Regulamentului REACH și a Directivei privind proiectarea ecologică.</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rPr>
            </w:pPr>
            <w:r>
              <w:rPr>
                <w:b/>
                <w:bCs/>
                <w:noProof/>
                <w:sz w:val="20"/>
              </w:rPr>
              <w:t xml:space="preserve">Evaluarea Directivei 2000/53/UE privind vehiculele scoase din uz </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În cadrul evaluării Directivei privind vehiculele scoase din uz se vor examina eficacitatea, eficienț</w:t>
            </w:r>
            <w:r>
              <w:rPr>
                <w:noProof/>
                <w:sz w:val="20"/>
              </w:rPr>
              <w:t>a și coerența sa cu alte acte legislative și relevanța sa din perspectiva obiectivelor de politică mai ample referitoare la economia circulară, materialele plastice, utilizarea eficientă a resurselor, materiile prime etc.</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rPr>
            </w:pPr>
            <w:r>
              <w:rPr>
                <w:b/>
                <w:bCs/>
                <w:noProof/>
                <w:sz w:val="20"/>
              </w:rPr>
              <w:t xml:space="preserve">Evaluarea Directivei 2010/75/UE </w:t>
            </w:r>
            <w:r>
              <w:rPr>
                <w:b/>
                <w:bCs/>
                <w:noProof/>
                <w:sz w:val="20"/>
              </w:rPr>
              <w:t>privind emisiile industriale</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 xml:space="preserve">În cadrul evaluării Directivei privind emisiile industriale se vor analiza eficacitatea, eficiența, valoarea sa adăugată europeană, coerența sa cu alte acte legislative și relevanța sa în a aborda sursele importante de poluare </w:t>
            </w:r>
            <w:r>
              <w:rPr>
                <w:noProof/>
                <w:sz w:val="20"/>
              </w:rPr>
              <w:t>(agro)industrială a aerului, a apei și a solului.</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highlight w:val="green"/>
              </w:rPr>
            </w:pPr>
            <w:r>
              <w:rPr>
                <w:b/>
                <w:bCs/>
                <w:noProof/>
                <w:sz w:val="20"/>
              </w:rPr>
              <w:t>Verificarea adecvării normelor UE de combatere a exploatării forestiere ilegale [Regulamentul UE privind lemnul, Regulamentul (UE) nr. 995/2010 și Regulamentul (CE) nr. 2173/2005 privind licențele FLEGT a</w:t>
            </w:r>
            <w:r>
              <w:rPr>
                <w:b/>
                <w:bCs/>
                <w:noProof/>
                <w:sz w:val="20"/>
              </w:rPr>
              <w:t>le UE]</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 xml:space="preserve">În cadrul verificării adecvării se vor evalua eficacitatea, eficiența, coerența, relevanța și valoarea adăugată europeană a regulamentelor în a contribui la combaterea exploatării forestiere ilegale la nivel mondial. Învățămintele desprinse în urma </w:t>
            </w:r>
            <w:r>
              <w:rPr>
                <w:noProof/>
                <w:sz w:val="20"/>
              </w:rPr>
              <w:t>verificării adecvării vor fi utile pentru a evalua măsurile legate de cerere adoptate pentru alte materii prime.</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highlight w:val="green"/>
              </w:rPr>
            </w:pPr>
            <w:r>
              <w:rPr>
                <w:b/>
                <w:bCs/>
                <w:noProof/>
                <w:sz w:val="20"/>
              </w:rPr>
              <w:t xml:space="preserve">Revizuirea Directivei UE privind bateriile </w:t>
            </w:r>
          </w:p>
        </w:tc>
        <w:tc>
          <w:tcPr>
            <w:tcW w:w="2909" w:type="pct"/>
            <w:tcBorders>
              <w:top w:val="single" w:sz="4" w:space="0" w:color="auto"/>
              <w:left w:val="single" w:sz="4" w:space="0" w:color="auto"/>
              <w:bottom w:val="single" w:sz="4" w:space="0" w:color="auto"/>
            </w:tcBorders>
            <w:vAlign w:val="center"/>
          </w:tcPr>
          <w:p w:rsidR="00A1317E" w:rsidRDefault="00A5267E">
            <w:pPr>
              <w:keepNext/>
              <w:spacing w:after="0"/>
              <w:rPr>
                <w:rFonts w:eastAsiaTheme="minorEastAsia" w:cstheme="minorBidi"/>
                <w:noProof/>
                <w:sz w:val="20"/>
              </w:rPr>
            </w:pPr>
            <w:r>
              <w:rPr>
                <w:noProof/>
                <w:sz w:val="20"/>
              </w:rPr>
              <w:t>În conformitate cu concluziile formulate în rapoartele de evaluare/punere în aplicare a Directive</w:t>
            </w:r>
            <w:r>
              <w:rPr>
                <w:noProof/>
                <w:sz w:val="20"/>
              </w:rPr>
              <w:t>i privind bateriile, revizuirea ar trebui să aibă drept obiectiv integrarea mai fermă a preocupării pentru circularitate, îmbunătățirea durabilității și adaptarea la evoluțiile tehnologice. Acest lucru este prevăzut și în Planul de acțiune strategic privin</w:t>
            </w:r>
            <w:r>
              <w:rPr>
                <w:noProof/>
                <w:sz w:val="20"/>
              </w:rPr>
              <w:t xml:space="preserve">d bateriile. Astfel cum se prevede în concluziile rapoartelor privind directiva, inițiativa va modifica directiva sau va fi elaborată o propunere de adoptare a unui nou regulament de abrogare a directivei, care să includă în special cerințe referitoare la </w:t>
            </w:r>
            <w:r>
              <w:rPr>
                <w:noProof/>
                <w:sz w:val="20"/>
              </w:rPr>
              <w:t>scoaterea din uz și la durabilitate. (propunere legislativă care include o evaluare a impactului; T4 2020]</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rPr>
                <w:rFonts w:eastAsiaTheme="minorEastAsia" w:cstheme="minorBidi"/>
                <w:b/>
                <w:bCs/>
                <w:noProof/>
                <w:sz w:val="20"/>
                <w:highlight w:val="yellow"/>
              </w:rPr>
            </w:pPr>
            <w:r>
              <w:rPr>
                <w:b/>
                <w:bCs/>
                <w:noProof/>
                <w:sz w:val="20"/>
              </w:rPr>
              <w:t>Verificarea adecvării legislației UE relevante privind perturbatorii endocrini</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 xml:space="preserve">Perturbatorii endocrini sunt substanțe chimice care afectează </w:t>
            </w:r>
            <w:r>
              <w:rPr>
                <w:noProof/>
                <w:sz w:val="20"/>
              </w:rPr>
              <w:t>funcționarea sistemului endocrin (hormonal) și au un impact negativ asupra sănătății oamenilor sau a animalelor. UE a adoptat diverse măsuri care reglementează aceste substanțe. În cadrul verificării adecvării se va evalua dacă aceste măsuri îndeplinesc ob</w:t>
            </w:r>
            <w:r>
              <w:rPr>
                <w:noProof/>
                <w:sz w:val="20"/>
              </w:rPr>
              <w:t>iectivul general de protejare a sănătății umane și a mediului. Se vor evalua coerența, eficacitatea, eficiența, relevanța și valoarea adăugată europeană a legislației UE, cu accent pe asigurarea coerenței între diferitele acte legislative care formează acq</w:t>
            </w:r>
            <w:r>
              <w:rPr>
                <w:noProof/>
                <w:sz w:val="20"/>
              </w:rPr>
              <w:t>uis-ul în domeniul substanțelor chimice.</w:t>
            </w:r>
          </w:p>
        </w:tc>
      </w:tr>
      <w:tr w:rsidR="00A1317E">
        <w:trPr>
          <w:cantSplit/>
        </w:trPr>
        <w:tc>
          <w:tcPr>
            <w:tcW w:w="89" w:type="pct"/>
            <w:tcBorders>
              <w:bottom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bottom w:val="single" w:sz="4" w:space="0" w:color="auto"/>
            </w:tcBorders>
          </w:tcPr>
          <w:p w:rsidR="00A1317E" w:rsidRDefault="00A5267E">
            <w:pPr>
              <w:keepNext/>
              <w:spacing w:after="0"/>
              <w:rPr>
                <w:rFonts w:eastAsiaTheme="minorEastAsia" w:cstheme="minorBidi"/>
                <w:b/>
                <w:bCs/>
                <w:noProof/>
                <w:sz w:val="20"/>
                <w:highlight w:val="yellow"/>
              </w:rPr>
            </w:pPr>
            <w:r>
              <w:rPr>
                <w:b/>
                <w:bCs/>
                <w:noProof/>
                <w:sz w:val="20"/>
              </w:rPr>
              <w:t>Revizuirea Regulamentului privind standardele de comercializare aplicabile produselor pescărești și de acvacultură în UE*</w:t>
            </w:r>
          </w:p>
        </w:tc>
        <w:tc>
          <w:tcPr>
            <w:tcW w:w="2909" w:type="pct"/>
            <w:tcBorders>
              <w:bottom w:val="single" w:sz="4" w:space="0" w:color="auto"/>
            </w:tcBorders>
          </w:tcPr>
          <w:p w:rsidR="00A1317E" w:rsidRDefault="00A5267E">
            <w:pPr>
              <w:keepNext/>
              <w:spacing w:after="0"/>
              <w:rPr>
                <w:rFonts w:eastAsiaTheme="minorEastAsia" w:cstheme="minorBidi"/>
                <w:noProof/>
                <w:sz w:val="20"/>
              </w:rPr>
            </w:pPr>
            <w:r>
              <w:rPr>
                <w:noProof/>
                <w:sz w:val="20"/>
              </w:rPr>
              <w:t xml:space="preserve">Această revizuire va simplifica cadrul juridic: un singur regulament (UE) va înlocui cele </w:t>
            </w:r>
            <w:r>
              <w:rPr>
                <w:noProof/>
                <w:sz w:val="20"/>
              </w:rPr>
              <w:t>trei regulamente care reglementează în prezent produsele de acvacultură, transparența și informarea consumatorilor. (propunere legislativă care include o evaluare a impactului, articolul 43 din TFUE, politica comună în domeniul pescuitului, T1 2021)</w:t>
            </w:r>
          </w:p>
        </w:tc>
      </w:tr>
      <w:tr w:rsidR="00A1317E">
        <w:trPr>
          <w:cantSplit/>
        </w:trPr>
        <w:tc>
          <w:tcPr>
            <w:tcW w:w="89" w:type="pct"/>
            <w:tcBorders>
              <w:bottom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bottom w:val="single" w:sz="4" w:space="0" w:color="auto"/>
            </w:tcBorders>
          </w:tcPr>
          <w:p w:rsidR="00A1317E" w:rsidRDefault="00A5267E">
            <w:pPr>
              <w:keepNext/>
              <w:spacing w:after="0"/>
              <w:jc w:val="left"/>
              <w:rPr>
                <w:rFonts w:eastAsiaTheme="minorEastAsia" w:cstheme="minorBidi"/>
                <w:b/>
                <w:bCs/>
                <w:noProof/>
                <w:sz w:val="20"/>
              </w:rPr>
            </w:pPr>
            <w:r>
              <w:rPr>
                <w:b/>
                <w:bCs/>
                <w:noProof/>
                <w:sz w:val="20"/>
              </w:rPr>
              <w:t>Evaluarea Regulamentului 913/2010 privind rețeaua feroviară europeană pentru un transport de marfă competitiv</w:t>
            </w:r>
            <w:r>
              <w:rPr>
                <w:noProof/>
              </w:rPr>
              <w:t xml:space="preserve"> </w:t>
            </w:r>
            <w:r>
              <w:rPr>
                <w:noProof/>
              </w:rPr>
              <w:br/>
            </w:r>
            <w:r>
              <w:rPr>
                <w:b/>
                <w:bCs/>
                <w:noProof/>
                <w:sz w:val="20"/>
              </w:rPr>
              <w:t>(Regulamentul privind coridoarele de transport feroviar de marfă)</w:t>
            </w:r>
          </w:p>
        </w:tc>
        <w:tc>
          <w:tcPr>
            <w:tcW w:w="2909" w:type="pct"/>
            <w:tcBorders>
              <w:bottom w:val="single" w:sz="4" w:space="0" w:color="auto"/>
            </w:tcBorders>
          </w:tcPr>
          <w:p w:rsidR="00A1317E" w:rsidRDefault="00A5267E">
            <w:pPr>
              <w:keepNext/>
              <w:spacing w:after="0"/>
              <w:rPr>
                <w:rFonts w:eastAsiaTheme="minorEastAsia" w:cstheme="minorBidi"/>
                <w:noProof/>
                <w:sz w:val="20"/>
              </w:rPr>
            </w:pPr>
            <w:r>
              <w:rPr>
                <w:noProof/>
                <w:sz w:val="20"/>
              </w:rPr>
              <w:t xml:space="preserve">Utilizarea mai intensă a transportului feroviar de marfă este un element-cheie </w:t>
            </w:r>
            <w:r>
              <w:rPr>
                <w:noProof/>
                <w:sz w:val="20"/>
              </w:rPr>
              <w:t>al politicii UE de reducere a emisiilor de CO</w:t>
            </w:r>
            <w:r>
              <w:rPr>
                <w:noProof/>
                <w:sz w:val="20"/>
                <w:vertAlign w:val="subscript"/>
              </w:rPr>
              <w:t>2</w:t>
            </w:r>
            <w:r>
              <w:rPr>
                <w:noProof/>
                <w:sz w:val="20"/>
              </w:rPr>
              <w:t>, dar se lovește de o seamă de dificultăți. Regulamentul privind coridoarele de transport feroviar de marfă vizează îmbunătățirea cooperării și a coordonării pe mai multe coridoare care prezintă un potențial de</w:t>
            </w:r>
            <w:r>
              <w:rPr>
                <w:noProof/>
                <w:sz w:val="20"/>
              </w:rPr>
              <w:t>osebit pentru dezvoltarea transportului feroviar de marfă internațional.</w:t>
            </w:r>
            <w:r>
              <w:rPr>
                <w:noProof/>
              </w:rPr>
              <w:t xml:space="preserve"> </w:t>
            </w:r>
            <w:r>
              <w:rPr>
                <w:noProof/>
              </w:rPr>
              <w:br/>
            </w:r>
            <w:r>
              <w:rPr>
                <w:noProof/>
                <w:sz w:val="20"/>
              </w:rPr>
              <w:t>Regulamentul (UE) 913/2010 privind rețeaua feroviară europeană pentru un transport de marfă competitiv a intrat în vigoare în 2010 și au fost create nouă coridoare de transport ferov</w:t>
            </w:r>
            <w:r>
              <w:rPr>
                <w:noProof/>
                <w:sz w:val="20"/>
              </w:rPr>
              <w:t>iar de marfă, alte două coridoare urmând să fie adăugate ulterior. Scopul acestei evaluări este de a oferi o imagine completă asupra punerii în aplicare a regulamentului, precum și de a evalua efectele acestuia. Evaluarea va fi utilă pentru a se stabili ce</w:t>
            </w:r>
            <w:r>
              <w:rPr>
                <w:noProof/>
                <w:sz w:val="20"/>
              </w:rPr>
              <w:t xml:space="preserve"> măsuri suplimentare la nivelul UE ar fi necesare pentru a stimula transportul feroviar de marfă.</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highlight w:val="yellow"/>
              </w:rPr>
            </w:pPr>
            <w:r>
              <w:rPr>
                <w:b/>
                <w:bCs/>
                <w:noProof/>
                <w:sz w:val="20"/>
              </w:rPr>
              <w:t xml:space="preserve">Evaluarea Directivei 2009/128/CE privind utilizarea durabilă a pesticidelor </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În cadrul acestei evaluări se vor analiza, printre altele, progresele realizate</w:t>
            </w:r>
            <w:r>
              <w:rPr>
                <w:noProof/>
                <w:sz w:val="20"/>
              </w:rPr>
              <w:t xml:space="preserve"> de directivă în ceea ce privește reducerea dependenței de pesticide și stimularea adoptării alternativelor cu risc redus și nechimice la pesticide. Va fi avut în vedere și potențialul de simplificare a directivei, de exemplu, în ceea ce privește normele d</w:t>
            </w:r>
            <w:r>
              <w:rPr>
                <w:noProof/>
                <w:sz w:val="20"/>
              </w:rPr>
              <w:t>e inspecție a echipamentelor de aplicare a pesticidelor și noile norme oficiale de control.</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highlight w:val="yellow"/>
              </w:rPr>
            </w:pPr>
            <w:r>
              <w:rPr>
                <w:b/>
                <w:bCs/>
                <w:noProof/>
                <w:sz w:val="20"/>
              </w:rPr>
              <w:t xml:space="preserve">Evaluarea Strategiei UE privind bunăstarea animalelor (2012-2015) </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b/>
                <w:bCs/>
                <w:noProof/>
                <w:sz w:val="20"/>
              </w:rPr>
            </w:pPr>
            <w:r>
              <w:rPr>
                <w:noProof/>
                <w:sz w:val="20"/>
              </w:rPr>
              <w:t xml:space="preserve">În cadrul acestei evaluări se va analiza măsura în care Strategia UE privind bunăstarea </w:t>
            </w:r>
            <w:r>
              <w:rPr>
                <w:noProof/>
                <w:sz w:val="20"/>
              </w:rPr>
              <w:t>animalelor a contribuit la simplificarea cadrului UE privind bunăstarea animalelor și posibilitățile de simplificare existente în lumina evoluției necesităților în acest domeniu.</w:t>
            </w:r>
          </w:p>
        </w:tc>
      </w:tr>
      <w:tr w:rsidR="00A1317E">
        <w:trPr>
          <w:cantSplit/>
          <w:trHeight w:val="2027"/>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rPr>
            </w:pPr>
            <w:r>
              <w:rPr>
                <w:b/>
                <w:bCs/>
                <w:noProof/>
                <w:sz w:val="20"/>
              </w:rPr>
              <w:t xml:space="preserve">Evaluarea autorizării produselor de protecție a plantelor și a limitelor </w:t>
            </w:r>
            <w:r>
              <w:rPr>
                <w:b/>
                <w:bCs/>
                <w:noProof/>
                <w:sz w:val="20"/>
              </w:rPr>
              <w:t>maxime de reziduuri de pesticide</w:t>
            </w:r>
            <w:bookmarkStart w:id="1" w:name="_Ref41333103"/>
            <w:r>
              <w:rPr>
                <w:rStyle w:val="FootnoteReference"/>
                <w:rFonts w:eastAsiaTheme="minorEastAsia" w:cstheme="minorBidi"/>
                <w:b/>
                <w:bCs/>
                <w:noProof/>
                <w:sz w:val="20"/>
                <w:lang w:eastAsia="en-US"/>
              </w:rPr>
              <w:footnoteReference w:id="5"/>
            </w:r>
            <w:bookmarkEnd w:id="1"/>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În cadrul acestei evaluări se evaluează punerea în aplicare și funcționarea Regulamentului nr. 1107/2009 privind produsele de protecție a plantelor și a Regulamentului (CE) nr. 396/2005 privind conținuturile maxime de rezi</w:t>
            </w:r>
            <w:r>
              <w:rPr>
                <w:noProof/>
                <w:sz w:val="20"/>
              </w:rPr>
              <w:t>duuri în toate statele membre în intervalul de timp care a trecut de la aplicarea acestora în iunie 2011 și, respectiv, în septembrie 2008. Evaluarea propune modalități posibile de îmbunătățire a punerii în aplicare a regulamentelor pentru a simplifica sau</w:t>
            </w:r>
            <w:r>
              <w:rPr>
                <w:noProof/>
                <w:sz w:val="20"/>
              </w:rPr>
              <w:t xml:space="preserve"> a consolida cadrul de reglementare actual, de exemplu prin abordarea întârzierilor și sporirea transparenței, prin îmbunătățirea sistemului de autorizare pe zone și recunoașterea reciprocă a autorizațiilor, prin promovarea protecției durabile a plantelor,</w:t>
            </w:r>
            <w:r>
              <w:rPr>
                <w:noProof/>
                <w:sz w:val="20"/>
              </w:rPr>
              <w:t xml:space="preserve"> adoptarea de soluții cu risc redus și atenuarea eficientă a riscurilor, precum și prin sporirea coerenței și a consecvenței între regulamentele respective și alte acte legislative ale UE.</w:t>
            </w:r>
          </w:p>
          <w:p w:rsidR="00A1317E" w:rsidRDefault="00A5267E">
            <w:pPr>
              <w:keepNext/>
              <w:spacing w:after="0"/>
              <w:rPr>
                <w:rFonts w:eastAsiaTheme="minorEastAsia" w:cstheme="minorBidi"/>
                <w:noProof/>
                <w:sz w:val="20"/>
              </w:rPr>
            </w:pPr>
            <w:r>
              <w:rPr>
                <w:noProof/>
                <w:sz w:val="20"/>
              </w:rPr>
              <w:t>În cadrul evaluării se analizează, de asemenea, aspectele menționat</w:t>
            </w:r>
            <w:r>
              <w:rPr>
                <w:noProof/>
                <w:sz w:val="20"/>
              </w:rPr>
              <w:t xml:space="preserve">e în </w:t>
            </w:r>
            <w:hyperlink r:id="rId21" w:history="1">
              <w:r>
                <w:rPr>
                  <w:noProof/>
                  <w:color w:val="0000FF" w:themeColor="hyperlink"/>
                  <w:sz w:val="20"/>
                  <w:u w:val="single"/>
                </w:rPr>
                <w:t>avizul XI.10.a publicat pe platforma REFIT</w:t>
              </w:r>
            </w:hyperlink>
            <w:r>
              <w:rPr>
                <w:noProof/>
                <w:sz w:val="20"/>
              </w:rPr>
              <w:t xml:space="preserve"> privind substanțele cu utilizări/surse multiple </w:t>
            </w:r>
            <w:r>
              <w:rPr>
                <w:noProof/>
                <w:sz w:val="20"/>
              </w:rPr>
              <w:t xml:space="preserve">– Clorat adoptat la 7/6/2017 și în </w:t>
            </w:r>
            <w:hyperlink r:id="rId22" w:history="1">
              <w:r>
                <w:rPr>
                  <w:noProof/>
                  <w:color w:val="0000FF" w:themeColor="hyperlink"/>
                  <w:sz w:val="20"/>
                  <w:u w:val="single"/>
                </w:rPr>
                <w:t>avizul XI.22.a publicat pe platforma REFIT</w:t>
              </w:r>
            </w:hyperlink>
            <w:r>
              <w:rPr>
                <w:noProof/>
                <w:sz w:val="20"/>
              </w:rPr>
              <w:t xml:space="preserve"> privind înregistrarea produselor de protecție a plantelor – adoptat la 14/</w:t>
            </w:r>
            <w:r>
              <w:rPr>
                <w:noProof/>
                <w:sz w:val="20"/>
              </w:rPr>
              <w:t>3/2019.</w:t>
            </w:r>
          </w:p>
        </w:tc>
      </w:tr>
      <w:tr w:rsidR="00A1317E">
        <w:trPr>
          <w:cantSplit/>
          <w:trHeight w:val="1336"/>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highlight w:val="yellow"/>
              </w:rPr>
            </w:pPr>
            <w:r>
              <w:rPr>
                <w:b/>
                <w:bCs/>
                <w:noProof/>
                <w:sz w:val="20"/>
              </w:rPr>
              <w:t xml:space="preserve">Evaluarea Regulamentului (CE) nr. 1924/2006 privind mențiunile nutriționale și de sănătate înscrise pe produsele alimentare în ceea ce privește profilurile nutriționale și mențiunile de sănătate înscrise pe plante și pe preparatele din plante și </w:t>
            </w:r>
            <w:r>
              <w:rPr>
                <w:b/>
                <w:bCs/>
                <w:noProof/>
                <w:sz w:val="20"/>
              </w:rPr>
              <w:t>cadrul de reglementare general pentru utilizarea acestora în produsele alimentare</w:t>
            </w:r>
            <w:r>
              <w:rPr>
                <w:rFonts w:eastAsiaTheme="minorEastAsia" w:cstheme="minorBidi"/>
                <w:b/>
                <w:bCs/>
                <w:noProof/>
                <w:sz w:val="20"/>
                <w:vertAlign w:val="superscript"/>
              </w:rPr>
              <w:fldChar w:fldCharType="begin" w:fldLock="1"/>
            </w:r>
            <w:r>
              <w:rPr>
                <w:rFonts w:eastAsiaTheme="minorEastAsia" w:cstheme="minorBidi"/>
                <w:b/>
                <w:bCs/>
                <w:noProof/>
                <w:sz w:val="20"/>
                <w:vertAlign w:val="superscript"/>
              </w:rPr>
              <w:instrText xml:space="preserve"> NOTEREF _Ref41333103 \h  \* MERGEFORMAT </w:instrText>
            </w:r>
            <w:r>
              <w:rPr>
                <w:rFonts w:eastAsiaTheme="minorEastAsia" w:cstheme="minorBidi"/>
                <w:b/>
                <w:bCs/>
                <w:noProof/>
                <w:sz w:val="20"/>
                <w:vertAlign w:val="superscript"/>
              </w:rPr>
            </w:r>
            <w:r>
              <w:rPr>
                <w:rFonts w:eastAsiaTheme="minorEastAsia" w:cstheme="minorBidi"/>
                <w:b/>
                <w:bCs/>
                <w:noProof/>
                <w:sz w:val="20"/>
                <w:vertAlign w:val="superscript"/>
              </w:rPr>
              <w:fldChar w:fldCharType="separate"/>
            </w:r>
            <w:r>
              <w:rPr>
                <w:rFonts w:eastAsiaTheme="minorEastAsia" w:cstheme="minorBidi"/>
                <w:b/>
                <w:bCs/>
                <w:noProof/>
                <w:sz w:val="20"/>
                <w:vertAlign w:val="superscript"/>
              </w:rPr>
              <w:t>4</w:t>
            </w:r>
            <w:r>
              <w:rPr>
                <w:rFonts w:eastAsiaTheme="minorEastAsia" w:cstheme="minorBidi"/>
                <w:b/>
                <w:bCs/>
                <w:noProof/>
                <w:sz w:val="20"/>
                <w:vertAlign w:val="superscript"/>
              </w:rPr>
              <w:fldChar w:fldCharType="end"/>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 xml:space="preserve">În cadrul acestei evaluări se analizează problema ridicată în </w:t>
            </w:r>
            <w:hyperlink r:id="rId23" w:history="1">
              <w:r>
                <w:rPr>
                  <w:noProof/>
                  <w:color w:val="0000FF" w:themeColor="hyperlink"/>
                  <w:sz w:val="20"/>
                  <w:u w:val="single"/>
                </w:rPr>
                <w:t>avizul XI.11.a-b publicat pe platforma REFIT</w:t>
              </w:r>
            </w:hyperlink>
            <w:r>
              <w:rPr>
                <w:noProof/>
                <w:sz w:val="20"/>
              </w:rPr>
              <w:t xml:space="preserve"> privind stabilirea profilurilor nutriționale. Se analizează impactul situației actuale (în care nu există </w:t>
            </w:r>
            <w:r>
              <w:rPr>
                <w:noProof/>
                <w:sz w:val="20"/>
              </w:rPr>
              <w:t>profiluri nutriționale la nivelul UE) și se verifică dacă profilurile nutriționale sunt în continuare adecvate scopului, dacă sunt justificate și adecvate pentru a asigura îndeplinirea obiectivelor Regulamentului privind mențiunile. Se așteaptă, de asemene</w:t>
            </w:r>
            <w:r>
              <w:rPr>
                <w:noProof/>
                <w:sz w:val="20"/>
              </w:rPr>
              <w:t xml:space="preserve">a, ca rezultatele acestei evaluări să abordeze chestiunile ridicate de către întreprinderi cu privire la Directiva privind medicamentele tradiționale din plante, incluse în </w:t>
            </w:r>
            <w:hyperlink r:id="rId24" w:history="1">
              <w:r>
                <w:rPr>
                  <w:noProof/>
                  <w:color w:val="0000FF" w:themeColor="hyperlink"/>
                  <w:sz w:val="20"/>
                  <w:u w:val="single"/>
                </w:rPr>
                <w:t>avizul</w:t>
              </w:r>
              <w:r>
                <w:rPr>
                  <w:noProof/>
                  <w:color w:val="0000FF" w:themeColor="hyperlink"/>
                  <w:sz w:val="20"/>
                  <w:u w:val="single"/>
                </w:rPr>
                <w:t xml:space="preserve"> XI.6.a-b publicat pe platforma REFIT</w:t>
              </w:r>
            </w:hyperlink>
            <w:r>
              <w:rPr>
                <w:noProof/>
                <w:sz w:val="20"/>
              </w:rPr>
              <w:t>.</w:t>
            </w:r>
          </w:p>
        </w:tc>
      </w:tr>
      <w:tr w:rsidR="00A1317E">
        <w:trPr>
          <w:cantSplit/>
          <w:trHeight w:val="1380"/>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highlight w:val="yellow"/>
              </w:rPr>
            </w:pPr>
            <w:r>
              <w:rPr>
                <w:b/>
                <w:bCs/>
                <w:noProof/>
                <w:sz w:val="20"/>
              </w:rPr>
              <w:t>Evaluarea materialelor în contact cu alimentele</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În cadrul acestei evaluări se vor analiza toate aspectele legislației actuale a UE privind materialele care intră în contact cu alimentele, inclusiv eficacitatea declarației de conformitate care trebuie prezentată pentru anumite măsuri specifice la nivelul</w:t>
            </w:r>
            <w:r>
              <w:rPr>
                <w:noProof/>
                <w:sz w:val="20"/>
              </w:rPr>
              <w:t xml:space="preserve"> UE. Pe baza acestei evaluări, Comisia va analiza dacă este necesar să se adopte măsuri suplimentare la nivelul UE și va lua în considerare diferite chestiuni, cum ar fi cea ridicată în </w:t>
            </w:r>
            <w:hyperlink r:id="rId25" w:history="1">
              <w:r>
                <w:rPr>
                  <w:noProof/>
                  <w:color w:val="0000FF" w:themeColor="hyperlink"/>
                  <w:sz w:val="20"/>
                  <w:u w:val="single"/>
                </w:rPr>
                <w:t>avizul XI.1a publicat pe platforma REFIT</w:t>
              </w:r>
            </w:hyperlink>
            <w:r>
              <w:rPr>
                <w:noProof/>
                <w:sz w:val="20"/>
              </w:rPr>
              <w:t>, care recomandă impunerea unei cerințe europene comune de a prezenta o declarație de conformitate pentru toate tipurile de materiale care intră în contact cu alimentele.</w:t>
            </w:r>
          </w:p>
        </w:tc>
      </w:tr>
      <w:tr w:rsidR="00A1317E">
        <w:trPr>
          <w:cantSplit/>
          <w:trHeight w:val="1380"/>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keepNext/>
              <w:spacing w:after="0"/>
              <w:jc w:val="left"/>
              <w:rPr>
                <w:rFonts w:eastAsiaTheme="minorEastAsia" w:cstheme="minorBidi"/>
                <w:b/>
                <w:bCs/>
                <w:noProof/>
                <w:sz w:val="20"/>
              </w:rPr>
            </w:pPr>
            <w:r>
              <w:rPr>
                <w:b/>
                <w:bCs/>
                <w:noProof/>
                <w:sz w:val="20"/>
              </w:rPr>
              <w:t xml:space="preserve">Evaluarea Directivei </w:t>
            </w:r>
            <w:r>
              <w:rPr>
                <w:b/>
                <w:bCs/>
                <w:noProof/>
                <w:sz w:val="20"/>
              </w:rPr>
              <w:t>2005/44/CE privind serviciile de informații fluviale (RIS) armonizate pe căile navigabile interioare de pe teritoriul Comunității</w:t>
            </w:r>
          </w:p>
        </w:tc>
        <w:tc>
          <w:tcPr>
            <w:tcW w:w="2909" w:type="pct"/>
            <w:tcBorders>
              <w:top w:val="single" w:sz="4" w:space="0" w:color="auto"/>
              <w:left w:val="single" w:sz="4" w:space="0" w:color="auto"/>
              <w:bottom w:val="single" w:sz="4" w:space="0" w:color="auto"/>
            </w:tcBorders>
          </w:tcPr>
          <w:p w:rsidR="00A1317E" w:rsidRDefault="00A5267E">
            <w:pPr>
              <w:keepNext/>
              <w:spacing w:after="0"/>
              <w:rPr>
                <w:rFonts w:eastAsiaTheme="minorEastAsia" w:cstheme="minorBidi"/>
                <w:noProof/>
                <w:sz w:val="20"/>
              </w:rPr>
            </w:pPr>
            <w:r>
              <w:rPr>
                <w:noProof/>
                <w:sz w:val="20"/>
              </w:rPr>
              <w:t>Serviciile de informații fluviale (RIS) utilizează tehnologia informației și comunicațiilor (TIC) pentru a sprijini siguranța,</w:t>
            </w:r>
            <w:r>
              <w:rPr>
                <w:noProof/>
                <w:sz w:val="20"/>
              </w:rPr>
              <w:t xml:space="preserve"> eficiența și caracterul ecologic al transportului pe căile navigabile interioare. Directiva privind RIS oferă un cadru al cerințelor minime și al specificațiilor tehnice pentru furnizarea și punerea în aplicare a RIS în vederea asigurării armonizării, a i</w:t>
            </w:r>
            <w:r>
              <w:rPr>
                <w:noProof/>
                <w:sz w:val="20"/>
              </w:rPr>
              <w:t>nteroperabilității și a compatibilității transfrontaliere a sistemelor RIS ale statelor membre pentru căile navigabile din clasa IV sau dintr-o clasă superioară. În cadrul evaluării se analizează transpunerea directivei și evoluțiile tehnologice și organiz</w:t>
            </w:r>
            <w:r>
              <w:rPr>
                <w:noProof/>
                <w:sz w:val="20"/>
              </w:rPr>
              <w:t>aționale recente din acest sector, în special ale tehnologiilor digitale. Se evaluează, de asemenea, domeniile care ar putea face obiectul simplificării în cadrul procesului prin care sunt aduse la zi specificațiile tehnice prevăzute în directivă.</w:t>
            </w:r>
          </w:p>
        </w:tc>
      </w:tr>
      <w:tr w:rsidR="00A1317E">
        <w:trPr>
          <w:cantSplit/>
        </w:trPr>
        <w:tc>
          <w:tcPr>
            <w:tcW w:w="5000" w:type="pct"/>
            <w:gridSpan w:val="3"/>
            <w:shd w:val="clear" w:color="auto" w:fill="18BAA8" w:themeFill="accent2"/>
          </w:tcPr>
          <w:p w:rsidR="00A1317E" w:rsidRDefault="00A5267E">
            <w:pPr>
              <w:keepNext/>
              <w:spacing w:before="60" w:after="60"/>
              <w:rPr>
                <w:b/>
                <w:bCs/>
                <w:noProof/>
                <w:sz w:val="20"/>
              </w:rPr>
            </w:pPr>
            <w:r>
              <w:rPr>
                <w:b/>
                <w:bCs/>
                <w:noProof/>
                <w:color w:val="FFFFFF" w:themeColor="background1"/>
                <w:sz w:val="20"/>
              </w:rPr>
              <w:t>O Europ</w:t>
            </w:r>
            <w:r>
              <w:rPr>
                <w:b/>
                <w:bCs/>
                <w:noProof/>
                <w:color w:val="FFFFFF" w:themeColor="background1"/>
                <w:sz w:val="20"/>
              </w:rPr>
              <w:t>ă pregătită pentru era digitală</w:t>
            </w:r>
          </w:p>
        </w:tc>
      </w:tr>
      <w:tr w:rsidR="00A1317E">
        <w:trPr>
          <w:cantSplit/>
        </w:trPr>
        <w:tc>
          <w:tcPr>
            <w:tcW w:w="89" w:type="pct"/>
            <w:shd w:val="clear" w:color="auto" w:fill="auto"/>
          </w:tcPr>
          <w:p w:rsidR="00A1317E" w:rsidRDefault="00A1317E">
            <w:pPr>
              <w:numPr>
                <w:ilvl w:val="0"/>
                <w:numId w:val="23"/>
              </w:numPr>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color w:val="000000" w:themeColor="text1"/>
                <w:sz w:val="20"/>
              </w:rPr>
            </w:pPr>
            <w:r>
              <w:rPr>
                <w:b/>
                <w:bCs/>
                <w:noProof/>
                <w:color w:val="000000" w:themeColor="text1"/>
                <w:sz w:val="20"/>
              </w:rPr>
              <w:t>Raportul Comisiei către Parlamentul European și Consiliu referitor la aplicarea Regulamentului (UE) nr. 910/2014 privind identificarea electronică și serviciile de încredere pentru tranzacțiile electronice pe piața internă</w:t>
            </w:r>
            <w:r>
              <w:rPr>
                <w:b/>
                <w:bCs/>
                <w:noProof/>
                <w:color w:val="000000" w:themeColor="text1"/>
                <w:sz w:val="20"/>
              </w:rPr>
              <w:t xml:space="preserve"> (Regulamentul eIDAS)</w:t>
            </w:r>
          </w:p>
        </w:tc>
        <w:tc>
          <w:tcPr>
            <w:tcW w:w="2909" w:type="pct"/>
          </w:tcPr>
          <w:p w:rsidR="00A1317E" w:rsidRDefault="00A5267E">
            <w:pPr>
              <w:spacing w:after="0"/>
              <w:rPr>
                <w:rFonts w:eastAsiaTheme="minorEastAsia" w:cstheme="minorBidi"/>
                <w:noProof/>
                <w:color w:val="000000" w:themeColor="text1"/>
                <w:sz w:val="20"/>
              </w:rPr>
            </w:pPr>
            <w:r>
              <w:rPr>
                <w:noProof/>
                <w:color w:val="000000" w:themeColor="text1"/>
                <w:sz w:val="20"/>
              </w:rPr>
              <w:t>Comisia trebuie să prezinte Parlamentului European și Consiliului, până la 1 iulie 2020, un raport cu privire la aplicarea Regulamentului (UE) nr. 910/2014, astfel cum se prevede la articolul 49 din regulament. Raportul va evalua în c</w:t>
            </w:r>
            <w:r>
              <w:rPr>
                <w:noProof/>
                <w:color w:val="000000" w:themeColor="text1"/>
                <w:sz w:val="20"/>
              </w:rPr>
              <w:t>e măsură cadrul eIDAS este în continuare adecvat scopului și permite obținerea rezultatelor și a impacturilor scontate și va identifica și eventualele acțiunile suplimentare care ar putea fi întreprinse pentru a îmbunătăți performanța în materie de regleme</w:t>
            </w:r>
            <w:r>
              <w:rPr>
                <w:noProof/>
                <w:color w:val="000000" w:themeColor="text1"/>
                <w:sz w:val="20"/>
              </w:rPr>
              <w:t xml:space="preserve">ntare a cadrului. Comisia va efectua o evaluare în conformitate cu Orientările privind o mai bună reglementare, care va presupune o consultare publică, dar și o consultare specifică a părților interesate.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color w:val="000000" w:themeColor="text1"/>
                <w:sz w:val="20"/>
              </w:rPr>
            </w:pPr>
            <w:r>
              <w:rPr>
                <w:b/>
                <w:noProof/>
                <w:color w:val="000000" w:themeColor="text1"/>
                <w:sz w:val="20"/>
              </w:rPr>
              <w:t xml:space="preserve">Revizuirea Directivei privind reducerea </w:t>
            </w:r>
            <w:r>
              <w:rPr>
                <w:b/>
                <w:noProof/>
                <w:color w:val="000000" w:themeColor="text1"/>
                <w:sz w:val="20"/>
              </w:rPr>
              <w:t>costurilor aferente tehnologiilor în bandă largă (Directiva 2014/61/UE)</w:t>
            </w:r>
          </w:p>
        </w:tc>
        <w:tc>
          <w:tcPr>
            <w:tcW w:w="2909" w:type="pct"/>
          </w:tcPr>
          <w:p w:rsidR="00A1317E" w:rsidRDefault="00A5267E">
            <w:pPr>
              <w:spacing w:after="0"/>
              <w:rPr>
                <w:rFonts w:eastAsiaTheme="minorEastAsia" w:cstheme="minorBidi"/>
                <w:noProof/>
                <w:color w:val="000000" w:themeColor="text1"/>
                <w:sz w:val="20"/>
              </w:rPr>
            </w:pPr>
            <w:r>
              <w:rPr>
                <w:noProof/>
                <w:color w:val="000000" w:themeColor="text1"/>
                <w:sz w:val="20"/>
              </w:rPr>
              <w:t>Revizuirea urmărește să reducă eventualele sarcini administrative inutile și costisitoare care pot descuraja și întârzia considerabil instalarea rețelei. Revizuirea vizează să îmbunătă</w:t>
            </w:r>
            <w:r>
              <w:rPr>
                <w:noProof/>
                <w:color w:val="000000" w:themeColor="text1"/>
                <w:sz w:val="20"/>
              </w:rPr>
              <w:t>țească și mai mult normele existente prin simplificarea autorizațiilor și a procedurilor sau prin conferirea unui caracter mai flexibil lucrărilor de inginerie civilă prin asigurarea unei coordonări mai bune cu alte infrastructuri (rutiere, energetice etc.</w:t>
            </w:r>
            <w:r>
              <w:rPr>
                <w:noProof/>
                <w:color w:val="000000" w:themeColor="text1"/>
                <w:sz w:val="20"/>
              </w:rPr>
              <w:t xml:space="preserve">). Revizuirea poate fi o ocazie bună de a reduce, prin noi acte legislative, sarcinile administrative generale din acest sector.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color w:val="000000" w:themeColor="text1"/>
                <w:sz w:val="20"/>
              </w:rPr>
            </w:pPr>
            <w:r>
              <w:rPr>
                <w:b/>
                <w:bCs/>
                <w:noProof/>
                <w:color w:val="000000" w:themeColor="text1"/>
                <w:sz w:val="20"/>
              </w:rPr>
              <w:t>Revizuirea Regulamentului privind piața internă și comerțul electronic transfrontalier (geoblocarea)</w:t>
            </w:r>
          </w:p>
        </w:tc>
        <w:tc>
          <w:tcPr>
            <w:tcW w:w="2909" w:type="pct"/>
          </w:tcPr>
          <w:p w:rsidR="00A1317E" w:rsidRDefault="00A5267E">
            <w:pPr>
              <w:spacing w:after="0"/>
              <w:rPr>
                <w:rFonts w:eastAsiaTheme="minorEastAsia" w:cstheme="minorBidi"/>
                <w:noProof/>
                <w:color w:val="000000" w:themeColor="text1"/>
                <w:sz w:val="20"/>
              </w:rPr>
            </w:pPr>
            <w:r>
              <w:rPr>
                <w:noProof/>
                <w:color w:val="000000" w:themeColor="text1"/>
                <w:sz w:val="20"/>
              </w:rPr>
              <w:t>Comisia va prezenta Par</w:t>
            </w:r>
            <w:r>
              <w:rPr>
                <w:noProof/>
                <w:color w:val="000000" w:themeColor="text1"/>
                <w:sz w:val="20"/>
              </w:rPr>
              <w:t xml:space="preserve">lamentului European, Consiliului și Comitetului Economic și Social European un raport privind evaluarea acestui regulament. Comisia va ține seama de impactul general al regulamentului asupra pieței interne și a comerțului electronic transfrontalier și, în </w:t>
            </w:r>
            <w:r>
              <w:rPr>
                <w:noProof/>
                <w:color w:val="000000" w:themeColor="text1"/>
                <w:sz w:val="20"/>
              </w:rPr>
              <w:t xml:space="preserve">special, de eventualele sarcini administrative și financiare suplimentare pe care comercianții le suportă din cauza faptului că în legislația în materie de contracte de consum există regimuri de reglementare diferite.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color w:val="000000" w:themeColor="text1"/>
                <w:sz w:val="20"/>
              </w:rPr>
            </w:pPr>
            <w:r>
              <w:rPr>
                <w:b/>
                <w:bCs/>
                <w:noProof/>
                <w:color w:val="000000" w:themeColor="text1"/>
                <w:sz w:val="20"/>
              </w:rPr>
              <w:t>Revizuirea Recomandării privind dig</w:t>
            </w:r>
            <w:r>
              <w:rPr>
                <w:b/>
                <w:bCs/>
                <w:noProof/>
                <w:color w:val="000000" w:themeColor="text1"/>
                <w:sz w:val="20"/>
              </w:rPr>
              <w:t>itizarea și accesibilitatea online a materialului cultural și conservarea digitală (2011/711/UE) *</w:t>
            </w:r>
          </w:p>
        </w:tc>
        <w:tc>
          <w:tcPr>
            <w:tcW w:w="2909" w:type="pct"/>
          </w:tcPr>
          <w:p w:rsidR="00A1317E" w:rsidRDefault="00A5267E">
            <w:pPr>
              <w:spacing w:after="0"/>
              <w:rPr>
                <w:rFonts w:eastAsiaTheme="minorEastAsia" w:cstheme="minorBidi"/>
                <w:noProof/>
                <w:color w:val="000000" w:themeColor="text1"/>
                <w:sz w:val="20"/>
              </w:rPr>
            </w:pPr>
            <w:r>
              <w:rPr>
                <w:noProof/>
                <w:color w:val="000000" w:themeColor="text1"/>
                <w:sz w:val="20"/>
              </w:rPr>
              <w:t>Evaluarea în curs vizează unul dintre principalele instrumente de politică în materie de digitalizare, acces online și conservare digitală a materialelor din</w:t>
            </w:r>
            <w:r>
              <w:rPr>
                <w:noProof/>
                <w:color w:val="000000" w:themeColor="text1"/>
                <w:sz w:val="20"/>
              </w:rPr>
              <w:t xml:space="preserve"> domeniul patrimoniului cultural, cu scopul de a culege punctele de vedere ale persoanelor interesate cu privire la o eventuală actualizare a recomandării, care să reflecte mai fidel nevoile actuale ale populației în acest domeniu și să sporească potențial</w:t>
            </w:r>
            <w:r>
              <w:rPr>
                <w:noProof/>
                <w:color w:val="000000" w:themeColor="text1"/>
                <w:sz w:val="20"/>
              </w:rPr>
              <w:t>ul patrimoniului cultural al Europei în beneficiul cetățenilor.</w:t>
            </w:r>
            <w:r>
              <w:rPr>
                <w:noProof/>
                <w:color w:val="000000" w:themeColor="text1"/>
                <w:sz w:val="20"/>
              </w:rPr>
              <w:tab/>
            </w:r>
            <w:r>
              <w:rPr>
                <w:noProof/>
              </w:rPr>
              <w:t xml:space="preserve"> </w:t>
            </w:r>
            <w:r>
              <w:rPr>
                <w:noProof/>
              </w:rPr>
              <w:br/>
            </w:r>
            <w:r>
              <w:rPr>
                <w:noProof/>
                <w:color w:val="000000" w:themeColor="text1"/>
                <w:sz w:val="20"/>
              </w:rPr>
              <w:t>Revizuirea va examina aceste aspecte ținând cont de tendințele tehnologice actuale și de necesitățile din sector.</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noProof/>
                <w:sz w:val="20"/>
                <w:highlight w:val="green"/>
              </w:rPr>
            </w:pPr>
            <w:r>
              <w:rPr>
                <w:b/>
                <w:noProof/>
                <w:sz w:val="20"/>
              </w:rPr>
              <w:t xml:space="preserve">Verificarea adecvării pachetului de modernizare a ajutoarelor de stat din </w:t>
            </w:r>
            <w:r>
              <w:rPr>
                <w:b/>
                <w:noProof/>
                <w:sz w:val="20"/>
              </w:rPr>
              <w:t>2012, a liniilor directoare privind sectorul feroviar și a asigurării creditului la export pe termen scurt</w:t>
            </w:r>
          </w:p>
        </w:tc>
        <w:tc>
          <w:tcPr>
            <w:tcW w:w="2909" w:type="pct"/>
          </w:tcPr>
          <w:p w:rsidR="00A1317E" w:rsidRDefault="00A5267E">
            <w:pPr>
              <w:spacing w:after="0"/>
              <w:rPr>
                <w:rFonts w:eastAsiaTheme="minorEastAsia" w:cstheme="minorBidi"/>
                <w:noProof/>
                <w:spacing w:val="-2"/>
                <w:sz w:val="20"/>
              </w:rPr>
            </w:pPr>
            <w:r>
              <w:rPr>
                <w:noProof/>
                <w:sz w:val="20"/>
              </w:rPr>
              <w:t>Datorită modernizării ajutoarelor de stat, în prezent 96 % din măsurile de ajutor noi care sunt puse în aplicare țin de competența autorităților naționale. Acest lucru permite acordarea mai rapidă de către statele membre a ajutoarelor și permite ca procedu</w:t>
            </w:r>
            <w:r>
              <w:rPr>
                <w:noProof/>
                <w:sz w:val="20"/>
              </w:rPr>
              <w:t>ra de control al ajutoarelor de stat să se axeze mai mult asupra aspectelor importante și în mai mică măsură asupra celor mai puțin importante. Prin verificarea adecvării care este în curs se urmărește, printre altele, să se evalueze în ce măsură regimul a</w:t>
            </w:r>
            <w:r>
              <w:rPr>
                <w:noProof/>
                <w:sz w:val="20"/>
              </w:rPr>
              <w:t xml:space="preserve">ctual a contribuit la reducerea sarcinii administrative și dacă pot fi raționalizate și simplificate și mai mult normele privind ajutoarele de stat.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sz w:val="20"/>
                <w:highlight w:val="yellow"/>
              </w:rPr>
            </w:pPr>
            <w:r>
              <w:rPr>
                <w:b/>
                <w:bCs/>
                <w:noProof/>
                <w:sz w:val="20"/>
              </w:rPr>
              <w:t>Evaluarea Regulamentului de exceptare pe categorii</w:t>
            </w:r>
          </w:p>
        </w:tc>
        <w:tc>
          <w:tcPr>
            <w:tcW w:w="2909" w:type="pct"/>
          </w:tcPr>
          <w:p w:rsidR="00A1317E" w:rsidRDefault="00A5267E">
            <w:pPr>
              <w:spacing w:after="0"/>
              <w:rPr>
                <w:rFonts w:eastAsiaTheme="minorEastAsia" w:cstheme="minorBidi"/>
                <w:noProof/>
                <w:spacing w:val="-2"/>
                <w:sz w:val="20"/>
              </w:rPr>
            </w:pPr>
            <w:r>
              <w:rPr>
                <w:noProof/>
                <w:sz w:val="20"/>
              </w:rPr>
              <w:t xml:space="preserve">Prin evaluarea în curs a Regulamentului de exceptare </w:t>
            </w:r>
            <w:r>
              <w:rPr>
                <w:noProof/>
                <w:sz w:val="20"/>
              </w:rPr>
              <w:t>pe categorii și a Orientărilor privind restricțiile verticale se urmărește în special să se verifice în ce măsură regimul actual și-a atins obiectivul de a asigura un regim de protecție pentru acordurile verticale care sporesc eficiența, creând astfel secu</w:t>
            </w:r>
            <w:r>
              <w:rPr>
                <w:noProof/>
                <w:sz w:val="20"/>
              </w:rPr>
              <w:t>ritate juridică și reducând costurile de conformare suportate de părțile interesate. Evaluarea include identificarea domeniilor în care este posibil ca regimul actual să nu reflecte în mod adecvat noile evoluții de pe piață, precum și a eventualelor lacune</w:t>
            </w:r>
            <w:r>
              <w:rPr>
                <w:noProof/>
                <w:sz w:val="20"/>
              </w:rPr>
              <w:t xml:space="preserve"> care este posibil să fi antrenat incertitudine juridică, inconsecvențe în aplicarea normelor verticale în diferite state membre ale UE și, prin urmare, creșterea costurilor de conformare pentru părțile interesate.</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sz w:val="20"/>
              </w:rPr>
            </w:pPr>
            <w:r>
              <w:rPr>
                <w:b/>
                <w:bCs/>
                <w:noProof/>
                <w:sz w:val="20"/>
              </w:rPr>
              <w:t>Evaluarea aspectelor legate de procedur</w:t>
            </w:r>
            <w:r>
              <w:rPr>
                <w:b/>
                <w:bCs/>
                <w:noProof/>
                <w:sz w:val="20"/>
              </w:rPr>
              <w:t>ă și de competență ale controlului pe care UE îl exercită în materie de concentrări economice</w:t>
            </w:r>
          </w:p>
        </w:tc>
        <w:tc>
          <w:tcPr>
            <w:tcW w:w="2909" w:type="pct"/>
          </w:tcPr>
          <w:p w:rsidR="00A1317E" w:rsidRDefault="00A5267E">
            <w:pPr>
              <w:spacing w:after="0"/>
              <w:rPr>
                <w:rFonts w:eastAsiaTheme="minorEastAsia" w:cstheme="minorBidi"/>
                <w:noProof/>
                <w:spacing w:val="-2"/>
                <w:sz w:val="20"/>
              </w:rPr>
            </w:pPr>
            <w:r>
              <w:rPr>
                <w:noProof/>
                <w:sz w:val="20"/>
              </w:rPr>
              <w:t>Evaluarea în curs vizează cu prioritate simplificarea și reducerea birocrației, de la caz la caz, precum și raționalizarea sistemului de trimitere și alte îmbunăt</w:t>
            </w:r>
            <w:r>
              <w:rPr>
                <w:noProof/>
                <w:sz w:val="20"/>
              </w:rPr>
              <w:t>ățiri de natură tehnică. În plus, în lumina dezbaterii recente privind eficacitatea pragurilor de competență bazate exclusiv pe cifra de afaceri prevăzute de Regulamentul UE privind concentrările economice, evaluarea urmărește, de asemenea, să analizeze da</w:t>
            </w:r>
            <w:r>
              <w:rPr>
                <w:noProof/>
                <w:sz w:val="20"/>
              </w:rPr>
              <w:t>că acestea acoperă toate tranzacțiile care pot avea un impact asupra pieței interne.</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sz w:val="20"/>
              </w:rPr>
            </w:pPr>
            <w:r>
              <w:rPr>
                <w:b/>
                <w:bCs/>
                <w:noProof/>
                <w:sz w:val="20"/>
              </w:rPr>
              <w:t>Modificarea punctuală a Regulamentului general de exceptare pe categorii de ajutoare în ceea ce privește programele de finanțare ale UE</w:t>
            </w:r>
          </w:p>
        </w:tc>
        <w:tc>
          <w:tcPr>
            <w:tcW w:w="2909" w:type="pct"/>
            <w:shd w:val="clear" w:color="auto" w:fill="auto"/>
          </w:tcPr>
          <w:p w:rsidR="00A1317E" w:rsidRDefault="00A5267E">
            <w:pPr>
              <w:spacing w:after="0"/>
              <w:rPr>
                <w:rFonts w:eastAsiaTheme="minorEastAsia" w:cstheme="minorBidi"/>
                <w:noProof/>
                <w:spacing w:val="-2"/>
                <w:sz w:val="20"/>
              </w:rPr>
            </w:pPr>
            <w:r>
              <w:rPr>
                <w:noProof/>
                <w:sz w:val="20"/>
              </w:rPr>
              <w:t>Comisia urmărește să modifice pun</w:t>
            </w:r>
            <w:r>
              <w:rPr>
                <w:noProof/>
                <w:sz w:val="20"/>
              </w:rPr>
              <w:t>ctual Regulamentul general de exceptare pe categorii de ajutoare astfel încât să asigure concordanța acestuia cu următorul cadru financiar multianual. Propunerea va urmări ca finanțarea națională, respectiv fondurile statelor membre sau fondurile ESI gesti</w:t>
            </w:r>
            <w:r>
              <w:rPr>
                <w:noProof/>
                <w:sz w:val="20"/>
              </w:rPr>
              <w:t xml:space="preserve">onate la nivel național, și fondurile UE gestionate la nivel central să poată fi combinate în mod eficace în următoarele domenii: în cazul produselor financiare finanțate din Fondul InvestEU; în cazul proiectelor CDI care au primit o marcă de excelență în </w:t>
            </w:r>
            <w:r>
              <w:rPr>
                <w:noProof/>
                <w:sz w:val="20"/>
              </w:rPr>
              <w:t>cadrul programului Orizont Europa (denumit și Orizont 2020), precum și al proiectelor cofinanțate și al acțiunilor prin care sunt formate echipe comune de cercetare în cadrul programului Orizont Europa și în cazul proiectelor de cooperare teritorială europ</w:t>
            </w:r>
            <w:r>
              <w:rPr>
                <w:noProof/>
                <w:sz w:val="20"/>
              </w:rPr>
              <w:t>eană. (T3 2020)</w:t>
            </w:r>
          </w:p>
        </w:tc>
      </w:tr>
      <w:tr w:rsidR="00A1317E">
        <w:trPr>
          <w:cantSplit/>
          <w:trHeight w:val="329"/>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autoSpaceDE w:val="0"/>
              <w:autoSpaceDN w:val="0"/>
              <w:adjustRightInd w:val="0"/>
              <w:spacing w:after="0"/>
              <w:rPr>
                <w:rFonts w:eastAsiaTheme="minorEastAsia"/>
                <w:b/>
                <w:noProof/>
                <w:color w:val="000000"/>
                <w:sz w:val="20"/>
              </w:rPr>
            </w:pPr>
            <w:r>
              <w:rPr>
                <w:b/>
                <w:noProof/>
                <w:color w:val="000000"/>
                <w:sz w:val="20"/>
              </w:rPr>
              <w:t>Regulamentul de exceptare pe categorii aplicabil consorțiilor (derogare de la articolul 101 din TFUE pentru anumite tipuri de acorduri de cooperare între operatorii de transport naval containerizat)</w:t>
            </w:r>
            <w:r>
              <w:rPr>
                <w:rStyle w:val="FootnoteReference"/>
                <w:rFonts w:eastAsiaTheme="minorEastAsia"/>
                <w:b/>
                <w:noProof/>
                <w:color w:val="000000"/>
                <w:sz w:val="20"/>
                <w:lang w:eastAsia="en-US"/>
              </w:rPr>
              <w:footnoteReference w:id="6"/>
            </w:r>
          </w:p>
        </w:tc>
        <w:tc>
          <w:tcPr>
            <w:tcW w:w="2909" w:type="pct"/>
            <w:shd w:val="clear" w:color="auto" w:fill="auto"/>
          </w:tcPr>
          <w:p w:rsidR="00A1317E" w:rsidRDefault="00A5267E">
            <w:pPr>
              <w:spacing w:after="0"/>
              <w:rPr>
                <w:rFonts w:eastAsiaTheme="minorEastAsia" w:cstheme="minorBidi"/>
                <w:noProof/>
                <w:spacing w:val="-2"/>
                <w:sz w:val="20"/>
              </w:rPr>
            </w:pPr>
            <w:r>
              <w:rPr>
                <w:noProof/>
                <w:sz w:val="20"/>
              </w:rPr>
              <w:t>Prin prelungirea actualului Regulament de exceptare pe categorii aplicabil consorțiilor cu încă patru ani, verificarea respectării de către consorții a normelor în materie de concurență se va face în continuare într-o formă simplificată, se va limita depen</w:t>
            </w:r>
            <w:r>
              <w:rPr>
                <w:noProof/>
                <w:sz w:val="20"/>
              </w:rPr>
              <w:t xml:space="preserve">dența de consultanța externă și se vor reduce costurile juridice.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autoSpaceDE w:val="0"/>
              <w:autoSpaceDN w:val="0"/>
              <w:adjustRightInd w:val="0"/>
              <w:spacing w:after="0"/>
              <w:rPr>
                <w:rFonts w:eastAsiaTheme="minorEastAsia"/>
                <w:b/>
                <w:bCs/>
                <w:noProof/>
                <w:color w:val="000000"/>
                <w:sz w:val="20"/>
              </w:rPr>
            </w:pPr>
            <w:r>
              <w:rPr>
                <w:b/>
                <w:bCs/>
                <w:noProof/>
                <w:color w:val="000000"/>
                <w:sz w:val="20"/>
              </w:rPr>
              <w:t>Evaluarea Directivei 2014/35/UE privind joasa tensiune</w:t>
            </w:r>
          </w:p>
        </w:tc>
        <w:tc>
          <w:tcPr>
            <w:tcW w:w="2909" w:type="pct"/>
            <w:shd w:val="clear" w:color="auto" w:fill="auto"/>
          </w:tcPr>
          <w:p w:rsidR="00A1317E" w:rsidRDefault="00A5267E">
            <w:pPr>
              <w:spacing w:after="0"/>
              <w:rPr>
                <w:rFonts w:eastAsiaTheme="minorEastAsia" w:cstheme="minorBidi"/>
                <w:noProof/>
                <w:spacing w:val="-2"/>
                <w:sz w:val="20"/>
              </w:rPr>
            </w:pPr>
            <w:r>
              <w:rPr>
                <w:noProof/>
                <w:sz w:val="20"/>
              </w:rPr>
              <w:t>Directiva privind joasa tensiune garantează că echipamentele electrice care se încadrează în anumite limite de tensiune le oferă cetățenilor europeni un nivel ridicat de protecție și că în acest domeniu se profită pe deplin de avantajele pieței unice. Dire</w:t>
            </w:r>
            <w:r>
              <w:rPr>
                <w:noProof/>
                <w:sz w:val="20"/>
              </w:rPr>
              <w:t>ctiva se aplică de la 20 aprilie 2016. Scopul acestei evaluări este de a analiza dacă directiva este adecvată scopului din perspectiva eficacității, a eficienței, a relevanței, a coerenței și a valorii sale adăugate europene. Pe baza concluziilor privind r</w:t>
            </w:r>
            <w:r>
              <w:rPr>
                <w:noProof/>
                <w:sz w:val="20"/>
              </w:rPr>
              <w:t xml:space="preserve">ezultatele directivei, Comisia va evalua ce etape următoare ar putea fi necesare pentru a îmbunătăți aceste rezultate.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autoSpaceDE w:val="0"/>
              <w:autoSpaceDN w:val="0"/>
              <w:adjustRightInd w:val="0"/>
              <w:spacing w:after="0"/>
              <w:rPr>
                <w:rFonts w:eastAsiaTheme="minorEastAsia"/>
                <w:b/>
                <w:bCs/>
                <w:noProof/>
                <w:color w:val="000000"/>
                <w:sz w:val="20"/>
              </w:rPr>
            </w:pPr>
            <w:r>
              <w:rPr>
                <w:b/>
                <w:bCs/>
                <w:noProof/>
                <w:color w:val="000000"/>
                <w:sz w:val="20"/>
              </w:rPr>
              <w:t>Evaluarea Directivei 97/67/CE privind serviciile poștale*</w:t>
            </w:r>
          </w:p>
        </w:tc>
        <w:tc>
          <w:tcPr>
            <w:tcW w:w="2909" w:type="pct"/>
            <w:shd w:val="clear" w:color="auto" w:fill="auto"/>
          </w:tcPr>
          <w:p w:rsidR="00A1317E" w:rsidRDefault="00A5267E">
            <w:pPr>
              <w:spacing w:after="0"/>
              <w:rPr>
                <w:rFonts w:eastAsiaTheme="minorEastAsia" w:cstheme="minorBidi"/>
                <w:noProof/>
                <w:spacing w:val="-2"/>
                <w:sz w:val="20"/>
              </w:rPr>
            </w:pPr>
            <w:r>
              <w:rPr>
                <w:noProof/>
                <w:sz w:val="20"/>
              </w:rPr>
              <w:t>Sectorul poștal trece printr-o perioadă de modificări substanțiale ca urmare</w:t>
            </w:r>
            <w:r>
              <w:rPr>
                <w:noProof/>
                <w:sz w:val="20"/>
              </w:rPr>
              <w:t xml:space="preserve"> a digitalizării. Directiva privind serviciile poștale (97/67/CE) datează din 1997 și a fost revizuită în 2002 și în 2008. Raportul privind aplicarea directivei va fi însoțit de o evaluare care va analiza dacă directiva este în continuare adecvată scopului</w:t>
            </w:r>
            <w:r>
              <w:rPr>
                <w:noProof/>
                <w:sz w:val="20"/>
              </w:rPr>
              <w:t xml:space="preserve"> și este în măsură să facă față provocărilor viitorului.</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sz w:val="20"/>
                <w:highlight w:val="red"/>
              </w:rPr>
            </w:pPr>
            <w:r>
              <w:rPr>
                <w:b/>
                <w:bCs/>
                <w:noProof/>
                <w:sz w:val="20"/>
              </w:rPr>
              <w:t xml:space="preserve">Evaluarea „definiției IMM-urilor” </w:t>
            </w:r>
          </w:p>
        </w:tc>
        <w:tc>
          <w:tcPr>
            <w:tcW w:w="2909" w:type="pct"/>
            <w:shd w:val="clear" w:color="auto" w:fill="auto"/>
          </w:tcPr>
          <w:p w:rsidR="00A1317E" w:rsidRDefault="00A5267E">
            <w:pPr>
              <w:spacing w:after="0"/>
              <w:rPr>
                <w:rFonts w:eastAsiaTheme="minorEastAsia" w:cstheme="minorBidi"/>
                <w:noProof/>
                <w:sz w:val="20"/>
              </w:rPr>
            </w:pPr>
            <w:r>
              <w:rPr>
                <w:noProof/>
                <w:sz w:val="20"/>
              </w:rPr>
              <w:t>Punctul de plecare al acestei inițiative îl constituie Recomandarea Comisiei privind definiția microîntreprinderilor și a întreprinderilor mici și mijlocii (2003/361/CE). Recomandarea prevede criteriile pe baza căror se stabilește dacă o anumită întreprind</w:t>
            </w:r>
            <w:r>
              <w:rPr>
                <w:noProof/>
                <w:sz w:val="20"/>
              </w:rPr>
              <w:t>ere este sau nu IMM (și anume, numărul de membri ai personalului, cifra de afaceri/bilanțul total și independența) și se aplică de la 1/1/2005, când a înlocuit Recomandarea 96/280/CE. Întrucât trimiterea la recomandare se regăsește în peste 100 de acte jur</w:t>
            </w:r>
            <w:r>
              <w:rPr>
                <w:noProof/>
                <w:sz w:val="20"/>
              </w:rPr>
              <w:t xml:space="preserve">idice ale UE care vizează o multitudine de politici ale UE, cum ar fi ajutoarele de stat, referințele respective vor trebui, la rândul lor, înlocuite. </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sz w:val="20"/>
                <w:highlight w:val="red"/>
              </w:rPr>
            </w:pPr>
            <w:r>
              <w:rPr>
                <w:b/>
                <w:bCs/>
                <w:noProof/>
                <w:sz w:val="20"/>
              </w:rPr>
              <w:t>Revizuirea Directivei 2006/42/CE privind echipamentele tehnice*</w:t>
            </w:r>
          </w:p>
        </w:tc>
        <w:tc>
          <w:tcPr>
            <w:tcW w:w="2909" w:type="pct"/>
            <w:shd w:val="clear" w:color="auto" w:fill="auto"/>
          </w:tcPr>
          <w:p w:rsidR="00A1317E" w:rsidRDefault="00A5267E">
            <w:pPr>
              <w:spacing w:after="0"/>
              <w:jc w:val="left"/>
              <w:rPr>
                <w:rFonts w:eastAsiaTheme="minorEastAsia" w:cstheme="minorBidi"/>
                <w:noProof/>
                <w:sz w:val="20"/>
              </w:rPr>
            </w:pPr>
            <w:r>
              <w:rPr>
                <w:noProof/>
                <w:sz w:val="20"/>
              </w:rPr>
              <w:t xml:space="preserve">Inițiativa urmărește: </w:t>
            </w:r>
            <w:r>
              <w:rPr>
                <w:noProof/>
              </w:rPr>
              <w:br/>
            </w:r>
            <w:r>
              <w:rPr>
                <w:noProof/>
                <w:sz w:val="20"/>
              </w:rPr>
              <w:t xml:space="preserve">i) să abordeze </w:t>
            </w:r>
            <w:r>
              <w:rPr>
                <w:noProof/>
                <w:sz w:val="20"/>
              </w:rPr>
              <w:t>riscurile care decurg din noile tehnologii, permițând totodată progresul tehnic;</w:t>
            </w:r>
            <w:r>
              <w:rPr>
                <w:noProof/>
              </w:rPr>
              <w:t xml:space="preserve"> </w:t>
            </w:r>
            <w:r>
              <w:rPr>
                <w:noProof/>
              </w:rPr>
              <w:br/>
            </w:r>
            <w:r>
              <w:rPr>
                <w:noProof/>
                <w:sz w:val="20"/>
              </w:rPr>
              <w:t>ii) să simplifice cerințele referitoare la documentație, permițând utilizarea formatelor digitale, ceea ce va reduce sarcina administrativă care le revine operatorilor econom</w:t>
            </w:r>
            <w:r>
              <w:rPr>
                <w:noProof/>
                <w:sz w:val="20"/>
              </w:rPr>
              <w:t>ici și poate avea un impact pozitiv suplimentar asupra costurilor de mediu;</w:t>
            </w:r>
            <w:r>
              <w:rPr>
                <w:noProof/>
              </w:rPr>
              <w:t xml:space="preserve"> </w:t>
            </w:r>
            <w:r>
              <w:rPr>
                <w:noProof/>
                <w:sz w:val="20"/>
              </w:rPr>
              <w:t>iii) să îmbunătățească claritatea juridică a unor concepte și definiții importante din textul actual al directivei;</w:t>
            </w:r>
            <w:r>
              <w:rPr>
                <w:noProof/>
              </w:rPr>
              <w:t xml:space="preserve"> </w:t>
            </w:r>
            <w:r>
              <w:rPr>
                <w:noProof/>
              </w:rPr>
              <w:br/>
            </w:r>
            <w:r>
              <w:rPr>
                <w:noProof/>
                <w:sz w:val="20"/>
              </w:rPr>
              <w:t>iv) să asigure coerența cu alte directive și regulamente privin</w:t>
            </w:r>
            <w:r>
              <w:rPr>
                <w:noProof/>
                <w:sz w:val="20"/>
              </w:rPr>
              <w:t>d produsele și să îmbunătățească asigurarea respectării legislației prin alinierea la noul cadru legislativ;</w:t>
            </w:r>
            <w:r>
              <w:rPr>
                <w:noProof/>
              </w:rPr>
              <w:t xml:space="preserve"> </w:t>
            </w:r>
            <w:r>
              <w:rPr>
                <w:noProof/>
              </w:rPr>
              <w:br/>
            </w:r>
            <w:r>
              <w:rPr>
                <w:noProof/>
                <w:sz w:val="20"/>
              </w:rPr>
              <w:t>v) să reducă costurile aferente transpunerii prin transformarea directivei într-un regulament.</w:t>
            </w:r>
            <w:r>
              <w:rPr>
                <w:noProof/>
              </w:rPr>
              <w:t xml:space="preserve"> </w:t>
            </w:r>
            <w:r>
              <w:rPr>
                <w:noProof/>
              </w:rPr>
              <w:br/>
            </w:r>
            <w:r>
              <w:rPr>
                <w:noProof/>
                <w:sz w:val="20"/>
              </w:rPr>
              <w:t>(propunere legislativă care include o evaluare a i</w:t>
            </w:r>
            <w:r>
              <w:rPr>
                <w:noProof/>
                <w:sz w:val="20"/>
              </w:rPr>
              <w:t>mpactului, articolul 114 din TFUE, T1 2021)</w:t>
            </w:r>
          </w:p>
        </w:tc>
      </w:tr>
      <w:tr w:rsidR="00A1317E">
        <w:trPr>
          <w:cantSplit/>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jc w:val="left"/>
              <w:rPr>
                <w:rFonts w:eastAsiaTheme="minorEastAsia" w:cstheme="minorBidi"/>
                <w:b/>
                <w:bCs/>
                <w:noProof/>
                <w:sz w:val="20"/>
              </w:rPr>
            </w:pPr>
            <w:r>
              <w:rPr>
                <w:b/>
                <w:bCs/>
                <w:noProof/>
                <w:sz w:val="20"/>
              </w:rPr>
              <w:t xml:space="preserve">Evaluarea legislației UE privind protecția desenelor și modelelor industriale </w:t>
            </w:r>
          </w:p>
        </w:tc>
        <w:tc>
          <w:tcPr>
            <w:tcW w:w="2909" w:type="pct"/>
            <w:shd w:val="clear" w:color="auto" w:fill="auto"/>
          </w:tcPr>
          <w:p w:rsidR="00A1317E" w:rsidRDefault="00A5267E">
            <w:pPr>
              <w:spacing w:after="0"/>
              <w:rPr>
                <w:rFonts w:eastAsiaTheme="minorEastAsia" w:cstheme="minorBidi"/>
                <w:noProof/>
                <w:sz w:val="20"/>
              </w:rPr>
            </w:pPr>
            <w:r>
              <w:rPr>
                <w:noProof/>
                <w:sz w:val="20"/>
              </w:rPr>
              <w:t>Scopul evaluării este de a analiza în ce măsură actuala legislație a UE privind protecția desenelor și modelelor industriale și-a a</w:t>
            </w:r>
            <w:r>
              <w:rPr>
                <w:noProof/>
                <w:sz w:val="20"/>
              </w:rPr>
              <w:t>tins obiectivele din punctul de vedere al eficienței, eficacității, relevanței, coerenței și valorii sale adăugate europene și de a oferi indicații clare privind măsura în care se consideră că legislația respectivă este în continuare adecvată scopului. Eva</w:t>
            </w:r>
            <w:r>
              <w:rPr>
                <w:noProof/>
                <w:sz w:val="20"/>
              </w:rPr>
              <w:t>luarea trebuie să identifice oportunitățile de raționalizare a procedurilor de înregistrare în vederea facilitării recurgerii ușoare la sistemul de protecție a desenelor și modelelor industriale în UE; acest lucru ar putea conduce la reducerea costurilor ș</w:t>
            </w:r>
            <w:r>
              <w:rPr>
                <w:noProof/>
                <w:sz w:val="20"/>
              </w:rPr>
              <w:t xml:space="preserve">i a sarcinii administrative în beneficiul întreprinderilor, al creatorilor de desene și modele industriale și al IMM-urilor. </w:t>
            </w:r>
          </w:p>
        </w:tc>
      </w:tr>
      <w:tr w:rsidR="00A1317E">
        <w:trPr>
          <w:cantSplit/>
        </w:trPr>
        <w:tc>
          <w:tcPr>
            <w:tcW w:w="89" w:type="pct"/>
            <w:tcBorders>
              <w:bottom w:val="single" w:sz="4" w:space="0" w:color="auto"/>
            </w:tcBorders>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tcBorders>
              <w:bottom w:val="single" w:sz="4" w:space="0" w:color="auto"/>
            </w:tcBorders>
            <w:shd w:val="clear" w:color="auto" w:fill="auto"/>
          </w:tcPr>
          <w:p w:rsidR="00A1317E" w:rsidRDefault="00A5267E">
            <w:pPr>
              <w:spacing w:after="0"/>
              <w:jc w:val="left"/>
              <w:rPr>
                <w:rFonts w:eastAsiaTheme="minorEastAsia" w:cstheme="minorBidi"/>
                <w:b/>
                <w:bCs/>
                <w:noProof/>
                <w:sz w:val="20"/>
              </w:rPr>
            </w:pPr>
            <w:r>
              <w:rPr>
                <w:b/>
                <w:bCs/>
                <w:noProof/>
                <w:sz w:val="20"/>
              </w:rPr>
              <w:t>Evaluarea Directivei 2006/126/CE privind permisele de conducere*</w:t>
            </w:r>
          </w:p>
        </w:tc>
        <w:tc>
          <w:tcPr>
            <w:tcW w:w="2909" w:type="pct"/>
            <w:tcBorders>
              <w:bottom w:val="single" w:sz="4" w:space="0" w:color="auto"/>
            </w:tcBorders>
          </w:tcPr>
          <w:p w:rsidR="00A1317E" w:rsidRDefault="00A5267E">
            <w:pPr>
              <w:spacing w:after="0"/>
              <w:rPr>
                <w:rFonts w:eastAsiaTheme="minorEastAsia" w:cstheme="minorBidi"/>
                <w:noProof/>
                <w:sz w:val="20"/>
              </w:rPr>
            </w:pPr>
            <w:r>
              <w:rPr>
                <w:noProof/>
                <w:sz w:val="20"/>
              </w:rPr>
              <w:t xml:space="preserve">În cadrul evaluării </w:t>
            </w:r>
            <w:r>
              <w:rPr>
                <w:i/>
                <w:noProof/>
                <w:sz w:val="20"/>
              </w:rPr>
              <w:t>ex-post</w:t>
            </w:r>
            <w:r>
              <w:rPr>
                <w:noProof/>
                <w:sz w:val="20"/>
              </w:rPr>
              <w:t xml:space="preserve"> se va analiza cât de bine a reușit </w:t>
            </w:r>
            <w:r>
              <w:rPr>
                <w:noProof/>
                <w:sz w:val="20"/>
              </w:rPr>
              <w:t>directiva să îmbunătățească siguranța rutieră, să faciliteze libera circulație și să reducă posibilitățile de fraudă. Evaluarea va analiza, de asemenea, progresele tehnice realizate, de exemplu în ceea ce privește vehiculele și digitalizarea (permisele dig</w:t>
            </w:r>
            <w:r>
              <w:rPr>
                <w:noProof/>
                <w:sz w:val="20"/>
              </w:rPr>
              <w:t>itale).</w:t>
            </w:r>
          </w:p>
        </w:tc>
      </w:tr>
      <w:tr w:rsidR="00A1317E">
        <w:trPr>
          <w:cantSplit/>
        </w:trPr>
        <w:tc>
          <w:tcPr>
            <w:tcW w:w="5000" w:type="pct"/>
            <w:gridSpan w:val="3"/>
            <w:shd w:val="clear" w:color="auto" w:fill="F68A42" w:themeFill="accent3"/>
          </w:tcPr>
          <w:p w:rsidR="00A1317E" w:rsidRDefault="00A5267E">
            <w:pPr>
              <w:keepNext/>
              <w:spacing w:before="60" w:after="60"/>
              <w:rPr>
                <w:rFonts w:eastAsiaTheme="minorEastAsia" w:cstheme="minorBidi"/>
                <w:noProof/>
                <w:sz w:val="20"/>
              </w:rPr>
            </w:pPr>
            <w:r>
              <w:rPr>
                <w:b/>
                <w:bCs/>
                <w:noProof/>
                <w:color w:val="FFFFFF" w:themeColor="background1"/>
                <w:sz w:val="20"/>
              </w:rPr>
              <w:t>O economie în serviciul cetățenilor</w:t>
            </w:r>
          </w:p>
        </w:tc>
      </w:tr>
      <w:tr w:rsidR="00A1317E">
        <w:trPr>
          <w:cantSplit/>
        </w:trPr>
        <w:tc>
          <w:tcPr>
            <w:tcW w:w="89" w:type="pct"/>
            <w:shd w:val="clear" w:color="auto" w:fill="auto"/>
          </w:tcPr>
          <w:p w:rsidR="00A1317E" w:rsidRDefault="00A1317E">
            <w:pPr>
              <w:numPr>
                <w:ilvl w:val="0"/>
                <w:numId w:val="23"/>
              </w:numPr>
              <w:spacing w:after="0" w:line="276" w:lineRule="auto"/>
              <w:jc w:val="left"/>
              <w:rPr>
                <w:rFonts w:eastAsiaTheme="minorHAnsi" w:cstheme="minorBidi"/>
                <w:b/>
                <w:noProof/>
                <w:color w:val="000000"/>
                <w:sz w:val="20"/>
                <w:lang w:eastAsia="en-US"/>
              </w:rPr>
            </w:pPr>
          </w:p>
        </w:tc>
        <w:tc>
          <w:tcPr>
            <w:tcW w:w="2002" w:type="pct"/>
          </w:tcPr>
          <w:p w:rsidR="00A1317E" w:rsidRDefault="00A5267E">
            <w:pPr>
              <w:spacing w:after="0" w:line="276" w:lineRule="auto"/>
              <w:jc w:val="left"/>
              <w:rPr>
                <w:rFonts w:eastAsiaTheme="minorEastAsia" w:cstheme="minorBidi"/>
                <w:b/>
                <w:bCs/>
                <w:noProof/>
                <w:sz w:val="20"/>
              </w:rPr>
            </w:pPr>
            <w:r>
              <w:rPr>
                <w:b/>
                <w:bCs/>
                <w:noProof/>
                <w:sz w:val="20"/>
              </w:rPr>
              <w:t>Reguli uniforme de rotunjire [Acțiuni subsecvente Raportului privind evoluțiile recente în ceea ce privește monedele euro COM (2018) 787 final/2]*</w:t>
            </w:r>
          </w:p>
        </w:tc>
        <w:tc>
          <w:tcPr>
            <w:tcW w:w="2909" w:type="pct"/>
          </w:tcPr>
          <w:p w:rsidR="00A1317E" w:rsidRDefault="00A5267E">
            <w:pPr>
              <w:spacing w:after="0"/>
              <w:rPr>
                <w:rFonts w:eastAsiaTheme="minorEastAsia" w:cstheme="minorBidi"/>
                <w:noProof/>
                <w:sz w:val="20"/>
              </w:rPr>
            </w:pPr>
            <w:r>
              <w:rPr>
                <w:noProof/>
                <w:sz w:val="20"/>
              </w:rPr>
              <w:t xml:space="preserve">Evaluarea utilizării monedelor de 1 și 2 eurocenți și a </w:t>
            </w:r>
            <w:r>
              <w:rPr>
                <w:noProof/>
                <w:sz w:val="20"/>
              </w:rPr>
              <w:t>posibilității de a introduce reguli comune de rotunjire. O posibilă propunere ar introduce reguli comune de rotunjire pentru a aborda provocările legate de utilizarea monedelor de 1 și 2 eurocenți</w:t>
            </w:r>
            <w:r>
              <w:rPr>
                <w:noProof/>
                <w:color w:val="000000"/>
                <w:sz w:val="20"/>
              </w:rPr>
              <w:t xml:space="preserve"> (propunere legislativă care include o evaluare a impactului</w:t>
            </w:r>
            <w:r>
              <w:rPr>
                <w:noProof/>
                <w:color w:val="000000"/>
                <w:sz w:val="20"/>
              </w:rPr>
              <w:t>, articolul 133 din TFUE, T4 2021)</w:t>
            </w:r>
          </w:p>
        </w:tc>
      </w:tr>
      <w:tr w:rsidR="00A1317E">
        <w:trPr>
          <w:cantSplit/>
        </w:trPr>
        <w:tc>
          <w:tcPr>
            <w:tcW w:w="89" w:type="pct"/>
            <w:shd w:val="clear" w:color="auto" w:fill="auto"/>
          </w:tcPr>
          <w:p w:rsidR="00A1317E" w:rsidRDefault="00A1317E">
            <w:pPr>
              <w:numPr>
                <w:ilvl w:val="0"/>
                <w:numId w:val="23"/>
              </w:numPr>
              <w:spacing w:after="0" w:line="276" w:lineRule="auto"/>
              <w:jc w:val="left"/>
              <w:rPr>
                <w:rFonts w:eastAsiaTheme="minorHAnsi" w:cstheme="minorBidi"/>
                <w:b/>
                <w:noProof/>
                <w:color w:val="000000"/>
                <w:sz w:val="20"/>
                <w:lang w:eastAsia="en-US"/>
              </w:rPr>
            </w:pPr>
          </w:p>
        </w:tc>
        <w:tc>
          <w:tcPr>
            <w:tcW w:w="2002" w:type="pct"/>
          </w:tcPr>
          <w:p w:rsidR="00A1317E" w:rsidRDefault="00A5267E">
            <w:pPr>
              <w:spacing w:after="0"/>
              <w:jc w:val="left"/>
              <w:rPr>
                <w:rFonts w:eastAsiaTheme="minorEastAsia" w:cstheme="minorBidi"/>
                <w:b/>
                <w:bCs/>
                <w:noProof/>
                <w:sz w:val="20"/>
                <w:highlight w:val="yellow"/>
              </w:rPr>
            </w:pPr>
            <w:r>
              <w:rPr>
                <w:b/>
                <w:bCs/>
                <w:noProof/>
                <w:sz w:val="20"/>
              </w:rPr>
              <w:t>Verificarea adecvării cu privire la comunicarea publică de informații de către întreprinderi</w:t>
            </w:r>
          </w:p>
        </w:tc>
        <w:tc>
          <w:tcPr>
            <w:tcW w:w="2909" w:type="pct"/>
          </w:tcPr>
          <w:p w:rsidR="00A1317E" w:rsidRDefault="00A5267E">
            <w:pPr>
              <w:spacing w:after="0"/>
              <w:rPr>
                <w:rFonts w:eastAsiaTheme="minorEastAsia" w:cstheme="minorBidi"/>
                <w:b/>
                <w:bCs/>
                <w:noProof/>
                <w:sz w:val="20"/>
              </w:rPr>
            </w:pPr>
            <w:r>
              <w:rPr>
                <w:noProof/>
                <w:color w:val="000000" w:themeColor="text1"/>
                <w:sz w:val="20"/>
              </w:rPr>
              <w:t xml:space="preserve">Scopul acestei verificări a adecvării este de a evalua dacă legislația UE privind comunicarea periodică și publică de </w:t>
            </w:r>
            <w:r>
              <w:rPr>
                <w:noProof/>
                <w:color w:val="000000" w:themeColor="text1"/>
                <w:sz w:val="20"/>
              </w:rPr>
              <w:t>informații de către întreprinderi continuă să răspundă nevoii părților interesate de a cunoaște informații cu privire la activitățile, rezultatele, riscurile și impacturile întreprinderilor.</w:t>
            </w:r>
          </w:p>
        </w:tc>
      </w:tr>
      <w:tr w:rsidR="00A1317E">
        <w:trPr>
          <w:cantSplit/>
        </w:trPr>
        <w:tc>
          <w:tcPr>
            <w:tcW w:w="89" w:type="pct"/>
            <w:shd w:val="clear" w:color="auto" w:fill="auto"/>
          </w:tcPr>
          <w:p w:rsidR="00A1317E" w:rsidRDefault="00A1317E">
            <w:pPr>
              <w:numPr>
                <w:ilvl w:val="0"/>
                <w:numId w:val="23"/>
              </w:numPr>
              <w:spacing w:after="0" w:line="276" w:lineRule="auto"/>
              <w:jc w:val="left"/>
              <w:rPr>
                <w:rFonts w:eastAsiaTheme="minorHAnsi" w:cstheme="minorBidi"/>
                <w:b/>
                <w:noProof/>
                <w:color w:val="000000"/>
                <w:sz w:val="20"/>
                <w:lang w:eastAsia="en-US"/>
              </w:rPr>
            </w:pPr>
          </w:p>
        </w:tc>
        <w:tc>
          <w:tcPr>
            <w:tcW w:w="2002" w:type="pct"/>
          </w:tcPr>
          <w:p w:rsidR="00A1317E" w:rsidRDefault="00A5267E">
            <w:pPr>
              <w:spacing w:after="0"/>
              <w:jc w:val="left"/>
              <w:rPr>
                <w:rFonts w:eastAsiaTheme="minorEastAsia" w:cstheme="minorBidi"/>
                <w:b/>
                <w:bCs/>
                <w:noProof/>
                <w:sz w:val="20"/>
                <w:highlight w:val="yellow"/>
              </w:rPr>
            </w:pPr>
            <w:r>
              <w:rPr>
                <w:b/>
                <w:bCs/>
                <w:noProof/>
                <w:sz w:val="20"/>
              </w:rPr>
              <w:t>Evaluarea legislației privind comerțul cu precursori de droguri</w:t>
            </w:r>
          </w:p>
        </w:tc>
        <w:tc>
          <w:tcPr>
            <w:tcW w:w="2909" w:type="pct"/>
          </w:tcPr>
          <w:p w:rsidR="00A1317E" w:rsidRDefault="00A5267E">
            <w:pPr>
              <w:spacing w:after="0"/>
              <w:rPr>
                <w:rFonts w:eastAsiaTheme="minorEastAsia" w:cstheme="minorBidi"/>
                <w:noProof/>
                <w:color w:val="000000" w:themeColor="text1"/>
                <w:sz w:val="20"/>
              </w:rPr>
            </w:pPr>
            <w:r>
              <w:rPr>
                <w:noProof/>
                <w:sz w:val="20"/>
              </w:rPr>
              <w:t>Regulamentul (CE) nr. 273/2004 și Regulamentul (CE) nr. 111/2005 privind precursorii de droguri vor fi evaluate din perspectiva obiectivului lor, respectiv acela de a institui un sistem de monitorizare și control al comerțului cu precursori de droguri pen</w:t>
            </w:r>
            <w:r>
              <w:rPr>
                <w:noProof/>
                <w:sz w:val="20"/>
              </w:rPr>
              <w:t>tru a preveni deturnarea acestora de la lanțul legal de aprovizionare către producția ilicită de droguri. Pe lângă aceste două regulamente, evaluarea va viza și actele lor conexe, Regulamentul delegat 2015/1011 și Regulamentul de punere în aplicare 2015/10</w:t>
            </w:r>
            <w:r>
              <w:rPr>
                <w:noProof/>
                <w:sz w:val="20"/>
              </w:rPr>
              <w:t>13.</w:t>
            </w:r>
          </w:p>
        </w:tc>
      </w:tr>
      <w:tr w:rsidR="00A1317E">
        <w:trPr>
          <w:cantSplit/>
        </w:trPr>
        <w:tc>
          <w:tcPr>
            <w:tcW w:w="89" w:type="pct"/>
            <w:tcBorders>
              <w:bottom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sz w:val="20"/>
                <w:lang w:eastAsia="en-US"/>
              </w:rPr>
            </w:pPr>
          </w:p>
        </w:tc>
        <w:tc>
          <w:tcPr>
            <w:tcW w:w="2002" w:type="pct"/>
            <w:tcBorders>
              <w:bottom w:val="single" w:sz="4" w:space="0" w:color="auto"/>
            </w:tcBorders>
          </w:tcPr>
          <w:p w:rsidR="00A1317E" w:rsidRDefault="00A5267E">
            <w:pPr>
              <w:spacing w:after="0"/>
              <w:jc w:val="left"/>
              <w:rPr>
                <w:rFonts w:eastAsiaTheme="minorEastAsia" w:cstheme="minorBidi"/>
                <w:b/>
                <w:bCs/>
                <w:noProof/>
                <w:sz w:val="20"/>
              </w:rPr>
            </w:pPr>
            <w:r>
              <w:rPr>
                <w:b/>
                <w:bCs/>
                <w:noProof/>
                <w:sz w:val="20"/>
              </w:rPr>
              <w:t>Evaluarea Regulamentului privind asistența reciprocă în domeniul vamal (515/97)*</w:t>
            </w:r>
          </w:p>
        </w:tc>
        <w:tc>
          <w:tcPr>
            <w:tcW w:w="2909" w:type="pct"/>
            <w:tcBorders>
              <w:bottom w:val="single" w:sz="4" w:space="0" w:color="auto"/>
            </w:tcBorders>
          </w:tcPr>
          <w:p w:rsidR="00A1317E" w:rsidRDefault="00A5267E">
            <w:pPr>
              <w:spacing w:after="0"/>
              <w:rPr>
                <w:rFonts w:eastAsiaTheme="minorEastAsia" w:cstheme="minorBidi"/>
                <w:noProof/>
                <w:sz w:val="20"/>
              </w:rPr>
            </w:pPr>
            <w:r>
              <w:rPr>
                <w:noProof/>
                <w:sz w:val="20"/>
              </w:rPr>
              <w:t xml:space="preserve">Regulamentul nr. 515/97 asigură aplicarea corectă a legislației vamale a UE. Situația a evoluat din 2015, când a avut loc revizuirea Regulamentului nr. 515/97 (de </w:t>
            </w:r>
            <w:r>
              <w:rPr>
                <w:noProof/>
                <w:sz w:val="20"/>
              </w:rPr>
              <w:t>exemplu a fost instituit noul regim de protecție a datelor, au apărut noi riscuri de fraudă). Evaluarea va viza funcționarea generală a Regulamentului nr. 515/97, în cadrul acesteia urmând să se lanseze și o consultare specifică.</w:t>
            </w:r>
          </w:p>
        </w:tc>
      </w:tr>
      <w:tr w:rsidR="00A1317E">
        <w:trPr>
          <w:cantSplit/>
        </w:trPr>
        <w:tc>
          <w:tcPr>
            <w:tcW w:w="5000" w:type="pct"/>
            <w:gridSpan w:val="3"/>
            <w:tcBorders>
              <w:bottom w:val="single" w:sz="4" w:space="0" w:color="auto"/>
            </w:tcBorders>
            <w:shd w:val="clear" w:color="auto" w:fill="585EAA" w:themeFill="accent4"/>
          </w:tcPr>
          <w:p w:rsidR="00A1317E" w:rsidRDefault="00A5267E">
            <w:pPr>
              <w:keepNext/>
              <w:spacing w:before="60" w:after="60"/>
              <w:rPr>
                <w:b/>
                <w:bCs/>
                <w:noProof/>
                <w:sz w:val="20"/>
              </w:rPr>
            </w:pPr>
            <w:r>
              <w:rPr>
                <w:b/>
                <w:bCs/>
                <w:noProof/>
                <w:color w:val="FFFFFF" w:themeColor="background1"/>
                <w:sz w:val="20"/>
              </w:rPr>
              <w:t>O Europă mai puternică pe</w:t>
            </w:r>
            <w:r>
              <w:rPr>
                <w:b/>
                <w:bCs/>
                <w:noProof/>
                <w:color w:val="FFFFFF" w:themeColor="background1"/>
                <w:sz w:val="20"/>
              </w:rPr>
              <w:t xml:space="preserve"> plan internațional</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spacing w:after="0"/>
              <w:jc w:val="left"/>
              <w:rPr>
                <w:rFonts w:eastAsiaTheme="minorEastAsia" w:cstheme="minorBidi"/>
                <w:b/>
                <w:noProof/>
                <w:sz w:val="20"/>
                <w:highlight w:val="red"/>
              </w:rPr>
            </w:pPr>
            <w:r>
              <w:rPr>
                <w:b/>
                <w:noProof/>
                <w:sz w:val="20"/>
              </w:rPr>
              <w:t>Evaluarea pilonului comercial al celor șase Acorduri de asociere ale UE cu țările EUROMED (Tunisia, Maroc, Egipt, Iordania, Algeria și Liban)*</w:t>
            </w:r>
          </w:p>
        </w:tc>
        <w:tc>
          <w:tcPr>
            <w:tcW w:w="2909" w:type="pct"/>
            <w:tcBorders>
              <w:top w:val="single" w:sz="4" w:space="0" w:color="auto"/>
              <w:left w:val="single" w:sz="4" w:space="0" w:color="auto"/>
              <w:bottom w:val="single" w:sz="4" w:space="0" w:color="auto"/>
              <w:right w:val="single" w:sz="4" w:space="0" w:color="auto"/>
            </w:tcBorders>
          </w:tcPr>
          <w:p w:rsidR="00A1317E" w:rsidRDefault="00A5267E">
            <w:pPr>
              <w:spacing w:after="0"/>
              <w:rPr>
                <w:rFonts w:eastAsiaTheme="minorEastAsia" w:cstheme="minorBidi"/>
                <w:noProof/>
                <w:sz w:val="20"/>
              </w:rPr>
            </w:pPr>
            <w:r>
              <w:rPr>
                <w:noProof/>
                <w:sz w:val="20"/>
              </w:rPr>
              <w:t>Această evaluare ar putea identifica oportunități de simplificare a procedurilor cu potențial de reducere a costurilor și a sarcinii administrative și de simplificare a proceselor. În plus, aceste beneficii potențiale ar putea fi utile în orice renegociere</w:t>
            </w:r>
            <w:r>
              <w:rPr>
                <w:noProof/>
                <w:sz w:val="20"/>
              </w:rPr>
              <w:t xml:space="preserve"> viitoare a acestor acorduri sau în situația negocierii de acorduri cu alte țări. </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spacing w:after="0"/>
              <w:jc w:val="left"/>
              <w:rPr>
                <w:rFonts w:eastAsiaTheme="minorEastAsia" w:cstheme="minorBidi"/>
                <w:b/>
                <w:noProof/>
                <w:sz w:val="20"/>
                <w:highlight w:val="red"/>
              </w:rPr>
            </w:pPr>
            <w:r>
              <w:rPr>
                <w:b/>
                <w:noProof/>
                <w:sz w:val="20"/>
              </w:rPr>
              <w:t>Evaluarea punerii în aplicare a Acordului de parteneriat economic UE-CARIFORUM*</w:t>
            </w:r>
          </w:p>
        </w:tc>
        <w:tc>
          <w:tcPr>
            <w:tcW w:w="2909" w:type="pct"/>
            <w:tcBorders>
              <w:top w:val="single" w:sz="4" w:space="0" w:color="auto"/>
              <w:left w:val="single" w:sz="4" w:space="0" w:color="auto"/>
              <w:bottom w:val="single" w:sz="4" w:space="0" w:color="auto"/>
              <w:right w:val="single" w:sz="4" w:space="0" w:color="auto"/>
            </w:tcBorders>
          </w:tcPr>
          <w:p w:rsidR="00A1317E" w:rsidRDefault="00A5267E">
            <w:pPr>
              <w:spacing w:after="0"/>
              <w:rPr>
                <w:rFonts w:eastAsiaTheme="minorEastAsia" w:cstheme="minorBidi"/>
                <w:noProof/>
                <w:sz w:val="20"/>
              </w:rPr>
            </w:pPr>
            <w:r>
              <w:rPr>
                <w:noProof/>
                <w:sz w:val="20"/>
              </w:rPr>
              <w:t>Această evaluare ar putea identifica oportunități de simplificare a procedurilor cu potențial de reducere a costurilor și a sarcinii administrative și de simplificare a proceselor. În plus, aceste beneficii potențiale ar putea fi utile în orice renegociere</w:t>
            </w:r>
            <w:r>
              <w:rPr>
                <w:noProof/>
                <w:sz w:val="20"/>
              </w:rPr>
              <w:t xml:space="preserve"> viitoare a acestor acorduri sau în situația negocierii de acorduri cu alte țări. </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spacing w:after="0"/>
              <w:jc w:val="left"/>
              <w:rPr>
                <w:rFonts w:eastAsiaTheme="minorEastAsia" w:cstheme="minorBidi"/>
                <w:b/>
                <w:bCs/>
                <w:noProof/>
                <w:sz w:val="20"/>
              </w:rPr>
            </w:pPr>
            <w:r>
              <w:rPr>
                <w:b/>
                <w:bCs/>
                <w:noProof/>
                <w:sz w:val="20"/>
              </w:rPr>
              <w:t>Comerț fără tortură</w:t>
            </w:r>
          </w:p>
        </w:tc>
        <w:tc>
          <w:tcPr>
            <w:tcW w:w="2909" w:type="pct"/>
            <w:tcBorders>
              <w:top w:val="single" w:sz="4" w:space="0" w:color="auto"/>
              <w:left w:val="single" w:sz="4" w:space="0" w:color="auto"/>
              <w:bottom w:val="single" w:sz="4" w:space="0" w:color="auto"/>
              <w:right w:val="single" w:sz="4" w:space="0" w:color="auto"/>
            </w:tcBorders>
          </w:tcPr>
          <w:p w:rsidR="00A1317E" w:rsidRDefault="00A5267E">
            <w:pPr>
              <w:spacing w:after="0"/>
              <w:rPr>
                <w:rFonts w:eastAsiaTheme="minorEastAsia" w:cstheme="minorBidi"/>
                <w:noProof/>
                <w:sz w:val="20"/>
              </w:rPr>
            </w:pPr>
            <w:r>
              <w:rPr>
                <w:noProof/>
                <w:sz w:val="20"/>
              </w:rPr>
              <w:t>Revizuirea Regulamentului (UE) 2019/125 (Regulamentul împotriva torturii) privind comerțul cu anumite bunuri care ar putea fi utilizate pentru a aplica</w:t>
            </w:r>
            <w:r>
              <w:rPr>
                <w:noProof/>
                <w:sz w:val="20"/>
              </w:rPr>
              <w:t xml:space="preserve"> pedeapsa capitală, tortura și alte pedepse sau tratamente cu cruzime, inumane sau degradante.</w:t>
            </w:r>
            <w:r>
              <w:rPr>
                <w:noProof/>
                <w:sz w:val="20"/>
              </w:rPr>
              <w:tab/>
            </w:r>
            <w:r>
              <w:rPr>
                <w:noProof/>
              </w:rPr>
              <w:t xml:space="preserve"> </w:t>
            </w:r>
            <w:r>
              <w:rPr>
                <w:noProof/>
              </w:rPr>
              <w:br/>
            </w:r>
            <w:r>
              <w:rPr>
                <w:noProof/>
                <w:sz w:val="20"/>
              </w:rPr>
              <w:t>În temeiul articolului 32 din Regulamentul împotriva torturii, Comisia trebuie să reexamineze punerea sa în aplicare până la 31 iulie 2020 și, ulterior, o dată</w:t>
            </w:r>
            <w:r>
              <w:rPr>
                <w:noProof/>
                <w:sz w:val="20"/>
              </w:rPr>
              <w:t xml:space="preserve"> la cinci ani. Pe baza unui raport de revizuire care ar urma să fie adoptat până în iulie 2020, Comisia va decide dacă ar trebui propuse modificări la regulament. Fără a aduce atingere rezultatului revizuirii și veghind, în același timp, la asigurarea fapt</w:t>
            </w:r>
            <w:r>
              <w:rPr>
                <w:noProof/>
                <w:sz w:val="20"/>
              </w:rPr>
              <w:t>ului că bunurile relevante fac în continuare obiectul unor restricții efective, ar putea fi avute în vedere aspecte care ar putea fi simplificate referitoare, de exemplu, la cerințele de raportare sau la schimbul de informații.</w:t>
            </w:r>
          </w:p>
        </w:tc>
      </w:tr>
      <w:tr w:rsidR="00A1317E">
        <w:trPr>
          <w:cantSplit/>
        </w:trPr>
        <w:tc>
          <w:tcPr>
            <w:tcW w:w="5000" w:type="pct"/>
            <w:gridSpan w:val="3"/>
            <w:shd w:val="clear" w:color="auto" w:fill="DA5C57" w:themeFill="accent6"/>
          </w:tcPr>
          <w:p w:rsidR="00A1317E" w:rsidRDefault="00A5267E">
            <w:pPr>
              <w:keepNext/>
              <w:spacing w:before="60" w:after="60"/>
              <w:rPr>
                <w:b/>
                <w:bCs/>
                <w:noProof/>
                <w:sz w:val="20"/>
              </w:rPr>
            </w:pPr>
            <w:r>
              <w:rPr>
                <w:b/>
                <w:bCs/>
                <w:noProof/>
                <w:color w:val="FFFFFF" w:themeColor="background1"/>
                <w:sz w:val="20"/>
              </w:rPr>
              <w:t>Promovarea modului nostru d</w:t>
            </w:r>
            <w:r>
              <w:rPr>
                <w:b/>
                <w:bCs/>
                <w:noProof/>
                <w:color w:val="FFFFFF" w:themeColor="background1"/>
                <w:sz w:val="20"/>
              </w:rPr>
              <w:t>e viață european</w:t>
            </w:r>
          </w:p>
        </w:tc>
      </w:tr>
      <w:tr w:rsidR="00A1317E">
        <w:trPr>
          <w:cantSplit/>
        </w:trPr>
        <w:tc>
          <w:tcPr>
            <w:tcW w:w="89" w:type="pct"/>
            <w:tcBorders>
              <w:bottom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bottom w:val="single" w:sz="4" w:space="0" w:color="auto"/>
            </w:tcBorders>
          </w:tcPr>
          <w:p w:rsidR="00A1317E" w:rsidRDefault="00A5267E">
            <w:pPr>
              <w:spacing w:after="0"/>
              <w:jc w:val="left"/>
              <w:rPr>
                <w:rFonts w:eastAsiaTheme="minorEastAsia" w:cstheme="minorBidi"/>
                <w:b/>
                <w:bCs/>
                <w:noProof/>
                <w:sz w:val="20"/>
              </w:rPr>
            </w:pPr>
            <w:r>
              <w:rPr>
                <w:b/>
                <w:bCs/>
                <w:noProof/>
                <w:sz w:val="20"/>
              </w:rPr>
              <w:t>Evaluarea Regulamentului (CE) nr. 1901/2006 privind medicamentele de uz pediatric și a Regulamentului (CE) nr. 141/2000 privind produsele medicamentoase orfane</w:t>
            </w:r>
          </w:p>
        </w:tc>
        <w:tc>
          <w:tcPr>
            <w:tcW w:w="2909" w:type="pct"/>
            <w:tcBorders>
              <w:bottom w:val="single" w:sz="4" w:space="0" w:color="auto"/>
            </w:tcBorders>
          </w:tcPr>
          <w:p w:rsidR="00A1317E" w:rsidRDefault="00A5267E">
            <w:pPr>
              <w:spacing w:after="0"/>
              <w:rPr>
                <w:rFonts w:eastAsiaTheme="minorEastAsia" w:cstheme="minorBidi"/>
                <w:noProof/>
                <w:sz w:val="20"/>
              </w:rPr>
            </w:pPr>
            <w:r>
              <w:rPr>
                <w:noProof/>
                <w:sz w:val="20"/>
              </w:rPr>
              <w:t>Această evaluare va avea o contribuție semnificativă la viitoarea strategie a</w:t>
            </w:r>
            <w:r>
              <w:rPr>
                <w:noProof/>
                <w:sz w:val="20"/>
              </w:rPr>
              <w:t xml:space="preserve"> UE în domeniul farmaceutic. Pe baza dovezilor disponibile, evaluarea analizează punctele forte și punctele slabe ale Regulamentului privind produsele medicamentoase orfane și ale Regulamentului privind medicamentele de uz pediatric atât separat, cât și îm</w:t>
            </w:r>
            <w:r>
              <w:rPr>
                <w:noProof/>
                <w:sz w:val="20"/>
              </w:rPr>
              <w:t>preună. Evaluarea vizează cu prioritate, printre altele, produsele care răspund nevoilor medicale nesatisfăcute ale pacienților și modul în care au fost utilizate stimulentele prevăzute în legislația actuală.</w:t>
            </w:r>
          </w:p>
        </w:tc>
      </w:tr>
      <w:tr w:rsidR="00A1317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ADDC" w:themeFill="accent5"/>
          </w:tcPr>
          <w:p w:rsidR="00A1317E" w:rsidRDefault="00A5267E">
            <w:pPr>
              <w:keepNext/>
              <w:spacing w:before="60" w:after="60"/>
              <w:rPr>
                <w:b/>
                <w:bCs/>
                <w:noProof/>
                <w:sz w:val="20"/>
              </w:rPr>
            </w:pPr>
            <w:r>
              <w:rPr>
                <w:b/>
                <w:bCs/>
                <w:noProof/>
                <w:color w:val="FFFFFF" w:themeColor="background1"/>
                <w:sz w:val="20"/>
              </w:rPr>
              <w:t>Un nou elan pentru democrația europeană</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spacing w:after="0"/>
              <w:jc w:val="left"/>
              <w:rPr>
                <w:rFonts w:eastAsiaTheme="minorEastAsia" w:cstheme="minorBidi"/>
                <w:b/>
                <w:bCs/>
                <w:noProof/>
                <w:sz w:val="20"/>
              </w:rPr>
            </w:pPr>
            <w:r>
              <w:rPr>
                <w:b/>
                <w:bCs/>
                <w:noProof/>
                <w:sz w:val="20"/>
              </w:rPr>
              <w:t>Propunerea Comisiei de revizuire a Directivei 2008/48/CE privind contractele de credit oferite consumatorilor*</w:t>
            </w:r>
          </w:p>
        </w:tc>
        <w:tc>
          <w:tcPr>
            <w:tcW w:w="2909" w:type="pct"/>
            <w:tcBorders>
              <w:top w:val="single" w:sz="4" w:space="0" w:color="auto"/>
              <w:left w:val="single" w:sz="4" w:space="0" w:color="auto"/>
              <w:bottom w:val="single" w:sz="4" w:space="0" w:color="auto"/>
              <w:right w:val="single" w:sz="4" w:space="0" w:color="auto"/>
            </w:tcBorders>
          </w:tcPr>
          <w:p w:rsidR="00A1317E" w:rsidRDefault="00A5267E">
            <w:pPr>
              <w:spacing w:after="0"/>
              <w:rPr>
                <w:rFonts w:eastAsiaTheme="minorEastAsia" w:cstheme="minorBidi"/>
                <w:noProof/>
                <w:sz w:val="20"/>
              </w:rPr>
            </w:pPr>
            <w:r>
              <w:rPr>
                <w:noProof/>
                <w:sz w:val="20"/>
              </w:rPr>
              <w:t xml:space="preserve">Evaluarea în curs a directivei se va axa asupra progreselor înregistrate, precum și asupra costurilor și a beneficiilor directivei. Evaluarea va </w:t>
            </w:r>
            <w:r>
              <w:rPr>
                <w:noProof/>
                <w:sz w:val="20"/>
              </w:rPr>
              <w:t>analiza, de asemenea, măsura în care obiectivele și instrumentele inițiale ale directivei corespund nevoilor actuale și dacă intervenția UE a adus beneficii și va monitoriza modul în care interacționează directiva cu alte acte legislative. Pe baza rezultat</w:t>
            </w:r>
            <w:r>
              <w:rPr>
                <w:noProof/>
                <w:sz w:val="20"/>
              </w:rPr>
              <w:t>elor evaluării, revizuirea va asigura o mai bună informare a consumatorilor și o mai bună înțelegere a creditelor de consum, ținând seama de procesul de digitalizare în furnizarea acestor produse. Revizuirea va urmări să ofere consumatorilor o mai bună pro</w:t>
            </w:r>
            <w:r>
              <w:rPr>
                <w:noProof/>
                <w:sz w:val="20"/>
              </w:rPr>
              <w:t>tecție împotriva practicilor iresponsabile în materie de creditare, în special a celor online. (propunere legislativă care include o evaluare a impactului, articolul 114 din TFUE, T2 2021)</w:t>
            </w:r>
          </w:p>
        </w:tc>
      </w:tr>
      <w:tr w:rsidR="00A1317E">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A1317E" w:rsidRDefault="00A1317E">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A1317E" w:rsidRDefault="00A5267E">
            <w:pPr>
              <w:spacing w:after="0"/>
              <w:jc w:val="left"/>
              <w:rPr>
                <w:rFonts w:eastAsiaTheme="minorEastAsia" w:cstheme="minorBidi"/>
                <w:b/>
                <w:bCs/>
                <w:noProof/>
                <w:sz w:val="20"/>
              </w:rPr>
            </w:pPr>
            <w:r>
              <w:rPr>
                <w:b/>
                <w:bCs/>
                <w:noProof/>
                <w:sz w:val="20"/>
              </w:rPr>
              <w:t xml:space="preserve">Propunerea Comisiei de revizuire a Directivei 2002/65/CE privind </w:t>
            </w:r>
            <w:r>
              <w:rPr>
                <w:b/>
                <w:bCs/>
                <w:noProof/>
                <w:sz w:val="20"/>
              </w:rPr>
              <w:t>comercializarea la distanță a serviciilor financiare de consum*</w:t>
            </w:r>
          </w:p>
        </w:tc>
        <w:tc>
          <w:tcPr>
            <w:tcW w:w="2909" w:type="pct"/>
            <w:tcBorders>
              <w:top w:val="single" w:sz="4" w:space="0" w:color="auto"/>
              <w:left w:val="single" w:sz="4" w:space="0" w:color="auto"/>
              <w:bottom w:val="single" w:sz="4" w:space="0" w:color="auto"/>
              <w:right w:val="single" w:sz="4" w:space="0" w:color="auto"/>
            </w:tcBorders>
          </w:tcPr>
          <w:p w:rsidR="00A1317E" w:rsidRDefault="00A5267E">
            <w:pPr>
              <w:spacing w:after="0"/>
              <w:rPr>
                <w:rFonts w:eastAsiaTheme="minorEastAsia" w:cstheme="minorBidi"/>
                <w:noProof/>
                <w:sz w:val="20"/>
              </w:rPr>
            </w:pPr>
            <w:r>
              <w:rPr>
                <w:noProof/>
                <w:sz w:val="20"/>
              </w:rPr>
              <w:t>Evaluarea în curs va analiza în ce măsură au fost atinse obiectivele inițiale, cum funcționează directiva din punctul de vedere al raportului costuri-beneficii, al reducerii sarcinii și al sim</w:t>
            </w:r>
            <w:r>
              <w:rPr>
                <w:noProof/>
                <w:sz w:val="20"/>
              </w:rPr>
              <w:t>plificării, precum și modul în care directiva interacționează cu alte acte legislative din domeniul serviciilor financiare cu amănuntul, al protecției consumatorilor și al protecției datelor. Analiza va evalua dacă instrumentele directivei corespund nevoil</w:t>
            </w:r>
            <w:r>
              <w:rPr>
                <w:noProof/>
                <w:sz w:val="20"/>
              </w:rPr>
              <w:t>or inițiale și actuale și dacă aduc o valoare adăugată europeană. Pe baza rezultatelor evaluării, revizuirea va asigura o mai bună înțelegere a produselor financiare cu amănuntul, ținând seama de procesul de digitalizare în furnizarea acestor produse. Revi</w:t>
            </w:r>
            <w:r>
              <w:rPr>
                <w:noProof/>
                <w:sz w:val="20"/>
              </w:rPr>
              <w:t>zuirea va urmări să ofere consumatorilor o mai bună protecție împotriva practicilor iresponsabile în materie de creditare, în special a celor online. (propunere legislativă care include o evaluare a impactului, articolul 114 din TFUE, T4 2021)</w:t>
            </w:r>
          </w:p>
        </w:tc>
      </w:tr>
      <w:tr w:rsidR="00A1317E">
        <w:trPr>
          <w:cantSplit/>
          <w:trHeight w:val="1722"/>
        </w:trPr>
        <w:tc>
          <w:tcPr>
            <w:tcW w:w="89" w:type="pct"/>
            <w:shd w:val="clear" w:color="auto" w:fill="auto"/>
          </w:tcPr>
          <w:p w:rsidR="00A1317E" w:rsidRDefault="00A1317E">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A1317E" w:rsidRDefault="00A5267E">
            <w:pPr>
              <w:spacing w:after="0"/>
              <w:rPr>
                <w:rFonts w:eastAsiaTheme="minorEastAsia" w:cstheme="minorBidi"/>
                <w:b/>
                <w:bCs/>
                <w:noProof/>
                <w:sz w:val="20"/>
              </w:rPr>
            </w:pPr>
            <w:r>
              <w:rPr>
                <w:b/>
                <w:bCs/>
                <w:noProof/>
                <w:sz w:val="20"/>
              </w:rPr>
              <w:t>Revizuirea</w:t>
            </w:r>
            <w:r>
              <w:rPr>
                <w:b/>
                <w:bCs/>
                <w:noProof/>
                <w:sz w:val="20"/>
              </w:rPr>
              <w:t xml:space="preserve"> Directivei nr. 2001/95/CE privind siguranța generală a produselor</w:t>
            </w:r>
            <w:r>
              <w:rPr>
                <w:noProof/>
              </w:rPr>
              <w:t xml:space="preserve"> </w:t>
            </w:r>
            <w:r>
              <w:rPr>
                <w:noProof/>
              </w:rPr>
              <w:br/>
            </w:r>
            <w:r>
              <w:rPr>
                <w:b/>
                <w:bCs/>
                <w:noProof/>
                <w:sz w:val="20"/>
              </w:rPr>
              <w:t>(Regulament; temeiul juridic - articolul 114 din TFUE)*</w:t>
            </w:r>
          </w:p>
        </w:tc>
        <w:tc>
          <w:tcPr>
            <w:tcW w:w="2909" w:type="pct"/>
          </w:tcPr>
          <w:p w:rsidR="00A1317E" w:rsidRDefault="00A5267E">
            <w:pPr>
              <w:spacing w:after="0"/>
              <w:rPr>
                <w:rFonts w:eastAsiaTheme="minorEastAsia" w:cstheme="minorBidi"/>
                <w:noProof/>
                <w:sz w:val="20"/>
              </w:rPr>
            </w:pPr>
            <w:r>
              <w:rPr>
                <w:noProof/>
                <w:sz w:val="20"/>
              </w:rPr>
              <w:t xml:space="preserve">Inițiativa va aborda aspectele legate de siguranța produselor care decurg din utilizarea noilor tehnologii; va răspunde necesității </w:t>
            </w:r>
            <w:r>
              <w:rPr>
                <w:noProof/>
                <w:sz w:val="20"/>
              </w:rPr>
              <w:t>de a se întreprinde acțiuni mai concrete privind vânzarea online; va actualiza cadrul juridic general privind siguranța produselor și, în lumina noului Regulament (UE) 2019/1020 privind supravegherea pieței și conformitatea produselor, va acoperi decalajul</w:t>
            </w:r>
            <w:r>
              <w:rPr>
                <w:noProof/>
                <w:sz w:val="20"/>
              </w:rPr>
              <w:t xml:space="preserve"> existent între produsele armonizate și cele nearmonizate în ceea ce privește supravegherea pieței. Revizuirea ar urma să îmbunătățească, de asemenea, eficacitatea rechemărilor de produse și acoperirea noilor riscuri în materie de siguranță a produselor. A</w:t>
            </w:r>
            <w:r>
              <w:rPr>
                <w:noProof/>
                <w:sz w:val="20"/>
              </w:rPr>
              <w:t>r trebui să se consolideze astfel competențele de asigurare a respectării legislației ale statelor membre, în special în ceea ce privește controlul importurilor. (propunere legislativă care include o evaluare a impactului, articolul 114 din TFUE, T2 2021)</w:t>
            </w:r>
          </w:p>
        </w:tc>
      </w:tr>
    </w:tbl>
    <w:p w:rsidR="00A1317E" w:rsidRDefault="00A1317E">
      <w:pPr>
        <w:spacing w:after="0"/>
        <w:jc w:val="left"/>
        <w:rPr>
          <w:noProof/>
          <w:sz w:val="20"/>
        </w:rPr>
      </w:pPr>
    </w:p>
    <w:p w:rsidR="00A1317E" w:rsidRDefault="00A1317E">
      <w:pPr>
        <w:rPr>
          <w:noProof/>
          <w:lang w:eastAsia="de-DE"/>
        </w:rPr>
      </w:pPr>
    </w:p>
    <w:p w:rsidR="00A1317E" w:rsidRDefault="00A1317E">
      <w:pPr>
        <w:spacing w:after="0"/>
        <w:jc w:val="left"/>
        <w:rPr>
          <w:noProof/>
          <w:sz w:val="20"/>
        </w:rPr>
      </w:pPr>
      <w:bookmarkStart w:id="2" w:name="_GoBack"/>
      <w:bookmarkEnd w:id="2"/>
    </w:p>
    <w:p w:rsidR="00A1317E" w:rsidRDefault="00A1317E">
      <w:pPr>
        <w:rPr>
          <w:noProof/>
        </w:rPr>
      </w:pPr>
    </w:p>
    <w:sectPr w:rsidR="00A1317E">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567" w:right="567" w:bottom="510" w:left="567"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7E" w:rsidRDefault="00A5267E">
      <w:pPr>
        <w:spacing w:after="0"/>
      </w:pPr>
      <w:r>
        <w:separator/>
      </w:r>
    </w:p>
  </w:endnote>
  <w:endnote w:type="continuationSeparator" w:id="0">
    <w:p w:rsidR="00A1317E" w:rsidRDefault="00A5267E">
      <w:pPr>
        <w:spacing w:after="0"/>
      </w:pPr>
      <w:r>
        <w:continuationSeparator/>
      </w:r>
    </w:p>
  </w:endnote>
  <w:endnote w:type="continuationNotice" w:id="1">
    <w:p w:rsidR="00A1317E" w:rsidRDefault="00A131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5267E">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5267E">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5267E">
    <w:pPr>
      <w:pStyle w:val="FooterLine"/>
      <w:spacing w:before="0"/>
      <w:jc w:val="righ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2222"/>
      <w:docPartObj>
        <w:docPartGallery w:val="Page Numbers (Bottom of Page)"/>
        <w:docPartUnique/>
      </w:docPartObj>
    </w:sdtPr>
    <w:sdtEndPr>
      <w:rPr>
        <w:noProof/>
      </w:rPr>
    </w:sdtEndPr>
    <w:sdtContent>
      <w:p w:rsidR="00A1317E" w:rsidRDefault="00A5267E">
        <w:pPr>
          <w:pStyle w:val="Footer"/>
          <w:jc w:val="center"/>
        </w:pPr>
        <w:r>
          <w:fldChar w:fldCharType="begin"/>
        </w:r>
        <w:r>
          <w:instrText xml:space="preserve"> PAGE   \* MERGEFORMAT </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7E" w:rsidRDefault="00A5267E">
      <w:pPr>
        <w:spacing w:after="0"/>
      </w:pPr>
      <w:r>
        <w:separator/>
      </w:r>
    </w:p>
  </w:footnote>
  <w:footnote w:type="continuationSeparator" w:id="0">
    <w:p w:rsidR="00A1317E" w:rsidRDefault="00A5267E">
      <w:pPr>
        <w:spacing w:after="0"/>
      </w:pPr>
      <w:r>
        <w:continuationSeparator/>
      </w:r>
    </w:p>
  </w:footnote>
  <w:footnote w:type="continuationNotice" w:id="1">
    <w:p w:rsidR="00A1317E" w:rsidRDefault="00A1317E">
      <w:pPr>
        <w:spacing w:after="0"/>
      </w:pPr>
    </w:p>
  </w:footnote>
  <w:footnote w:id="2">
    <w:p w:rsidR="00A1317E" w:rsidRDefault="00A5267E">
      <w:pPr>
        <w:pStyle w:val="FootnoteText"/>
      </w:pPr>
      <w:r>
        <w:rPr>
          <w:rStyle w:val="FootnoteReference"/>
        </w:rPr>
        <w:footnoteRef/>
      </w:r>
      <w:r>
        <w:tab/>
        <w:t xml:space="preserve">În prezenta anexă, Comisia furnizează informații suplimentare, în măsura în care acestea sunt disponibile, cu privire la inițiativele incluse în programul </w:t>
      </w:r>
      <w:r>
        <w:t>său de lucru, în conformitate cu Acordul interinstituțional privind o mai bună legiferare. Aceste informații, inserate între paranteze în dreptul fiecărei inițiative, sunt oferite doar cu titlu orientativ și pot suferi modificări în cursul procesului pregă</w:t>
      </w:r>
      <w:r>
        <w:t>titor, în special în funcție de rezultatul unei eventuale evaluări a impactului.</w:t>
      </w:r>
    </w:p>
  </w:footnote>
  <w:footnote w:id="3">
    <w:p w:rsidR="00A1317E" w:rsidRDefault="00A5267E">
      <w:pPr>
        <w:pStyle w:val="FootnoteText"/>
      </w:pPr>
      <w:r>
        <w:rPr>
          <w:rStyle w:val="FootnoteReference"/>
        </w:rPr>
        <w:footnoteRef/>
      </w:r>
      <w:r>
        <w:t xml:space="preserve"> </w:t>
      </w:r>
      <w:r>
        <w:tab/>
        <w:t>Spre deosebire de coloana „inițiative”, care indică datele inițiale de adoptare planificate în programul de lucru al Comisiei pentru 2020, adoptat la 29 ianuarie 2020, acea</w:t>
      </w:r>
      <w:r>
        <w:t xml:space="preserve">stă coloană indică planificarea actuală, care poate fi revizuită. Termenele evidențiate prin caractere cursive indică o modificare, în timp ce caracterele normale semnalează că termenele prevăzute inițial nu au suferit modificări. </w:t>
      </w:r>
    </w:p>
  </w:footnote>
  <w:footnote w:id="4">
    <w:p w:rsidR="00A1317E" w:rsidRDefault="00A5267E">
      <w:pPr>
        <w:pStyle w:val="FootnoteText"/>
      </w:pPr>
      <w:r>
        <w:rPr>
          <w:rStyle w:val="FootnoteReference"/>
        </w:rPr>
        <w:footnoteRef/>
      </w:r>
      <w:r>
        <w:tab/>
        <w:t>Prezenta anexă trece î</w:t>
      </w:r>
      <w:r>
        <w:t>n revistă cele mai importante revizuiri, evaluări și verificări ale adecvării legislației pe care urmează să le întreprindă Comisia și include activitatea de evaluare a acțiunilor întreprinse pentru a da curs avizelor emise prin intermediul platformei REFI</w:t>
      </w:r>
      <w:r>
        <w:t>T. Acestea vor fi finalizate până la sfârșitul anului 2020, cu excepția inițiativelor marcate cu un asterisc, care se vor finaliza ulterior.</w:t>
      </w:r>
    </w:p>
  </w:footnote>
  <w:footnote w:id="5">
    <w:p w:rsidR="00A1317E" w:rsidRDefault="00A5267E">
      <w:pPr>
        <w:pStyle w:val="FootnoteText"/>
      </w:pPr>
      <w:r>
        <w:rPr>
          <w:rStyle w:val="FootnoteReference"/>
        </w:rPr>
        <w:footnoteRef/>
      </w:r>
      <w:r>
        <w:t xml:space="preserve"> Evaluarea a fost publicată la 20 mai 2020.</w:t>
      </w:r>
    </w:p>
  </w:footnote>
  <w:footnote w:id="6">
    <w:p w:rsidR="00A1317E" w:rsidRDefault="00A5267E">
      <w:pPr>
        <w:pStyle w:val="FootnoteText"/>
      </w:pPr>
      <w:r>
        <w:rPr>
          <w:rStyle w:val="FootnoteReference"/>
        </w:rPr>
        <w:footnoteRef/>
      </w:r>
      <w:r>
        <w:t xml:space="preserve"> Această inițiativă a fost adoptată la 24 martie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Header"/>
      <w:tabs>
        <w:tab w:val="left" w:pos="10728"/>
      </w:tabs>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7E" w:rsidRDefault="00A13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9D369E"/>
    <w:multiLevelType w:val="hybridMultilevel"/>
    <w:tmpl w:val="87AE922E"/>
    <w:lvl w:ilvl="0" w:tplc="47A27E52">
      <w:start w:val="1"/>
      <w:numFmt w:val="decimal"/>
      <w:suff w:val="nothing"/>
      <w:lvlText w:val="%1."/>
      <w:lvlJc w:val="left"/>
      <w:pPr>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7B7E92"/>
    <w:multiLevelType w:val="hybridMultilevel"/>
    <w:tmpl w:val="F1002934"/>
    <w:lvl w:ilvl="0" w:tplc="A25416E6">
      <w:start w:val="1"/>
      <w:numFmt w:val="decimal"/>
      <w:suff w:val="nothing"/>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6C143F"/>
    <w:multiLevelType w:val="hybridMultilevel"/>
    <w:tmpl w:val="17546D64"/>
    <w:lvl w:ilvl="0" w:tplc="AB487E34">
      <w:start w:val="1"/>
      <w:numFmt w:val="decimal"/>
      <w:suff w:val="nothing"/>
      <w:lvlText w:val="%1."/>
      <w:lvlJc w:val="left"/>
      <w:pPr>
        <w:ind w:left="0" w:firstLine="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9B02FE6"/>
    <w:multiLevelType w:val="hybridMultilevel"/>
    <w:tmpl w:val="68E46B96"/>
    <w:lvl w:ilvl="0" w:tplc="E7B8FBEC">
      <w:start w:val="1"/>
      <w:numFmt w:val="decimal"/>
      <w:lvlText w:val="%1."/>
      <w:lvlJc w:val="left"/>
      <w:pPr>
        <w:ind w:left="644"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540751D6"/>
    <w:multiLevelType w:val="hybridMultilevel"/>
    <w:tmpl w:val="4828BA3E"/>
    <w:lvl w:ilvl="0" w:tplc="F63AB8D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141D0"/>
    <w:multiLevelType w:val="hybridMultilevel"/>
    <w:tmpl w:val="68E46B96"/>
    <w:lvl w:ilvl="0" w:tplc="E7B8FBEC">
      <w:start w:val="1"/>
      <w:numFmt w:val="decimal"/>
      <w:lvlText w:val="%1."/>
      <w:lvlJc w:val="left"/>
      <w:pPr>
        <w:ind w:left="644"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F35214B"/>
    <w:multiLevelType w:val="hybridMultilevel"/>
    <w:tmpl w:val="68E46B96"/>
    <w:lvl w:ilvl="0" w:tplc="E7B8FBEC">
      <w:start w:val="1"/>
      <w:numFmt w:val="decimal"/>
      <w:lvlText w:val="%1."/>
      <w:lvlJc w:val="left"/>
      <w:pPr>
        <w:ind w:left="644"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E7DC6"/>
    <w:multiLevelType w:val="hybridMultilevel"/>
    <w:tmpl w:val="E0A8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4"/>
  </w:num>
  <w:num w:numId="3">
    <w:abstractNumId w:val="13"/>
  </w:num>
  <w:num w:numId="4">
    <w:abstractNumId w:val="8"/>
  </w:num>
  <w:num w:numId="5">
    <w:abstractNumId w:val="5"/>
  </w:num>
  <w:num w:numId="6">
    <w:abstractNumId w:val="4"/>
  </w:num>
  <w:num w:numId="7">
    <w:abstractNumId w:val="18"/>
  </w:num>
  <w:num w:numId="8">
    <w:abstractNumId w:val="12"/>
  </w:num>
  <w:num w:numId="9">
    <w:abstractNumId w:val="7"/>
  </w:num>
  <w:num w:numId="10">
    <w:abstractNumId w:val="11"/>
  </w:num>
  <w:num w:numId="11">
    <w:abstractNumId w:val="0"/>
  </w:num>
  <w:num w:numId="12">
    <w:abstractNumId w:val="3"/>
  </w:num>
  <w:num w:numId="13">
    <w:abstractNumId w:val="15"/>
  </w:num>
  <w:num w:numId="14">
    <w:abstractNumId w:val="6"/>
  </w:num>
  <w:num w:numId="15">
    <w:abstractNumId w:val="1"/>
  </w:num>
  <w:num w:numId="16">
    <w:abstractNumId w:val="21"/>
  </w:num>
  <w:num w:numId="17">
    <w:abstractNumId w:val="9"/>
  </w:num>
  <w:num w:numId="18">
    <w:abstractNumId w:val="22"/>
  </w:num>
  <w:num w:numId="19">
    <w:abstractNumId w:val="23"/>
  </w:num>
  <w:num w:numId="20">
    <w:abstractNumId w:val="10"/>
  </w:num>
  <w:num w:numId="21">
    <w:abstractNumId w:val="19"/>
  </w:num>
  <w:num w:numId="22">
    <w:abstractNumId w:val="16"/>
  </w:num>
  <w:num w:numId="23">
    <w:abstractNumId w:val="2"/>
  </w:num>
  <w:num w:numId="24">
    <w:abstractNumId w:val="17"/>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
    <w:docVar w:name="LW_ANNEX_NBR_FIRST" w:val="1"/>
    <w:docVar w:name="LW_ANNEX_NBR_LAST" w:val="2"/>
    <w:docVar w:name="LW_ANNEX_UNIQUE" w:val="0"/>
    <w:docVar w:name="LW_CORRIGENDUM" w:val="&lt;UNUSED&gt;"/>
    <w:docVar w:name="LW_COVERPAGE_EXISTS" w:val="True"/>
    <w:docVar w:name="LW_COVERPAGE_GUID" w:val="C70C41FD-C6ED-43E9-8DFD-BDBB1FD9E198"/>
    <w:docVar w:name="LW_COVERPAGE_TYPE" w:val="1"/>
    <w:docVar w:name="LW_CROSSREFERENCE" w:val="&lt;UNUSED&gt;"/>
    <w:docVar w:name="LW_DocType" w:val="EUROLOOK"/>
    <w:docVar w:name="LW_EMISSION" w:val="27.5.2020"/>
    <w:docVar w:name="LW_EMISSION_ISODATE" w:val="2020-05-27"/>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_x000d__x000d__x000d__x000d__x000d__x000d__x000b__x000d__x000d__x000d__x000d__x000d__x000d_Adaptarea programului de lucru al Comisiei pentru 2020"/>
    <w:docVar w:name="LW_PART_NBR" w:val="&lt;UNUSED&gt;"/>
    <w:docVar w:name="LW_PART_NBR_TOTAL" w:val="&lt;UNUSED&gt;"/>
    <w:docVar w:name="LW_REF.INST.NEW" w:val="COM"/>
    <w:docVar w:name="LW_REF.INST.NEW_ADOPTED" w:val="final"/>
    <w:docVar w:name="LW_REF.INST.NEW_TEXT" w:val="(2020)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E_x000b_"/>
    <w:docVar w:name="LW_TYPEACTEPRINCIPAL.CP" w:val="COMUNICAREA COMISIEI C\u258?TRE PARLAMENTUL EUROPEAN, CONSILIU, COMITETUL ECONOMIC \u536?I SOCIAL EUROPEAN \u536?I COMITETUL REGIUNILOR_x000b_"/>
  </w:docVars>
  <w:rsids>
    <w:rsidRoot w:val="00A1317E"/>
    <w:rsid w:val="00A1317E"/>
    <w:rsid w:val="00A5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40FE03-FB8D-4E3B-B793-A1D16245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qFormat="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 w:type="character" w:customStyle="1" w:styleId="FootnoteTextChar">
    <w:name w:val="Footnote Text Char"/>
    <w:basedOn w:val="DefaultParagraphFont"/>
    <w:link w:val="FootnoteText"/>
    <w:semiHidden/>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28437">
      <w:bodyDiv w:val="1"/>
      <w:marLeft w:val="0"/>
      <w:marRight w:val="0"/>
      <w:marTop w:val="0"/>
      <w:marBottom w:val="0"/>
      <w:divBdr>
        <w:top w:val="none" w:sz="0" w:space="0" w:color="auto"/>
        <w:left w:val="none" w:sz="0" w:space="0" w:color="auto"/>
        <w:bottom w:val="none" w:sz="0" w:space="0" w:color="auto"/>
        <w:right w:val="none" w:sz="0" w:space="0" w:color="auto"/>
      </w:divBdr>
    </w:div>
    <w:div w:id="1190140997">
      <w:bodyDiv w:val="1"/>
      <w:marLeft w:val="0"/>
      <w:marRight w:val="0"/>
      <w:marTop w:val="0"/>
      <w:marBottom w:val="0"/>
      <w:divBdr>
        <w:top w:val="none" w:sz="0" w:space="0" w:color="auto"/>
        <w:left w:val="none" w:sz="0" w:space="0" w:color="auto"/>
        <w:bottom w:val="none" w:sz="0" w:space="0" w:color="auto"/>
        <w:right w:val="none" w:sz="0" w:space="0" w:color="auto"/>
      </w:divBdr>
    </w:div>
    <w:div w:id="1463765545">
      <w:bodyDiv w:val="1"/>
      <w:marLeft w:val="0"/>
      <w:marRight w:val="0"/>
      <w:marTop w:val="0"/>
      <w:marBottom w:val="0"/>
      <w:divBdr>
        <w:top w:val="none" w:sz="0" w:space="0" w:color="auto"/>
        <w:left w:val="none" w:sz="0" w:space="0" w:color="auto"/>
        <w:bottom w:val="none" w:sz="0" w:space="0" w:color="auto"/>
        <w:right w:val="none" w:sz="0" w:space="0" w:color="auto"/>
      </w:divBdr>
    </w:div>
    <w:div w:id="201807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c.europa.eu/info/files/refit-platform-recommendations-health-and-food-safety-xi10a-multiple-use-multiple-source-substances-chlorate_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ec.europa.eu/info/sites/info/files/opinion_health_food_1a.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c.europa.eu/info/sites/info/files/xi6ab_thmpd_0.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europa.eu/info/sites/info/files/recommendation-xi-11a-b-claims-regulation_0.pdf"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ec.europa.eu/info/sites/info/files/xi.22.a_registration_of_plant_protection.pdf"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VDL Priorities">
      <a:dk1>
        <a:sysClr val="windowText" lastClr="000000"/>
      </a:dk1>
      <a:lt1>
        <a:sysClr val="window" lastClr="FFFFFF"/>
      </a:lt1>
      <a:dk2>
        <a:srgbClr val="0E4194"/>
      </a:dk2>
      <a:lt2>
        <a:srgbClr val="EEECE1"/>
      </a:lt2>
      <a:accent1>
        <a:srgbClr val="9ACA3C"/>
      </a:accent1>
      <a:accent2>
        <a:srgbClr val="18BAA8"/>
      </a:accent2>
      <a:accent3>
        <a:srgbClr val="F68A42"/>
      </a:accent3>
      <a:accent4>
        <a:srgbClr val="585EAA"/>
      </a:accent4>
      <a:accent5>
        <a:srgbClr val="00ADDC"/>
      </a:accent5>
      <a:accent6>
        <a:srgbClr val="DA5C5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10.0.37611.0</Version>
    <Date>2018-10-23T14:12:56</Date>
    <Language>EN</Language>
  </Created>
  <Edited>
    <Version>10.0.40769.0</Version>
    <Date>2020-05-27T16:47:00</Date>
  </Edited>
  <DocumentModel>
    <Id>6cbda13a-4db2-46c6-876a-ef72275827ef</Id>
    <Name>Report</Name>
  </DocumentModel>
  <DocumentDate>2018-10-23T14:12:56</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Published</EC_Collab_Statu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4E254431-4F99-45A3-A63C-553A2CB7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DAF2D397-A922-43DB-B264-B983795768C6}">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6.xml><?xml version="1.0" encoding="utf-8"?>
<ds:datastoreItem xmlns:ds="http://schemas.openxmlformats.org/officeDocument/2006/customXml" ds:itemID="{D7DD7B5D-2A29-4049-B6B0-CF03EF7473F2}">
  <ds:schemaRefs>
    <ds:schemaRef ds:uri="http://schemas.microsoft.com/sharepoint/v3/contenttype/forms"/>
  </ds:schemaRefs>
</ds:datastoreItem>
</file>

<file path=customXml/itemProps7.xml><?xml version="1.0" encoding="utf-8"?>
<ds:datastoreItem xmlns:ds="http://schemas.openxmlformats.org/officeDocument/2006/customXml" ds:itemID="{4AD4659B-02E9-448E-8958-26AC567A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16</Pages>
  <Words>6807</Words>
  <Characters>39620</Characters>
  <Application>Microsoft Office Word</Application>
  <DocSecurity>0</DocSecurity>
  <PresentationFormat>Microsoft Word 14.0</PresentationFormat>
  <Lines>1886</Lines>
  <Paragraphs>1547</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HEILEMANN Stefanie (SG)</cp:lastModifiedBy>
  <cp:revision>15</cp:revision>
  <cp:lastPrinted>2020-05-26T14:53:00Z</cp:lastPrinted>
  <dcterms:created xsi:type="dcterms:W3CDTF">2020-05-26T16:46:00Z</dcterms:created>
  <dcterms:modified xsi:type="dcterms:W3CDTF">2020-05-27T14:47:00Z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7.0.1, Build 20190916</vt:lpwstr>
  </property>
  <property fmtid="{D5CDD505-2E9C-101B-9397-08002B2CF9AE}" pid="11" name="CPTemplateID">
    <vt:lpwstr>CP-039</vt:lpwstr>
  </property>
  <property fmtid="{D5CDD505-2E9C-101B-9397-08002B2CF9AE}" pid="12" name="_LW_INVALIDATED__LW_INVALIDATED__LW_INVALIDATED__LW_INVALIDATED__LW_INVALIDATED__LW_INVALIDATED__LW_INVALIDATED__LW_INVALIDATED__LW_INVALIDATED__LW_INVALIDATED__LW_INVALIDATED__LW_INVALIDATED__LW_INVALIDATED__LW_INVALIDATED__LW_INVALIDATED_EurolookVersion">
    <vt:lpwstr>10.0</vt:lpwstr>
  </property>
  <property fmtid="{D5CDD505-2E9C-101B-9397-08002B2CF9AE}" pid="13" name="_LW_INVALIDATED__LW_INVALIDATED__LW_INVALIDATED__LW_INVALIDATED__LW_INVALIDATED__LW_INVALIDATED__LW_INVALIDATED__LW_INVALIDATED__LW_INVALIDATED__LW_INVALIDATED__LW_INVALIDATED__LW_INVALIDATED__LW_INVALIDATED__LW_INVALIDATED__LW_INVALIDATED_ELDocType">
    <vt:lpwstr>rep.dot</vt:lpwstr>
  </property>
  <property fmtid="{D5CDD505-2E9C-101B-9397-08002B2CF9AE}" pid="14" name="_LW_INVALIDATED__LW_INVALIDATED__LW_INVALIDATED__LW_INVALIDATED__LW_INVALIDATED__LW_INVALIDATED__LW_INVALIDATED__LW_INVALIDATED__LW_INVALIDATED__LW_INVALIDATED__LW_INVALIDATED__LW_INVALIDATED__LW_INVALIDATED_ContentTypeId">
    <vt:lpwstr>0x010100258AA79CEB83498886A3A08681123250002C3A5D77007E39498C0FBBE1139AD9BC</vt:lpwstr>
  </property>
  <property fmtid="{D5CDD505-2E9C-101B-9397-08002B2CF9AE}" pid="15" name="_LW_INVALIDATED__LW_INVALIDATED__LW_INVALIDATED__LW_INVALIDATED__LW_INVALIDATED__LW_INVALIDATED__LW_INVALIDATED__LW_INVALIDATED__LW_INVALIDATED__LW_INVALIDATED_ContentTypeId">
    <vt:lpwstr>0x010100258AA79CEB83498886A3A08681123250002C3A5D77007E39498C0FBBE1139AD9BC</vt:lpwstr>
  </property>
  <property fmtid="{D5CDD505-2E9C-101B-9397-08002B2CF9AE}" pid="16" name="_LW_INVALIDATED__LW_INVALIDATED_ContentTypeId">
    <vt:lpwstr>0x010100258AA79CEB83498886A3A08681123250002C3A5D77007E39498C0FBBE1139AD9BC</vt:lpwstr>
  </property>
</Properties>
</file>