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D64" w:rsidRDefault="002A4170">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B36D8CC-1BE0-423B-925A-B6BEF2668913" style="width:450.2pt;height:320.45pt">
            <v:imagedata r:id="rId11" o:title=""/>
          </v:shape>
        </w:pict>
      </w:r>
    </w:p>
    <w:bookmarkEnd w:id="0"/>
    <w:p w:rsidR="00F25D64" w:rsidRDefault="00F25D64">
      <w:pPr>
        <w:rPr>
          <w:noProof/>
        </w:rPr>
        <w:sectPr w:rsidR="00F25D64">
          <w:headerReference w:type="even" r:id="rId12"/>
          <w:headerReference w:type="default" r:id="rId13"/>
          <w:footerReference w:type="even" r:id="rId14"/>
          <w:footerReference w:type="default" r:id="rId15"/>
          <w:headerReference w:type="first" r:id="rId16"/>
          <w:footerReference w:type="first" r:id="rId17"/>
          <w:pgSz w:w="11906" w:h="16838" w:code="9"/>
          <w:pgMar w:top="1134" w:right="1417" w:bottom="1134" w:left="1417" w:header="709" w:footer="709" w:gutter="0"/>
          <w:pgNumType w:start="0"/>
          <w:cols w:space="720"/>
          <w:docGrid w:linePitch="326"/>
        </w:sectPr>
      </w:pPr>
    </w:p>
    <w:p w:rsidR="00F25D64" w:rsidRDefault="002A4170">
      <w:pPr>
        <w:pStyle w:val="Heading1"/>
        <w:spacing w:after="0"/>
      </w:pPr>
      <w:r>
        <w:lastRenderedPageBreak/>
        <w:t>IL-BAĠIT TAL-UE JMEXXI L-PJAN TA’ RKUPRU GĦALL-EWROPA</w:t>
      </w:r>
    </w:p>
    <w:p w:rsidR="00F25D64" w:rsidRDefault="002A4170">
      <w:pPr>
        <w:pStyle w:val="Heading2"/>
      </w:pPr>
      <w:r>
        <w:t>Baġit tal-UE ambizzjuż u innovattiv għall-irkupru Ewropew</w:t>
      </w:r>
    </w:p>
    <w:p w:rsidR="00F25D64" w:rsidRDefault="002A4170">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Il-Kummissjoni ppreżentat pjan </w:t>
      </w:r>
      <w:r>
        <w:rPr>
          <w:noProof/>
          <w:color w:val="000000"/>
          <w:szCs w:val="24"/>
          <w:u w:color="000000"/>
          <w:bdr w:val="nil"/>
        </w:rPr>
        <w:t>determinat u komprensiv għall-irkupru Ewropew</w:t>
      </w:r>
      <w:r>
        <w:rPr>
          <w:rStyle w:val="FootnoteReference"/>
          <w:rFonts w:eastAsia="Arial Unicode MS" w:cs="Arial Unicode MS"/>
          <w:noProof/>
          <w:color w:val="000000"/>
          <w:szCs w:val="24"/>
          <w:u w:color="000000"/>
          <w:bdr w:val="nil"/>
          <w:lang w:eastAsia="fr-BE"/>
        </w:rPr>
        <w:footnoteReference w:id="2"/>
      </w:r>
      <w:r>
        <w:rPr>
          <w:noProof/>
          <w:color w:val="000000"/>
          <w:szCs w:val="24"/>
          <w:u w:color="000000"/>
          <w:bdr w:val="nil"/>
        </w:rPr>
        <w:t>. Il-pjan huwa msejjes fuq is-solidarjetà u l-ġustizzja, u għandu l-għeruq tiegħu fil-prinċipji u l-valuri kondiviżi tal-Unjoni. Il-pjan jistipula kif l-ekonomija Ewropeja għandha titqajjem, kif tingħata spinta</w:t>
      </w:r>
      <w:r>
        <w:rPr>
          <w:noProof/>
          <w:color w:val="000000"/>
          <w:szCs w:val="24"/>
          <w:u w:color="000000"/>
          <w:bdr w:val="nil"/>
        </w:rPr>
        <w:t xml:space="preserve"> lit-tranżizzjonijiet ekoloġiċi u diġitali, u kif tista’ ssir aktar ġusta, aktar reżiljenti u aktar sostenibbli għall-ġenerazzjonijiet futuri.</w:t>
      </w:r>
    </w:p>
    <w:p w:rsidR="00F25D64" w:rsidRDefault="002A4170">
      <w:pPr>
        <w:pBdr>
          <w:top w:val="nil"/>
          <w:left w:val="nil"/>
          <w:bottom w:val="nil"/>
          <w:right w:val="nil"/>
          <w:between w:val="nil"/>
          <w:bar w:val="nil"/>
        </w:pBdr>
        <w:tabs>
          <w:tab w:val="left" w:pos="1843"/>
        </w:tabs>
        <w:spacing w:before="120" w:after="120"/>
        <w:rPr>
          <w:rFonts w:eastAsia="Arial Unicode MS" w:cs="Arial Unicode MS"/>
          <w:noProof/>
          <w:color w:val="000000"/>
          <w:szCs w:val="24"/>
          <w:u w:color="000000"/>
          <w:bdr w:val="nil"/>
        </w:rPr>
      </w:pPr>
      <w:r>
        <w:rPr>
          <w:noProof/>
          <w:color w:val="000000"/>
          <w:szCs w:val="24"/>
          <w:u w:color="000000"/>
          <w:bdr w:val="nil"/>
        </w:rPr>
        <w:t>Il-pandemija tal-COVID-19 affettwat kull rokna tal-Unjoni u tad-dinja. Madankollu</w:t>
      </w:r>
      <w:r>
        <w:rPr>
          <w:noProof/>
        </w:rPr>
        <w:t>, l-impatti ekonomiċi u soċjali tal-pandemija jvarjaw konsiderevolment bejn l-Istati Membri, kif tvarja wkoll il-kapaċità tagħhom li jassorbu l-iskoss u jirrispondu għalih. Dan jhedded li jinħolqu diverġenzi dannużi bejn l-ekonomiji tal-Istati Membri u jit</w:t>
      </w:r>
      <w:r>
        <w:rPr>
          <w:noProof/>
        </w:rPr>
        <w:t xml:space="preserve">fa’ pressjoni qawwija fuq is-suq uniku. </w:t>
      </w:r>
      <w:r>
        <w:rPr>
          <w:noProof/>
          <w:color w:val="000000"/>
          <w:szCs w:val="24"/>
          <w:u w:color="000000"/>
          <w:bdr w:val="nil"/>
        </w:rPr>
        <w:t xml:space="preserve">L-Ewropa teħtieġ rispons koordinat li jsir malajr, li jkun ambizzjuż u li jkun immirat fejn l-iktar li huwa meħtieġ. </w:t>
      </w:r>
    </w:p>
    <w:p w:rsidR="00F25D64" w:rsidRDefault="002A4170">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L-implimentazzjoni tal-pjan ta’ rkupru se tkun teħtieġ investiment pubbliku u privat massiv. </w:t>
      </w:r>
      <w:r>
        <w:rPr>
          <w:noProof/>
        </w:rPr>
        <w:t xml:space="preserve">Hija </w:t>
      </w:r>
      <w:r>
        <w:rPr>
          <w:noProof/>
        </w:rPr>
        <w:t>meħtieġa azzjoni b'saħħitha biex tindirizza dawn il-ħtiġijiet biex tingħalaq id-diskrepanza fl-investiment pubbliku u privat ta’ mill-inqas EUR 1,5 triljun, biex tissewwa l-ħsara immedjata ekonomika u soċjali kkawżata mill-pandemija, u biex l-Unjoni taqbad</w:t>
      </w:r>
      <w:r>
        <w:rPr>
          <w:noProof/>
        </w:rPr>
        <w:t xml:space="preserve"> sew it-triq lejn irkupru sostenibbli u reżiljenti</w:t>
      </w:r>
      <w:r>
        <w:rPr>
          <w:rStyle w:val="FootnoteReference"/>
          <w:rFonts w:eastAsia="Arial Unicode MS" w:cs="Arial Unicode MS"/>
          <w:noProof/>
          <w:color w:val="000000"/>
          <w:szCs w:val="24"/>
          <w:u w:color="000000"/>
          <w:bdr w:val="nil"/>
          <w:lang w:eastAsia="fr-BE"/>
        </w:rPr>
        <w:footnoteReference w:id="3"/>
      </w:r>
      <w:r>
        <w:rPr>
          <w:noProof/>
        </w:rPr>
        <w:t>.</w:t>
      </w:r>
    </w:p>
    <w:p w:rsidR="00F25D64" w:rsidRDefault="002A4170">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rPr>
        <w:t xml:space="preserve">Il-Kummissjoni qed tipproponi li jiġi </w:t>
      </w:r>
      <w:r>
        <w:rPr>
          <w:b/>
          <w:noProof/>
        </w:rPr>
        <w:t>sfruttat il-potenzjal sħiħ tal-baġit tal-Unjoni biex jiġi mmobbilizzat l-investiment u jsir appoġġ finanzjarju minn qabel fl-ewwel snin kruċjali tal-irkupru</w:t>
      </w:r>
      <w:r>
        <w:rPr>
          <w:noProof/>
        </w:rPr>
        <w:t>.</w:t>
      </w:r>
      <w:r>
        <w:rPr>
          <w:noProof/>
          <w:color w:val="000000"/>
          <w:szCs w:val="24"/>
          <w:u w:color="000000"/>
          <w:bdr w:val="nil"/>
        </w:rPr>
        <w:t xml:space="preserve"> Dawn il</w:t>
      </w:r>
      <w:r>
        <w:rPr>
          <w:noProof/>
          <w:color w:val="000000"/>
          <w:szCs w:val="24"/>
          <w:u w:color="000000"/>
          <w:bdr w:val="nil"/>
        </w:rPr>
        <w:t>-proposti huma bbażati fuq:</w:t>
      </w:r>
    </w:p>
    <w:p w:rsidR="00F25D64" w:rsidRDefault="002A4170">
      <w:pPr>
        <w:pStyle w:val="ListParagraph"/>
        <w:numPr>
          <w:ilvl w:val="0"/>
          <w:numId w:val="30"/>
        </w:numPr>
        <w:pBdr>
          <w:top w:val="nil"/>
          <w:left w:val="nil"/>
          <w:bottom w:val="nil"/>
          <w:right w:val="nil"/>
          <w:between w:val="nil"/>
          <w:bar w:val="nil"/>
        </w:pBdr>
        <w:spacing w:before="120" w:after="120" w:line="240" w:lineRule="auto"/>
        <w:ind w:left="357" w:hanging="357"/>
        <w:contextualSpacing w:val="0"/>
        <w:rPr>
          <w:rFonts w:eastAsia="Arial Unicode MS"/>
          <w:noProof/>
          <w:color w:val="000000"/>
          <w:szCs w:val="24"/>
          <w:u w:color="000000"/>
          <w:bdr w:val="nil"/>
        </w:rPr>
      </w:pPr>
      <w:r>
        <w:rPr>
          <w:rFonts w:ascii="Times New Roman" w:hAnsi="Times New Roman"/>
          <w:b/>
          <w:noProof/>
          <w:color w:val="000000"/>
          <w:sz w:val="24"/>
          <w:szCs w:val="24"/>
          <w:u w:color="000000"/>
          <w:bdr w:val="nil"/>
        </w:rPr>
        <w:t>Strument Ewropew għall-Irkupru ta’ emerġenza (“Next Generation EU”)</w:t>
      </w:r>
      <w:r>
        <w:rPr>
          <w:rFonts w:ascii="Times New Roman" w:hAnsi="Times New Roman"/>
          <w:noProof/>
          <w:color w:val="000000"/>
          <w:sz w:val="24"/>
          <w:szCs w:val="24"/>
          <w:u w:color="000000"/>
          <w:bdr w:val="nil"/>
        </w:rPr>
        <w:t xml:space="preserve"> li jammonta għal EUR 750 biljun</w:t>
      </w:r>
      <w:r>
        <w:rPr>
          <w:rStyle w:val="FootnoteReference"/>
          <w:rFonts w:ascii="Times New Roman" w:eastAsia="Arial Unicode MS" w:hAnsi="Times New Roman" w:cs="Times New Roman"/>
          <w:noProof/>
          <w:color w:val="000000"/>
          <w:sz w:val="24"/>
          <w:szCs w:val="24"/>
          <w:u w:color="000000"/>
          <w:bdr w:val="nil"/>
          <w:lang w:eastAsia="fr-BE"/>
        </w:rPr>
        <w:footnoteReference w:id="4"/>
      </w:r>
      <w:r>
        <w:rPr>
          <w:rFonts w:ascii="Times New Roman" w:hAnsi="Times New Roman"/>
          <w:noProof/>
          <w:color w:val="000000"/>
          <w:sz w:val="24"/>
          <w:szCs w:val="24"/>
          <w:u w:color="000000"/>
          <w:bdr w:val="nil"/>
        </w:rPr>
        <w:t xml:space="preserve">. Dan se jagħti spinta temporanja lill-baġit tal-UE b’finanzjament ġdid miġbur fis-swieq finanzjarji. Il-fondi miġbura se jiġu </w:t>
      </w:r>
      <w:r>
        <w:rPr>
          <w:rFonts w:ascii="Times New Roman" w:hAnsi="Times New Roman"/>
          <w:noProof/>
          <w:color w:val="000000"/>
          <w:sz w:val="24"/>
          <w:szCs w:val="24"/>
          <w:u w:color="000000"/>
          <w:bdr w:val="nil"/>
        </w:rPr>
        <w:t>mgħoddija minn programmi tal-UE biex jirfdu l-miżuri immedjati meħtieġa għall-ħarsien tal-għajxien tan-nies, biex l-ekonomija titreġġa’ lura fuq saqajha, u biex jitrawwem tkabbir sostenibbli u reżiljenti.</w:t>
      </w:r>
    </w:p>
    <w:p w:rsidR="00F25D64" w:rsidRDefault="002A4170">
      <w:pPr>
        <w:pStyle w:val="ListParagraph"/>
        <w:numPr>
          <w:ilvl w:val="0"/>
          <w:numId w:val="30"/>
        </w:numPr>
        <w:pBdr>
          <w:top w:val="nil"/>
          <w:left w:val="nil"/>
          <w:bottom w:val="nil"/>
          <w:right w:val="nil"/>
          <w:between w:val="nil"/>
          <w:bar w:val="nil"/>
        </w:pBdr>
        <w:spacing w:before="120" w:after="120" w:line="240" w:lineRule="auto"/>
        <w:ind w:left="357" w:hanging="357"/>
        <w:contextualSpacing w:val="0"/>
        <w:rPr>
          <w:b/>
          <w:noProof/>
          <w:szCs w:val="24"/>
        </w:rPr>
      </w:pPr>
      <w:r>
        <w:rPr>
          <w:rFonts w:ascii="Times New Roman" w:hAnsi="Times New Roman"/>
          <w:b/>
          <w:noProof/>
          <w:color w:val="000000"/>
          <w:sz w:val="24"/>
          <w:szCs w:val="24"/>
          <w:u w:color="000000"/>
          <w:bdr w:val="nil"/>
        </w:rPr>
        <w:t xml:space="preserve">qafas finanzjarju pluriennali msaħħaħ għall-2021 – </w:t>
      </w:r>
      <w:r>
        <w:rPr>
          <w:rFonts w:ascii="Times New Roman" w:hAnsi="Times New Roman"/>
          <w:b/>
          <w:noProof/>
          <w:color w:val="000000"/>
          <w:sz w:val="24"/>
          <w:szCs w:val="24"/>
          <w:u w:color="000000"/>
          <w:bdr w:val="nil"/>
        </w:rPr>
        <w:t>2027</w:t>
      </w:r>
      <w:r>
        <w:rPr>
          <w:rFonts w:ascii="Times New Roman" w:hAnsi="Times New Roman"/>
          <w:noProof/>
          <w:color w:val="000000"/>
          <w:sz w:val="24"/>
          <w:szCs w:val="24"/>
          <w:u w:color="000000"/>
          <w:bdr w:val="nil"/>
        </w:rPr>
        <w:t xml:space="preserve">. Il-Kummissjoni qed tipproponi li toħloq għodod ġodda u ssaħħaħ programmi ewlenin billi tuża Next Generation EU biex tgħaddi l-investiment malajr fejn hu l-aktar meħtieġ, issaħħaħ is-suq uniku, iżżid il-kooperazzjoni f’oqsma bħas-saħħa u u l-ġestjoni </w:t>
      </w:r>
      <w:r>
        <w:rPr>
          <w:rFonts w:ascii="Times New Roman" w:hAnsi="Times New Roman"/>
          <w:noProof/>
          <w:color w:val="000000"/>
          <w:sz w:val="24"/>
          <w:szCs w:val="24"/>
          <w:u w:color="000000"/>
          <w:bdr w:val="nil"/>
        </w:rPr>
        <w:t xml:space="preserve">tal-kriżijiet, u tattrezza l-Unjoni b’baġit fit-tul biex jixpruna t-tranżizzjonijiet ekoloġiċi u diġitali u tinbena ekonomija aktar ġusta u reżiljenti. </w:t>
      </w:r>
    </w:p>
    <w:p w:rsidR="00F25D64" w:rsidRDefault="002A4170">
      <w:pPr>
        <w:spacing w:before="100" w:beforeAutospacing="1" w:after="100" w:afterAutospacing="1"/>
        <w:rPr>
          <w:b/>
          <w:noProof/>
        </w:rPr>
      </w:pPr>
      <w:r>
        <w:rPr>
          <w:b/>
          <w:noProof/>
        </w:rPr>
        <w:t>Flimkien mat-tlett ixbieki ta’ sikurezza importanti għall-ħaddiema, in-negozji u s-sovrani approvati mi</w:t>
      </w:r>
      <w:r>
        <w:rPr>
          <w:b/>
          <w:noProof/>
        </w:rPr>
        <w:t>ll-Kunsill Ewropew fit-23 ta’ April u li ammontaw għal pakkett b’valur ta’ EUR 540 biljun, dawn il-miżuri eċċezzjonali meħudin fil-livell tal-UE se jilħqu EUR 1 290 biljun ta’ appoġġ immirat u fornut minn qabel għall-appoġġ għall-</w:t>
      </w:r>
      <w:r>
        <w:rPr>
          <w:b/>
          <w:noProof/>
        </w:rPr>
        <w:lastRenderedPageBreak/>
        <w:t>irkupru Ewropew</w:t>
      </w:r>
      <w:r>
        <w:rPr>
          <w:rStyle w:val="FootnoteReference"/>
          <w:noProof/>
          <w:lang w:val="en-IE"/>
        </w:rPr>
        <w:footnoteReference w:id="5"/>
      </w:r>
      <w:r>
        <w:rPr>
          <w:noProof/>
        </w:rPr>
        <w:t>. Meta jiġ</w:t>
      </w:r>
      <w:r>
        <w:rPr>
          <w:noProof/>
        </w:rPr>
        <w:t>u applikati estimi konservattivi tal-effett ta’ ingranaġġ tal-qafas finanzjarju pluriennali u ta’ Next Generation EU, l-investiment totali li jista’ jiġi ġġenerat minn dan il-pakkett ta’ miżuri jammonta għal EUR 3,1 triljun.</w:t>
      </w:r>
    </w:p>
    <w:p w:rsidR="00F25D64" w:rsidRDefault="002A4170">
      <w:pPr>
        <w:spacing w:before="100" w:beforeAutospacing="1" w:after="100" w:afterAutospacing="1"/>
        <w:rPr>
          <w:noProof/>
        </w:rPr>
      </w:pPr>
      <w:r>
        <w:rPr>
          <w:noProof/>
        </w:rPr>
        <w:t xml:space="preserve">Dawn il-miżuri jagħtu risposta </w:t>
      </w:r>
      <w:r>
        <w:rPr>
          <w:noProof/>
        </w:rPr>
        <w:t>deċiżiva għall-appelli tal-Parlament Ewropew għal “</w:t>
      </w:r>
      <w:r>
        <w:rPr>
          <w:i/>
          <w:noProof/>
        </w:rPr>
        <w:t>pakkett massiv ta' rkupru u rikostruzzjoni għal investiment li jappoġġa l-ekonomija Ewropea wara l-kriżi, [...] li jiddaħħal fil-qafas finanzjarju pluriennali (QFP) l-ġdid</w:t>
      </w:r>
      <w:r>
        <w:rPr>
          <w:noProof/>
        </w:rPr>
        <w:t>”</w:t>
      </w:r>
      <w:r>
        <w:rPr>
          <w:rStyle w:val="FootnoteReference"/>
          <w:noProof/>
        </w:rPr>
        <w:footnoteReference w:id="6"/>
      </w:r>
      <w:r>
        <w:rPr>
          <w:noProof/>
        </w:rPr>
        <w:t xml:space="preserve"> u tal-Mexxejja għal fond ta’ rk</w:t>
      </w:r>
      <w:r>
        <w:rPr>
          <w:noProof/>
        </w:rPr>
        <w:t>upru “</w:t>
      </w:r>
      <w:r>
        <w:rPr>
          <w:i/>
          <w:noProof/>
        </w:rPr>
        <w:t>kbir biżżejjed, immirat lejn is-setturi u l-partijiet ġeografiċi tal-Ewropa l-aktar milquta, u ddedikat lejn l-indirizzar ta’ din il-kriżi bla preċedent</w:t>
      </w:r>
      <w:r>
        <w:rPr>
          <w:noProof/>
        </w:rPr>
        <w:t>”</w:t>
      </w:r>
      <w:r>
        <w:rPr>
          <w:rStyle w:val="FootnoteReference"/>
          <w:noProof/>
        </w:rPr>
        <w:footnoteReference w:id="7"/>
      </w:r>
      <w:r>
        <w:rPr>
          <w:noProof/>
        </w:rPr>
        <w:t xml:space="preserve">. </w:t>
      </w:r>
    </w:p>
    <w:p w:rsidR="00F25D64" w:rsidRDefault="002A4170">
      <w:pPr>
        <w:spacing w:before="100" w:beforeAutospacing="1" w:after="100" w:afterAutospacing="1"/>
        <w:rPr>
          <w:rFonts w:eastAsia="Arial Unicode MS"/>
          <w:noProof/>
          <w:szCs w:val="24"/>
          <w:u w:color="000000"/>
          <w:bdr w:val="nil"/>
        </w:rPr>
      </w:pPr>
      <w:r>
        <w:rPr>
          <w:noProof/>
        </w:rPr>
        <w:t>Dan il-fehim kondiviż jipprovdi l-bażi għal ftehim rapidu u komprensiv bejn l-istituzzjonijie</w:t>
      </w:r>
      <w:r>
        <w:rPr>
          <w:noProof/>
        </w:rPr>
        <w:t>t. Il-Kummissjoni tappella għal kooperazzjoni mill-qrib ħafna bejn il-Parlament Ewropew u l-Kunsill dwar l-elementi kollha ta’ dan il-pjan ta’ rkupru u tistedinhom biex ta’ kull sena jagħmlu rieżami tal-infiq iffinanzjat bi dħul assenjat estern permezz ta’</w:t>
      </w:r>
      <w:r>
        <w:rPr>
          <w:noProof/>
        </w:rPr>
        <w:t xml:space="preserve"> Next Generation EU. Il-prinċipji ta’ tali rieżami jistgħu jiġu stipulati f’dikjarazzjoni interistituzzjonali. </w:t>
      </w:r>
      <w:r>
        <w:rPr>
          <w:noProof/>
          <w:szCs w:val="24"/>
        </w:rPr>
        <w:t>Ftehim rapidu dwar il-Ġenerazzjoni li jmiss tal-UE u baġit fit-tul ambizzjuż ikunu dikjarazzjoni qawwija ta’ solidarjetà u determinazzjoni Ewrope</w:t>
      </w:r>
      <w:r>
        <w:rPr>
          <w:noProof/>
          <w:szCs w:val="24"/>
        </w:rPr>
        <w:t>j fi żmien li fih hemm wisq x’nistgħu nitilfu.</w:t>
      </w:r>
      <w:r>
        <w:rPr>
          <w:noProof/>
          <w:szCs w:val="24"/>
          <w:u w:color="000000"/>
          <w:bdr w:val="nil"/>
        </w:rPr>
        <w:t xml:space="preserve"> </w:t>
      </w:r>
    </w:p>
    <w:p w:rsidR="00F25D64" w:rsidRDefault="002A4170">
      <w:pPr>
        <w:spacing w:before="100" w:beforeAutospacing="1" w:after="100" w:afterAutospacing="1"/>
        <w:rPr>
          <w:noProof/>
        </w:rPr>
      </w:pPr>
      <w:r>
        <w:rPr>
          <w:noProof/>
          <w:lang w:val="fr-BE" w:eastAsia="fr-BE"/>
        </w:rPr>
        <w:drawing>
          <wp:inline distT="0" distB="0" distL="0" distR="0">
            <wp:extent cx="4736911" cy="332701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0723" cy="3343735"/>
                    </a:xfrm>
                    <a:prstGeom prst="rect">
                      <a:avLst/>
                    </a:prstGeom>
                    <a:noFill/>
                  </pic:spPr>
                </pic:pic>
              </a:graphicData>
            </a:graphic>
          </wp:inline>
        </w:drawing>
      </w:r>
    </w:p>
    <w:p w:rsidR="00F25D64" w:rsidRDefault="00F25D64">
      <w:pPr>
        <w:pBdr>
          <w:top w:val="nil"/>
          <w:left w:val="nil"/>
          <w:bottom w:val="nil"/>
          <w:right w:val="nil"/>
          <w:between w:val="nil"/>
          <w:bar w:val="nil"/>
        </w:pBdr>
        <w:spacing w:before="120" w:after="120"/>
        <w:jc w:val="left"/>
        <w:rPr>
          <w:rFonts w:eastAsia="Arial Unicode MS"/>
          <w:noProof/>
          <w:color w:val="000000"/>
          <w:szCs w:val="24"/>
          <w:u w:color="000000"/>
          <w:bdr w:val="nil"/>
          <w:lang w:eastAsia="fr-BE"/>
        </w:rPr>
      </w:pPr>
    </w:p>
    <w:p w:rsidR="00F25D64" w:rsidRDefault="002A4170">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Il-baġit fit-tul tal-UE, bi spinta minn Next Generation EU, qiegħed f’pożizzjoni unika biex imexxi l-irkupru Ewropew. Il-baġit tal-UE jipprovdi qafas trasparenti u fdat għall-programm ta’ investiment </w:t>
      </w:r>
      <w:r>
        <w:rPr>
          <w:noProof/>
          <w:color w:val="000000"/>
          <w:szCs w:val="24"/>
          <w:u w:color="000000"/>
          <w:bdr w:val="nil"/>
        </w:rPr>
        <w:t>massiv li għandna quddiemna, ankrat fil-metodu Komunitarju tal-governanza u t-teħid ta’ deċiżjonijiet. Il-baġit tal-UE huwa mutur ippruvat tal-investiment, il-koeżjoni u s-solidarjetà, u jsaħħaħ is-suq uniku tal-Ewropa.</w:t>
      </w:r>
    </w:p>
    <w:p w:rsidR="00F25D64" w:rsidRDefault="002A4170">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lastRenderedPageBreak/>
        <w:t>Fl-aħħar ġimgħat, il-Kummissjoni uża</w:t>
      </w:r>
      <w:r>
        <w:rPr>
          <w:noProof/>
          <w:color w:val="000000"/>
          <w:szCs w:val="24"/>
          <w:u w:color="000000"/>
          <w:bdr w:val="nil"/>
        </w:rPr>
        <w:t>t il-flessibbiltà kollha li kien għad fadal fil-baġit attwali tal-UE biex kull euro li kien hemm disponibbli jingħadda biex jiġu salvati l-ħajjiet u jiġi mħares l-għajxien tan-nies. Il-miżuri wrew is-saħħa li għandu l-baġit tal-UE biex jipprovdi appoġġ sos</w:t>
      </w:r>
      <w:r>
        <w:rPr>
          <w:noProof/>
          <w:color w:val="000000"/>
          <w:szCs w:val="24"/>
          <w:u w:color="000000"/>
          <w:bdr w:val="nil"/>
        </w:rPr>
        <w:t>tanzjali u fil-ħin lill-Istati Membri fi kriżi. Il-miżuri eżawrew ukoll il-flessibbiltà kollha li kien għad fadal fil-baġit attwali tal-UE, li enfasizzat il-ħtieġa urġenti li jiġu introdotti miżuri ġodda biex imexxu l-fażijiet kruċjali li jmiss tal-irkupru</w:t>
      </w:r>
      <w:r>
        <w:rPr>
          <w:noProof/>
          <w:color w:val="000000"/>
          <w:szCs w:val="24"/>
          <w:u w:color="000000"/>
          <w:bdr w:val="nil"/>
        </w:rPr>
        <w:t>.</w:t>
      </w:r>
    </w:p>
    <w:p w:rsidR="00F25D64" w:rsidRDefault="002A4170">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Il-bażijiet fundamentali tal-proposti tal-Kummissjoni għal baġit fit-tul modern u flessibbli adattat strettament għall-prijoritajiet tal-Unjoni għadhom validi llum. Il-Kummissjoni issa qed tipproponi li dawn il-proposti jiġu adattati u msaħħin biex imexx</w:t>
      </w:r>
      <w:r>
        <w:rPr>
          <w:noProof/>
          <w:color w:val="000000"/>
          <w:szCs w:val="24"/>
          <w:u w:color="000000"/>
          <w:bdr w:val="nil"/>
        </w:rPr>
        <w:t>u l-irkupru tal-Ewropa. Billi nibnu fuq il-progress konsiderevoli li diġà sar fil-Parlament Ewropew u fil-Kunsill se noħolqu l-aħjar kundizzjonijiet possibbli għal ftehim f’waqtu.</w:t>
      </w:r>
    </w:p>
    <w:p w:rsidR="00F25D64" w:rsidRDefault="002A4170">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b/>
          <w:noProof/>
          <w:color w:val="000000"/>
          <w:szCs w:val="24"/>
          <w:u w:color="000000"/>
          <w:bdr w:val="nil"/>
        </w:rPr>
        <w:t>It-tranżizzjonijiet tewmin lejn Ewropa ekoloġika u diġitali</w:t>
      </w:r>
      <w:r>
        <w:rPr>
          <w:noProof/>
          <w:color w:val="000000"/>
          <w:szCs w:val="24"/>
          <w:u w:color="000000"/>
          <w:bdr w:val="nil"/>
        </w:rPr>
        <w:t xml:space="preserve"> għadhom l-isfidi</w:t>
      </w:r>
      <w:r>
        <w:rPr>
          <w:noProof/>
          <w:color w:val="000000"/>
          <w:szCs w:val="24"/>
          <w:u w:color="000000"/>
          <w:bdr w:val="nil"/>
        </w:rPr>
        <w:t xml:space="preserve"> li jiddefinixxu din il-ġenerazzjoni. Dan huwa rifless fil-proposti tal-Kummissjoni. L-investiment f’ mewġa ta’ rinnovazzjoni fuq skala kbira, fl-enerġija rinnovabbli u f’soluzzjonijiet tal-idroġenu nadif, fit-trasport nadif, fl-ikel sostenibbli u f’ekonom</w:t>
      </w:r>
      <w:r>
        <w:rPr>
          <w:noProof/>
          <w:color w:val="000000"/>
          <w:szCs w:val="24"/>
          <w:u w:color="000000"/>
          <w:bdr w:val="nil"/>
        </w:rPr>
        <w:t>ija ċirkolari intelliġenti għandu potenzjal enormi biex l-ekonomija tal-Ewropa tibda tikber. Jenħtieġ li l-appoġġ ikun konsistenti mal-objettivi klimatiċi u ambjentali tal-Unjoni. L-investiment fl-infrastruttura u l-ħiliet diġitali se jgħin biex tingħata s</w:t>
      </w:r>
      <w:r>
        <w:rPr>
          <w:noProof/>
          <w:color w:val="000000"/>
          <w:szCs w:val="24"/>
          <w:u w:color="000000"/>
          <w:bdr w:val="nil"/>
        </w:rPr>
        <w:t xml:space="preserve">pinta lill-kompetittività u lis-sovranità teknoloġika. L-investiment fir-reżiljenza għal sfidi futuri għas-saħħa u fl-awtonomija strateġika se jgħinu biex l-Unjoni tkun imħejjija aħjar għal kriżijiet futuri. </w:t>
      </w:r>
    </w:p>
    <w:p w:rsidR="00F25D64" w:rsidRDefault="002A4170">
      <w:pPr>
        <w:spacing w:before="120" w:after="120"/>
        <w:rPr>
          <w:rFonts w:eastAsia="Arial Unicode MS" w:cs="Arial Unicode MS"/>
          <w:noProof/>
          <w:color w:val="000000"/>
          <w:szCs w:val="24"/>
          <w:u w:color="000000"/>
          <w:bdr w:val="nil"/>
        </w:rPr>
      </w:pPr>
      <w:r>
        <w:rPr>
          <w:b/>
          <w:noProof/>
          <w:color w:val="000000"/>
          <w:szCs w:val="24"/>
          <w:u w:color="000000"/>
          <w:bdr w:val="nil"/>
        </w:rPr>
        <w:t>Next Generation EU</w:t>
      </w:r>
      <w:r>
        <w:rPr>
          <w:noProof/>
          <w:color w:val="000000"/>
          <w:szCs w:val="24"/>
          <w:u w:color="000000"/>
          <w:bdr w:val="nil"/>
        </w:rPr>
        <w:t xml:space="preserve"> se jagħti lill-baġit tal-UE </w:t>
      </w:r>
      <w:r>
        <w:rPr>
          <w:noProof/>
          <w:color w:val="000000"/>
          <w:szCs w:val="24"/>
          <w:u w:color="000000"/>
          <w:bdr w:val="nil"/>
        </w:rPr>
        <w:t xml:space="preserve">l-qawwa addizzjonali neċessarja biex jirrispondi b’mod deċiżiv għall-aktar sfidi urġenti. Dan se jkun strument ta’ emerġenza ta’ darba, implimentat għal perjodu temporanju u użat biss għal miżuri ta’ rispons u rkupru fil-każ ta’ kriżi. </w:t>
      </w:r>
      <w:r>
        <w:rPr>
          <w:noProof/>
        </w:rPr>
        <w:t>Il-fondi se jingħadd</w:t>
      </w:r>
      <w:r>
        <w:rPr>
          <w:noProof/>
        </w:rPr>
        <w:t>ew mill-baġit tal-UE lill-Istati Membri biex jappoġġaw il-prijoritajiet ta’ investiment u riforma, u se jintużaw biex isaħħu programmi finanzjarji essenzjali għall-irkupru, bid-data ta’ tmiem tal-31 ta’ Diċembru 2024 .</w:t>
      </w:r>
      <w:r>
        <w:rPr>
          <w:noProof/>
          <w:color w:val="000000"/>
          <w:szCs w:val="24"/>
          <w:u w:color="000000"/>
          <w:bdr w:val="nil"/>
        </w:rPr>
        <w:t xml:space="preserve"> Il-ġbir ta’ finanzjament fis-swieq fi</w:t>
      </w:r>
      <w:r>
        <w:rPr>
          <w:noProof/>
          <w:color w:val="000000"/>
          <w:szCs w:val="24"/>
          <w:u w:color="000000"/>
          <w:bdr w:val="nil"/>
        </w:rPr>
        <w:t xml:space="preserve">nanzjarji se jgħin biex il-kostijiet finanzjarji jinfirxu maż-żmien, sabiex b’hekk l-Istati Membri ma jkollhomx għalfejn jagħmlu kontribuzzjonijiet addizzjonali sinifikanti għall-baġit tal-UE fil-perjodu 2021–2027. </w:t>
      </w:r>
      <w:r>
        <w:rPr>
          <w:noProof/>
        </w:rPr>
        <w:t>Il-Kummissjoni se tipproponi wkoll riżors</w:t>
      </w:r>
      <w:r>
        <w:rPr>
          <w:noProof/>
        </w:rPr>
        <w:t>i proprji ġodda li jistgħu jgħinu biex jiffinanzjaw ir-ripagament tal-finanzjament mis-suq li jinġabar taħt Next Generation EU.</w:t>
      </w:r>
    </w:p>
    <w:p w:rsidR="00F25D64" w:rsidRDefault="002A4170">
      <w:pPr>
        <w:spacing w:before="120" w:after="120"/>
        <w:rPr>
          <w:rFonts w:eastAsia="Arial Unicode MS" w:cs="Arial Unicode MS"/>
          <w:noProof/>
          <w:color w:val="000000"/>
          <w:szCs w:val="24"/>
          <w:u w:color="000000"/>
          <w:bdr w:val="nil"/>
        </w:rPr>
      </w:pPr>
      <w:r>
        <w:rPr>
          <w:noProof/>
          <w:color w:val="000000"/>
          <w:szCs w:val="24"/>
          <w:u w:color="000000"/>
          <w:bdr w:val="nil"/>
        </w:rPr>
        <w:t>It-tnedija ta’ Next Generation EU malajr se tkun vitali biex tinqaleb il-folja tal-kriżi ekonomika. Barra minn hekk, sabiex il-f</w:t>
      </w:r>
      <w:r>
        <w:rPr>
          <w:noProof/>
          <w:color w:val="000000"/>
          <w:szCs w:val="24"/>
          <w:u w:color="000000"/>
          <w:bdr w:val="nil"/>
        </w:rPr>
        <w:t>ondi jsiru disponibbli malajr kemm jista’ jkun biex jirrispondu għall-aktar ħtiġijiet urġenti, il-Kummissjoni tipproponi li temenda l-qafas finanzjarju pluriennali attwali 2014-2020 biex tagħmel EUR 11,5 biljun f’finanzjament disponibbli mill-2020 stess. D</w:t>
      </w:r>
      <w:r>
        <w:rPr>
          <w:noProof/>
          <w:color w:val="000000"/>
          <w:szCs w:val="24"/>
          <w:u w:color="000000"/>
          <w:bdr w:val="nil"/>
        </w:rPr>
        <w:t>an il-finanzjament addizzjonali jsir disponibbli għal REACT-EU, l-Istrument ta’ Appoġġ għas-Solvenza u l-Fond Ewropew għall-Iżvilupp Sostenibbli, li jirrifletti l-urġenza ta’ dawn il-ħtiġijiet.</w:t>
      </w:r>
    </w:p>
    <w:p w:rsidR="00F25D64" w:rsidRDefault="002A4170">
      <w:pPr>
        <w:spacing w:before="120" w:after="120"/>
        <w:rPr>
          <w:rFonts w:eastAsia="Arial Unicode MS" w:cs="Arial Unicode MS"/>
          <w:noProof/>
          <w:color w:val="000000"/>
          <w:szCs w:val="24"/>
          <w:u w:color="000000"/>
          <w:bdr w:val="nil"/>
        </w:rPr>
      </w:pPr>
      <w:r>
        <w:rPr>
          <w:noProof/>
          <w:lang w:val="fr-BE" w:eastAsia="fr-BE"/>
        </w:rPr>
        <w:lastRenderedPageBreak/>
        <w:drawing>
          <wp:inline distT="0" distB="0" distL="0" distR="0">
            <wp:extent cx="5759450" cy="325211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3252111"/>
                    </a:xfrm>
                    <a:prstGeom prst="rect">
                      <a:avLst/>
                    </a:prstGeom>
                    <a:noFill/>
                  </pic:spPr>
                </pic:pic>
              </a:graphicData>
            </a:graphic>
          </wp:inline>
        </w:drawing>
      </w:r>
    </w:p>
    <w:p w:rsidR="00F25D64" w:rsidRDefault="002A4170">
      <w:pPr>
        <w:pStyle w:val="Heading2"/>
      </w:pPr>
      <w:r>
        <w:t>Kif se jintuża Next Generation EU?</w:t>
      </w:r>
    </w:p>
    <w:p w:rsidR="00F25D64" w:rsidRDefault="002A4170">
      <w:pPr>
        <w:keepLines/>
        <w:spacing w:before="120" w:after="120"/>
        <w:rPr>
          <w:rFonts w:eastAsia="Arial Unicode MS" w:cs="Arial Unicode MS"/>
          <w:noProof/>
          <w:color w:val="000000"/>
          <w:szCs w:val="24"/>
          <w:u w:color="000000"/>
          <w:bdr w:val="nil"/>
        </w:rPr>
      </w:pPr>
      <w:r>
        <w:rPr>
          <w:noProof/>
          <w:color w:val="000000"/>
          <w:szCs w:val="24"/>
          <w:u w:color="000000"/>
          <w:bdr w:val="nil"/>
        </w:rPr>
        <w:t>Kull programm u kull euro</w:t>
      </w:r>
      <w:r>
        <w:rPr>
          <w:noProof/>
          <w:color w:val="000000"/>
          <w:szCs w:val="24"/>
          <w:u w:color="000000"/>
          <w:bdr w:val="nil"/>
        </w:rPr>
        <w:t xml:space="preserve"> f’dan il-pakkett se jintużaw biex jindirizzaw l-aktar ħtiġijiet ta’ rkupru kruċjali, kif identifikat fil-valutazzjoni tal-ħtiġijiet tal-Kummissjoni. Dawn il-proposti jiffukaw fuq fejn il-baġit tal-UE jista’ jagħmel l-akbar differenza, billi jikkomplementa</w:t>
      </w:r>
      <w:r>
        <w:rPr>
          <w:noProof/>
          <w:color w:val="000000"/>
          <w:szCs w:val="24"/>
          <w:u w:color="000000"/>
          <w:bdr w:val="nil"/>
        </w:rPr>
        <w:t xml:space="preserve">w u jamplifikaw ix-xogħol essenzjali li għaddej fl-Istati Membri. </w:t>
      </w:r>
    </w:p>
    <w:p w:rsidR="00F25D64" w:rsidRDefault="002A4170">
      <w:pPr>
        <w:spacing w:before="120" w:after="120"/>
        <w:rPr>
          <w:rFonts w:eastAsia="Arial Unicode MS" w:cs="Arial Unicode MS"/>
          <w:noProof/>
          <w:color w:val="000000"/>
          <w:szCs w:val="24"/>
          <w:u w:color="000000"/>
          <w:bdr w:val="nil"/>
        </w:rPr>
      </w:pPr>
      <w:r>
        <w:rPr>
          <w:noProof/>
          <w:color w:val="000000"/>
          <w:szCs w:val="24"/>
          <w:u w:color="000000"/>
          <w:bdr w:val="nil"/>
        </w:rPr>
        <w:t>Il-pakkett huwa mibni fuq tliet pilastri: għodod biex jappoġġaw l-isforzi tal-Istati Membri biex jirkupraw, isewwu u joħorġu aktar b’saħħithom mill-kriżi; miżuri biex jagħtu spinta lill-investiment privat u għall-appoġġ ta’ kumpaniji f’diffikultà; u t-tisħ</w:t>
      </w:r>
      <w:r>
        <w:rPr>
          <w:noProof/>
          <w:color w:val="000000"/>
          <w:szCs w:val="24"/>
          <w:u w:color="000000"/>
          <w:bdr w:val="nil"/>
        </w:rPr>
        <w:t xml:space="preserve">iħ tal-programmi ewlenin tal-UE biex jittieħdu t-tagħlimiet mill-kriżi u s-suq uniku jsir aktar b’saħħtu u reżiljenti. </w:t>
      </w:r>
    </w:p>
    <w:p w:rsidR="00F25D64" w:rsidRDefault="002A4170">
      <w:pPr>
        <w:pStyle w:val="ListParagraph"/>
        <w:keepNext/>
        <w:numPr>
          <w:ilvl w:val="0"/>
          <w:numId w:val="40"/>
        </w:numPr>
        <w:spacing w:before="120" w:after="120"/>
        <w:ind w:left="357" w:hanging="357"/>
        <w:rPr>
          <w:rFonts w:ascii="Times New Roman Bold" w:eastAsia="Arial Unicode MS" w:hAnsi="Times New Roman Bold" w:cs="Times New Roman"/>
          <w:b/>
          <w:noProof/>
          <w:color w:val="000000"/>
          <w:sz w:val="24"/>
          <w:szCs w:val="24"/>
          <w:u w:val="single"/>
          <w:bdr w:val="nil"/>
        </w:rPr>
      </w:pPr>
      <w:r>
        <w:rPr>
          <w:rFonts w:ascii="Times New Roman Bold" w:hAnsi="Times New Roman Bold"/>
          <w:b/>
          <w:noProof/>
          <w:color w:val="000000"/>
          <w:sz w:val="24"/>
          <w:szCs w:val="24"/>
          <w:u w:val="single"/>
          <w:bdr w:val="nil"/>
        </w:rPr>
        <w:t>Nappoġġaw lill-Istati Membri biex jirkupraw, isewwu, u joħorġu aktar b’saħħithom mill-kriżi</w:t>
      </w:r>
    </w:p>
    <w:p w:rsidR="00F25D64" w:rsidRDefault="002A4170">
      <w:pPr>
        <w:pBdr>
          <w:top w:val="single" w:sz="18" w:space="1" w:color="93C5B9" w:themeColor="accent4"/>
          <w:left w:val="single" w:sz="18" w:space="4" w:color="93C5B9" w:themeColor="accent4"/>
          <w:bottom w:val="single" w:sz="18" w:space="1" w:color="93C5B9" w:themeColor="accent4"/>
          <w:right w:val="single" w:sz="18" w:space="4" w:color="93C5B9" w:themeColor="accent4"/>
        </w:pBdr>
        <w:spacing w:before="120" w:after="120"/>
        <w:rPr>
          <w:rFonts w:eastAsia="Arial Unicode MS"/>
          <w:i/>
          <w:noProof/>
          <w:color w:val="000000"/>
          <w:szCs w:val="24"/>
          <w:u w:color="000000"/>
          <w:bdr w:val="nil"/>
        </w:rPr>
      </w:pPr>
      <w:r>
        <w:rPr>
          <w:i/>
          <w:noProof/>
          <w:color w:val="000000"/>
          <w:szCs w:val="24"/>
          <w:u w:color="000000"/>
          <w:bdr w:val="nil"/>
          <w:lang w:val="fr-BE" w:eastAsia="fr-BE"/>
        </w:rPr>
        <w:drawing>
          <wp:anchor distT="0" distB="0" distL="114300" distR="114300" simplePos="0" relativeHeight="251658240" behindDoc="0" locked="0" layoutInCell="1" allowOverlap="1">
            <wp:simplePos x="0" y="0"/>
            <wp:positionH relativeFrom="column">
              <wp:posOffset>5112971</wp:posOffset>
            </wp:positionH>
            <wp:positionV relativeFrom="paragraph">
              <wp:posOffset>119380</wp:posOffset>
            </wp:positionV>
            <wp:extent cx="723265" cy="723265"/>
            <wp:effectExtent l="0" t="0" r="0"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14:sizeRelH relativeFrom="page">
              <wp14:pctWidth>0</wp14:pctWidth>
            </wp14:sizeRelH>
            <wp14:sizeRelV relativeFrom="page">
              <wp14:pctHeight>0</wp14:pctHeight>
            </wp14:sizeRelV>
          </wp:anchor>
        </w:drawing>
      </w:r>
      <w:r>
        <w:rPr>
          <w:i/>
          <w:noProof/>
        </w:rPr>
        <w:t xml:space="preserve">L-investiment pubbliku għandu rwol vitali x’jaqdi fi rkupru bilanċjat u sostenibbli. </w:t>
      </w:r>
      <w:r>
        <w:rPr>
          <w:i/>
          <w:noProof/>
          <w:color w:val="000000"/>
          <w:szCs w:val="24"/>
          <w:u w:color="000000"/>
          <w:bdr w:val="nil"/>
        </w:rPr>
        <w:t>Il-biċċa l-kbira tal-finanzjament minn Next Generation EU (aktar minn 80 %) għaldaqstant se jintuża biex jappoġġa l-investiment u r-riformi fl-Istati Membri, ikkonċentrati</w:t>
      </w:r>
      <w:r>
        <w:rPr>
          <w:i/>
          <w:noProof/>
          <w:color w:val="000000"/>
          <w:szCs w:val="24"/>
          <w:u w:color="000000"/>
          <w:bdr w:val="nil"/>
        </w:rPr>
        <w:t xml:space="preserve"> fejn il-kriżi kellha l-akbar impatt u fejn hemm l-akbar ħtiġijiet marbutin mar-reżiljenza. L-istrument ewlieni ta’ rkupru se jkun </w:t>
      </w:r>
      <w:r>
        <w:rPr>
          <w:b/>
          <w:i/>
          <w:noProof/>
          <w:color w:val="000000"/>
          <w:szCs w:val="24"/>
          <w:u w:color="000000"/>
          <w:bdr w:val="nil"/>
        </w:rPr>
        <w:t>Faċilità ġdida għall-Irkupru u r-Reżiljenza</w:t>
      </w:r>
      <w:r>
        <w:rPr>
          <w:i/>
          <w:noProof/>
          <w:color w:val="000000"/>
          <w:szCs w:val="24"/>
          <w:u w:color="000000"/>
          <w:bdr w:val="nil"/>
        </w:rPr>
        <w:t>, imfassla speċifikament biex tiffinanzja investiment u riformi allinjati mal-prij</w:t>
      </w:r>
      <w:r>
        <w:rPr>
          <w:i/>
          <w:noProof/>
          <w:color w:val="000000"/>
          <w:szCs w:val="24"/>
          <w:u w:color="000000"/>
          <w:bdr w:val="nil"/>
        </w:rPr>
        <w:t xml:space="preserve">oritajiet Ewropej. Il-politika ta' koeżjoni se taqdi r-rwol essenzjali tagħha biex tappoġġa rkupru bbilanċjat u sostenibbli permezz ta’ </w:t>
      </w:r>
      <w:r>
        <w:rPr>
          <w:b/>
          <w:i/>
          <w:noProof/>
          <w:color w:val="000000"/>
          <w:szCs w:val="24"/>
          <w:u w:color="000000"/>
          <w:bdr w:val="nil"/>
        </w:rPr>
        <w:t>inizjattiva ġdida REACT-EU</w:t>
      </w:r>
      <w:r>
        <w:rPr>
          <w:i/>
          <w:noProof/>
          <w:color w:val="000000"/>
          <w:szCs w:val="24"/>
          <w:u w:color="000000"/>
          <w:bdr w:val="nil"/>
        </w:rPr>
        <w:t xml:space="preserve"> biex tindirizza l-aktar ħtiġijiet ekonomiċi u soċjali urġenti u aġġustamenti għal </w:t>
      </w:r>
      <w:r>
        <w:rPr>
          <w:b/>
          <w:i/>
          <w:noProof/>
          <w:color w:val="000000"/>
          <w:szCs w:val="24"/>
          <w:u w:color="000000"/>
          <w:bdr w:val="nil"/>
        </w:rPr>
        <w:t>programmi t</w:t>
      </w:r>
      <w:r>
        <w:rPr>
          <w:b/>
          <w:i/>
          <w:noProof/>
          <w:color w:val="000000"/>
          <w:szCs w:val="24"/>
          <w:u w:color="000000"/>
          <w:bdr w:val="nil"/>
        </w:rPr>
        <w:t>a’ koeżjoni futuri</w:t>
      </w:r>
      <w:r>
        <w:rPr>
          <w:i/>
          <w:noProof/>
          <w:color w:val="000000"/>
          <w:szCs w:val="24"/>
          <w:u w:color="000000"/>
          <w:bdr w:val="nil"/>
        </w:rPr>
        <w:t xml:space="preserve"> biex isiru aktar flessibbli u allinjati għalkollox mal-prijoritajiet ta’ rkupru. </w:t>
      </w:r>
      <w:r>
        <w:rPr>
          <w:i/>
          <w:noProof/>
        </w:rPr>
        <w:t>Il-</w:t>
      </w:r>
      <w:r>
        <w:rPr>
          <w:b/>
          <w:i/>
          <w:noProof/>
        </w:rPr>
        <w:t>Fond Agrikolu Ewropew għall-Iżvilupp Rurali</w:t>
      </w:r>
      <w:r>
        <w:rPr>
          <w:i/>
          <w:noProof/>
        </w:rPr>
        <w:t xml:space="preserve"> se jgħin lill-bdiewa u liż-żoni rurali jwettqu t-tranżizzjoni ekoloġika u se jappoġġa l-investiment u r-rifor</w:t>
      </w:r>
      <w:r>
        <w:rPr>
          <w:i/>
          <w:noProof/>
        </w:rPr>
        <w:t>mi essenzjali biex jintlaħqu l-miri ambjentali ambizzjużi tal-Ewropa.</w:t>
      </w:r>
      <w:r>
        <w:rPr>
          <w:i/>
          <w:noProof/>
          <w:color w:val="000000"/>
          <w:szCs w:val="24"/>
          <w:u w:color="000000"/>
          <w:bdr w:val="nil"/>
        </w:rPr>
        <w:t xml:space="preserve"> Finalment, </w:t>
      </w:r>
      <w:r>
        <w:rPr>
          <w:b/>
          <w:i/>
          <w:noProof/>
          <w:color w:val="000000"/>
          <w:szCs w:val="24"/>
          <w:u w:color="000000"/>
          <w:bdr w:val="nil"/>
        </w:rPr>
        <w:t>Mekkaniżmu ta' Tranżizzjoni Ġusta</w:t>
      </w:r>
      <w:r>
        <w:rPr>
          <w:i/>
          <w:noProof/>
          <w:color w:val="000000"/>
          <w:szCs w:val="24"/>
          <w:u w:color="000000"/>
          <w:bdr w:val="nil"/>
        </w:rPr>
        <w:t xml:space="preserve"> msaħħaħ sew se jgħin lill-Istati Membri jħaffu t-tranżizzjoni lejn ekonomija ekoloġika, u billi jagħmlu dan jagħtu spinta lill-ekonomiji tagħ</w:t>
      </w:r>
      <w:r>
        <w:rPr>
          <w:i/>
          <w:noProof/>
          <w:color w:val="000000"/>
          <w:szCs w:val="24"/>
          <w:u w:color="000000"/>
          <w:bdr w:val="nil"/>
        </w:rPr>
        <w:t xml:space="preserve">hom. </w:t>
      </w:r>
    </w:p>
    <w:p w:rsidR="00F25D64" w:rsidRDefault="002A4170">
      <w:pPr>
        <w:pStyle w:val="ListParagraph"/>
        <w:keepNext/>
        <w:numPr>
          <w:ilvl w:val="0"/>
          <w:numId w:val="31"/>
        </w:numPr>
        <w:spacing w:before="120" w:after="120"/>
        <w:ind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lastRenderedPageBreak/>
        <w:t>Faċilità għall-Irkupru u r-Reżiljenza ġdida</w:t>
      </w:r>
    </w:p>
    <w:p w:rsidR="00F25D64" w:rsidRDefault="002A4170">
      <w:pPr>
        <w:spacing w:before="120" w:after="120"/>
        <w:rPr>
          <w:noProof/>
        </w:rPr>
      </w:pPr>
      <w:r>
        <w:rPr>
          <w:noProof/>
        </w:rPr>
        <w:t xml:space="preserve">Il-baġit tal-UE jista’ jipprovdi appoġġ qawwi għall-prijoritajiet tal-investiment u r-riforma identifikati permezz tas-Semestru Ewropew, aktar kruċjali minn qatt qabel fi żmien li fih il-baġits nazzjonali qegħdin taħt pressjoni. </w:t>
      </w:r>
    </w:p>
    <w:p w:rsidR="00F25D64" w:rsidRDefault="002A4170">
      <w:pPr>
        <w:spacing w:before="120" w:after="120"/>
        <w:rPr>
          <w:rFonts w:eastAsia="DengXian"/>
          <w:noProof/>
          <w:szCs w:val="24"/>
        </w:rPr>
      </w:pPr>
      <w:r>
        <w:rPr>
          <w:noProof/>
        </w:rPr>
        <w:t>Fiċ-ċentru tal-pjan ta’ rk</w:t>
      </w:r>
      <w:r>
        <w:rPr>
          <w:noProof/>
        </w:rPr>
        <w:t xml:space="preserve">upru se jkun hemm </w:t>
      </w:r>
      <w:r>
        <w:rPr>
          <w:b/>
          <w:noProof/>
        </w:rPr>
        <w:t>Faċilità ġdida għall-Irkupru u r-Reżiljenza</w:t>
      </w:r>
      <w:r>
        <w:rPr>
          <w:noProof/>
        </w:rPr>
        <w:t>. Il-mira tal-faċilità se tkun li tappoġġa l-investiment u r-riformi essenzjali għal irkupru dejjiemi, biex tittejjeb ir-reżiljenza ekonomika u soċjali tal-Istati Membri, u biex jiġu appoġġati t-</w:t>
      </w:r>
      <w:r>
        <w:rPr>
          <w:noProof/>
        </w:rPr>
        <w:t>tranżizzjonijiet ekonomiċi u diġitali. Se tkun disponibbli għall-Istati Membri kollha, iżda l-appoġġ se jkun ikkonċentrat fil-partijiet tal-Unjoni l-aktar milquta u li fihom hemm l-akbar ħtieġa relatata mar-reżiljenza. Dan se jgħin biex jiġu miġġielda d-di</w:t>
      </w:r>
      <w:r>
        <w:rPr>
          <w:noProof/>
        </w:rPr>
        <w:t>verġenzi li qed jikbru bejn l-Istati Membri u biex inħejju l-ekonomiji tagħna għall-ġejjieni.</w:t>
      </w:r>
    </w:p>
    <w:p w:rsidR="00F25D64" w:rsidRDefault="002A4170">
      <w:pPr>
        <w:spacing w:before="120" w:after="120"/>
        <w:rPr>
          <w:rFonts w:ascii="EC Square Sans Pro" w:eastAsia="Arial Unicode MS" w:hAnsi="EC Square Sans Pro"/>
          <w:noProof/>
          <w:color w:val="000000"/>
          <w:szCs w:val="24"/>
          <w:bdr w:val="none" w:sz="0" w:space="0" w:color="auto" w:frame="1"/>
        </w:rPr>
      </w:pPr>
      <w:r>
        <w:rPr>
          <w:noProof/>
        </w:rPr>
        <w:t>Il-faċilità se toffri appoġġ finanzjarju fuq skala kbira għall-investimenti u r-riformi li jagħmlu l-ekonomiji tal-Istati Membri aktar reżiljenti. B’mod kruċjali,</w:t>
      </w:r>
      <w:r>
        <w:rPr>
          <w:noProof/>
        </w:rPr>
        <w:t xml:space="preserve"> se tiżgura li dawn l-investimenti u r-riformi jiffukaw fuq l-isfidi u l-ħtiġijiet ta’ investiment relatati mat-tranżizzjonijiet ekoloġiċi u diġitali. Se tgħin lill-Istati Membri jindirizzaw sfidi ekonomiċi u soċjali li huma saħansitra aktar kritiċi kaġun </w:t>
      </w:r>
      <w:r>
        <w:rPr>
          <w:noProof/>
        </w:rPr>
        <w:t>tal-kriżi, f’bosta oqsma bħal dawk soċjali, tal-impjiegi, tal-ħiliet, tal-edukazzjoni, tar-riċerka u tal-innovazzjoni u tas-saħħa, iżda wkoll f’oqsma relatati mal-ambjent tan-negozju, inkluż l-amministrazzjoni pubblika u s-settur finanzjarju. Il-Kummissjon</w:t>
      </w:r>
      <w:r>
        <w:rPr>
          <w:noProof/>
        </w:rPr>
        <w:t xml:space="preserve">i se toffri appoġġ tekniku estensiv biex tiżgura li l-fondi jintużaw bl-aħjar mod possibbli. </w:t>
      </w:r>
    </w:p>
    <w:p w:rsidR="00F25D64" w:rsidRDefault="002A4170">
      <w:pPr>
        <w:spacing w:before="120" w:after="120"/>
        <w:rPr>
          <w:noProof/>
        </w:rPr>
      </w:pPr>
      <w:r>
        <w:rPr>
          <w:noProof/>
        </w:rPr>
        <w:t>Il-faċilità għandha baġit propost ta’ EUR 560 biljun biex jgħin fil-finanzjament ta’ rkupru u reżiljenza tal-Istati Membri. Se tkun mgħammra b’faċilità tal-għotji</w:t>
      </w:r>
      <w:r>
        <w:rPr>
          <w:noProof/>
        </w:rPr>
        <w:t>et b’valur sa EUR 310 biljun u se tkun kapaċi twassal sa EUR 250 biljun f’self.</w:t>
      </w:r>
      <w:r>
        <w:rPr>
          <w:i/>
          <w:noProof/>
        </w:rPr>
        <w:t xml:space="preserve"> </w:t>
      </w:r>
    </w:p>
    <w:p w:rsidR="00F25D64" w:rsidRDefault="002A4170">
      <w:pPr>
        <w:rPr>
          <w:noProof/>
          <w:szCs w:val="24"/>
        </w:rPr>
      </w:pPr>
      <w:r>
        <w:rPr>
          <w:noProof/>
          <w:color w:val="000000"/>
          <w:szCs w:val="24"/>
          <w:u w:color="000000"/>
          <w:bdr w:val="nil"/>
        </w:rPr>
        <w:t xml:space="preserve">Il-Faċilità għall-Irkupru u r-Reżiljenza se tkun integrata sew fis-Semestru Ewropew. </w:t>
      </w:r>
      <w:r>
        <w:rPr>
          <w:noProof/>
        </w:rPr>
        <w:t>L-Istati Membri se jħejju pjanijiet għall-irkupru u r-reżiljenza bħala parti mill-Programm</w:t>
      </w:r>
      <w:r>
        <w:rPr>
          <w:noProof/>
        </w:rPr>
        <w:t>i Nazzjonali ta’ Riforma tagħhom. Dawn il-pjanijiet se jistipulaw il-prijoritajiet tal-investiment u r-riforma u l-pakketti tal-investiment relatati li għandhom jiġu ffinanzjati taħt il-faċilità, u l-appoġġ se jingħata f’pagamenti skont il-progress li jkun</w:t>
      </w:r>
      <w:r>
        <w:rPr>
          <w:noProof/>
        </w:rPr>
        <w:t xml:space="preserve"> sar u fuq il-bażi ta’ parametri referenzjarji predefiniti. </w:t>
      </w:r>
    </w:p>
    <w:p w:rsidR="00F25D64" w:rsidRDefault="002A4170">
      <w:pPr>
        <w:pStyle w:val="ListParagraph"/>
        <w:keepNext/>
        <w:numPr>
          <w:ilvl w:val="0"/>
          <w:numId w:val="31"/>
        </w:numPr>
        <w:pBdr>
          <w:top w:val="nil"/>
          <w:left w:val="nil"/>
          <w:bottom w:val="nil"/>
          <w:right w:val="nil"/>
          <w:between w:val="nil"/>
          <w:bar w:val="nil"/>
        </w:pBdr>
        <w:spacing w:before="120" w:after="120"/>
        <w:ind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REACT-EU - inżidu l-appoġġ ta’ koeżjoni għall-Istati Membri</w:t>
      </w:r>
    </w:p>
    <w:p w:rsidR="00F25D64" w:rsidRDefault="002A4170">
      <w:pPr>
        <w:spacing w:before="120" w:after="120"/>
        <w:rPr>
          <w:noProof/>
        </w:rPr>
      </w:pPr>
      <w:r>
        <w:rPr>
          <w:noProof/>
          <w:color w:val="000000"/>
          <w:szCs w:val="24"/>
        </w:rPr>
        <w:t xml:space="preserve">Il-Kummissjoni qed tipproponi </w:t>
      </w:r>
      <w:r>
        <w:rPr>
          <w:b/>
          <w:noProof/>
          <w:color w:val="000000"/>
          <w:szCs w:val="24"/>
        </w:rPr>
        <w:t>inizjattiva REACT-EU</w:t>
      </w:r>
      <w:r>
        <w:rPr>
          <w:noProof/>
          <w:color w:val="000000"/>
          <w:szCs w:val="24"/>
        </w:rPr>
        <w:t xml:space="preserve"> ġdida biex iżżid l-appoġġ biex l-Istati Membri jagħmlu l-ekonomiji tagħhom aktar reż</w:t>
      </w:r>
      <w:r>
        <w:rPr>
          <w:noProof/>
          <w:color w:val="000000"/>
          <w:szCs w:val="24"/>
        </w:rPr>
        <w:t>iljenti u sostenibbli fil-fażi tat-tiswija tal-kriżi.</w:t>
      </w:r>
      <w:r>
        <w:rPr>
          <w:noProof/>
          <w:color w:val="000000"/>
          <w:szCs w:val="24"/>
          <w:bdr w:val="none" w:sz="0" w:space="0" w:color="auto" w:frame="1"/>
        </w:rPr>
        <w:t xml:space="preserve"> Dan se jgħin biex tiċkien id-diskrepanza bejn il-miżuri tal-ewwel rispons u l-irkupru aktar fit-tul.</w:t>
      </w:r>
      <w:r>
        <w:rPr>
          <w:noProof/>
        </w:rPr>
        <w:t xml:space="preserve"> </w:t>
      </w:r>
    </w:p>
    <w:p w:rsidR="00F25D64" w:rsidRDefault="002A4170">
      <w:pPr>
        <w:spacing w:before="120" w:after="120"/>
        <w:rPr>
          <w:rFonts w:eastAsia="Arial Unicode MS" w:cs="Arial Unicode MS"/>
          <w:noProof/>
          <w:color w:val="000000"/>
          <w:szCs w:val="24"/>
          <w:u w:color="000000"/>
          <w:bdr w:val="nil"/>
        </w:rPr>
      </w:pPr>
      <w:r>
        <w:rPr>
          <w:noProof/>
        </w:rPr>
        <w:t xml:space="preserve">Permezz ta’ REACT-EU, il-Kummissjoni qed tipproponi li tipprovdi EUR 55 biljun ta’ finanzjament </w:t>
      </w:r>
      <w:r>
        <w:rPr>
          <w:noProof/>
        </w:rPr>
        <w:t>addizzjonali tal-politika ta’ koeżjoni minn issa sal-2022, EUR 50 biljun minn Next Generation EU fl-2021 u l-2022, u EUR 5 biljun diġà fl-2020 billi tadatta l-qafas finanzjarju attwali. Dan se jkun ibbażat fuq ir-regoli attwali tal-koeżjoni, inkluża l-fles</w:t>
      </w:r>
      <w:r>
        <w:rPr>
          <w:noProof/>
        </w:rPr>
        <w:t>sibilità eċċezzjonali introdotta permezz tal-Inizjattivi ta’ Investiment fir-Rispons għall-Coronavirus. Skont dawn il-proposti, bejn l-2020 u l-2022 se jiġi pprovdut finanzjament addizzjonali għall-programmi ta’ koeżjoni attwali kif ukoll għall-Fond għal G</w:t>
      </w:r>
      <w:r>
        <w:rPr>
          <w:noProof/>
        </w:rPr>
        <w:t>ħajnuna Ewropea għall-Persuni l-Aktar fil-Bżonn, biex b’hekk il-finanzjament għall-miżuri ewlenin ta’ tiswija wara l-kriżi u l-appoġġ għall-persuni l-aktar fil-bżonn ikun jista’ jkompli mingħajr interruzzjoni.</w:t>
      </w:r>
      <w:r>
        <w:rPr>
          <w:noProof/>
          <w:color w:val="000000"/>
          <w:szCs w:val="24"/>
          <w:u w:color="000000"/>
          <w:bdr w:val="nil"/>
        </w:rPr>
        <w:t xml:space="preserve"> </w:t>
      </w:r>
    </w:p>
    <w:p w:rsidR="00F25D64" w:rsidRDefault="002A4170">
      <w:pPr>
        <w:spacing w:before="120" w:after="120"/>
        <w:rPr>
          <w:rFonts w:eastAsia="Arial Unicode MS" w:cs="Arial Unicode MS"/>
          <w:noProof/>
          <w:color w:val="000000"/>
          <w:szCs w:val="24"/>
          <w:u w:color="000000"/>
          <w:bdr w:val="nil"/>
        </w:rPr>
      </w:pPr>
      <w:r>
        <w:rPr>
          <w:noProof/>
        </w:rPr>
        <w:lastRenderedPageBreak/>
        <w:t xml:space="preserve">Il-finanzjament addizzjonali se jiġi allokat </w:t>
      </w:r>
      <w:r>
        <w:rPr>
          <w:noProof/>
        </w:rPr>
        <w:t>skont is-severità tal-impatti ekonomiċi u soċjali tal-kriżi, inkluż il-livell ta’ qgħad fost iż-żgħażagħ u l-prosperità relattiva tal-Istati Membri .</w:t>
      </w:r>
      <w:r>
        <w:rPr>
          <w:noProof/>
          <w:color w:val="000000"/>
          <w:szCs w:val="24"/>
          <w:u w:color="000000"/>
          <w:bdr w:val="nil"/>
        </w:rPr>
        <w:t xml:space="preserve"> </w:t>
      </w:r>
      <w:r>
        <w:rPr>
          <w:noProof/>
          <w:color w:val="000000"/>
          <w:szCs w:val="24"/>
          <w:bdr w:val="none" w:sz="0" w:space="0" w:color="auto" w:frame="1"/>
        </w:rPr>
        <w:t>L-impenji addizzjonali se jiġu implimentati permezz tal-emendi għall-programmi jew programmi ġodda ddedika</w:t>
      </w:r>
      <w:r>
        <w:rPr>
          <w:noProof/>
          <w:color w:val="000000"/>
          <w:szCs w:val="24"/>
          <w:bdr w:val="none" w:sz="0" w:space="0" w:color="auto" w:frame="1"/>
        </w:rPr>
        <w:t>ti ppreżentati mill-Istati Membri u adottati mill-Kummissjoni. Il-Kummissjoni se taħdem mill-qrib mal-Istati Membri biex jimmaniġjaw dan il-proċess b’aktar mod rapidu u effiċjenti possibbli.</w:t>
      </w:r>
    </w:p>
    <w:p w:rsidR="00F25D64" w:rsidRDefault="002A4170">
      <w:pPr>
        <w:spacing w:before="120" w:after="120"/>
        <w:rPr>
          <w:rFonts w:eastAsia="DengXian"/>
          <w:noProof/>
          <w:szCs w:val="24"/>
        </w:rPr>
      </w:pPr>
      <w:r>
        <w:rPr>
          <w:noProof/>
        </w:rPr>
        <w:t>Il-finanzjament se jappoġġa l-azzjonijiet ta’ tiswija tal-kriżi f</w:t>
      </w:r>
      <w:r>
        <w:rPr>
          <w:noProof/>
        </w:rPr>
        <w:t>l-aktar setturi importanti għal irkupru ekoloġiku, diġitali u reżiljenti. Dan se jinkludi investiment biex jissewwew is-swieq tax-xogħol, inluż permezz ta’ sussidji għar-reklutaġġ, skemi ta’ xogħol b'ħinijiet iqsar, appoġġ għas-sistemi tas-saħħa, u l-provv</w:t>
      </w:r>
      <w:r>
        <w:rPr>
          <w:noProof/>
        </w:rPr>
        <w:t>ediment ta’ kapital operatorju għall-intrapriżi żgħar u medji. L-appoġġ se jkun disponibbli f’setturi ekonomiċi differenti, inkluż fit-turiżmu u l-kultura, u għall-investimenti essenzjali fit-tranżizzjonijiet ekoloġiċi u diġitali, u b’hekk isaħħaħ l-invest</w:t>
      </w:r>
      <w:r>
        <w:rPr>
          <w:noProof/>
        </w:rPr>
        <w:t>iment diġà ppjanat skont il-programmi ta’ koeżjoni futuri. Parti minn dawn ir-riżorsi addizzjonali jistgħu jintużaw ukoll biex jgħinu lin-nies li qed isofru mill-privazzjoni materjali u alimentari.</w:t>
      </w:r>
    </w:p>
    <w:p w:rsidR="00F25D64" w:rsidRDefault="002A4170">
      <w:pPr>
        <w:pStyle w:val="ListParagraph"/>
        <w:keepNext/>
        <w:numPr>
          <w:ilvl w:val="0"/>
          <w:numId w:val="31"/>
        </w:numPr>
        <w:spacing w:before="120" w:after="120"/>
        <w:ind w:hanging="357"/>
        <w:contextualSpacing w:val="0"/>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Il-politika ta' koeżjoni għasservizz tal-irkupru ekonomiku</w:t>
      </w:r>
      <w:r>
        <w:rPr>
          <w:rFonts w:ascii="Times New Roman" w:hAnsi="Times New Roman"/>
          <w:b/>
          <w:i/>
          <w:noProof/>
          <w:color w:val="000000"/>
          <w:sz w:val="24"/>
          <w:szCs w:val="24"/>
          <w:u w:color="000000"/>
          <w:bdr w:val="nil"/>
        </w:rPr>
        <w:t xml:space="preserve"> għal kulħadd</w:t>
      </w:r>
    </w:p>
    <w:p w:rsidR="00F25D64" w:rsidRDefault="002A4170">
      <w:pPr>
        <w:spacing w:before="120" w:after="120"/>
        <w:rPr>
          <w:rFonts w:eastAsia="Arial Unicode MS"/>
          <w:noProof/>
          <w:color w:val="000000"/>
          <w:szCs w:val="24"/>
          <w:bdr w:val="none" w:sz="0" w:space="0" w:color="auto" w:frame="1"/>
        </w:rPr>
      </w:pPr>
      <w:r>
        <w:rPr>
          <w:noProof/>
          <w:color w:val="000000"/>
          <w:szCs w:val="24"/>
        </w:rPr>
        <w:t xml:space="preserve">Lil hinn mir-rispons immedjat għall-kriżi, </w:t>
      </w:r>
      <w:r>
        <w:rPr>
          <w:b/>
          <w:noProof/>
          <w:color w:val="000000"/>
          <w:szCs w:val="24"/>
        </w:rPr>
        <w:t>il-politika ta' koeżjoni</w:t>
      </w:r>
      <w:r>
        <w:rPr>
          <w:noProof/>
          <w:color w:val="000000"/>
          <w:szCs w:val="24"/>
        </w:rPr>
        <w:t xml:space="preserve"> se tkun kruċjali biex niżguraw irkupru bbilanċjat fit-tul, biex jiġu evitati assimetriji u diverġenzi fit-tkabbir bejn l-Istati Membri u fi ħdanhom.</w:t>
      </w:r>
      <w:r>
        <w:rPr>
          <w:noProof/>
          <w:color w:val="000000"/>
          <w:szCs w:val="24"/>
          <w:bdr w:val="none" w:sz="0" w:space="0" w:color="auto" w:frame="1"/>
        </w:rPr>
        <w:t xml:space="preserve"> </w:t>
      </w:r>
    </w:p>
    <w:p w:rsidR="00F25D64" w:rsidRDefault="002A4170">
      <w:pPr>
        <w:spacing w:before="120" w:after="120"/>
        <w:rPr>
          <w:rFonts w:eastAsia="Arial Unicode MS" w:cs="Arial Unicode MS"/>
          <w:noProof/>
          <w:color w:val="000000"/>
          <w:szCs w:val="24"/>
          <w:u w:color="000000"/>
          <w:bdr w:val="nil"/>
        </w:rPr>
      </w:pPr>
      <w:r>
        <w:rPr>
          <w:noProof/>
          <w:color w:val="000000"/>
          <w:szCs w:val="24"/>
          <w:u w:color="000000"/>
          <w:bdr w:val="nil"/>
        </w:rPr>
        <w:t>Għaldaqstant huwa essenz</w:t>
      </w:r>
      <w:r>
        <w:rPr>
          <w:noProof/>
          <w:color w:val="000000"/>
          <w:szCs w:val="24"/>
          <w:u w:color="000000"/>
          <w:bdr w:val="nil"/>
        </w:rPr>
        <w:t>jali għall-prijoritajiet strateġiċi tal-Unjoni li l-programmi ta’ koeżjoni l-ġodda jiġu varati fl-1 ta’ Jannar 2021, b’mod parallel mal-fondi addizzjonali li jkunu saru disponibbli għall-programmi attwali sa tmiem l-2022. Dawn il-proposti ġew imfassla biex</w:t>
      </w:r>
      <w:r>
        <w:rPr>
          <w:noProof/>
          <w:color w:val="000000"/>
          <w:szCs w:val="24"/>
          <w:u w:color="000000"/>
          <w:bdr w:val="nil"/>
        </w:rPr>
        <w:t xml:space="preserve"> jagħtu l-appoġġ massimu għall-prijoritajiet tal-lum. </w:t>
      </w:r>
    </w:p>
    <w:p w:rsidR="00F25D64" w:rsidRDefault="002A4170">
      <w:pPr>
        <w:spacing w:before="120" w:after="120"/>
        <w:rPr>
          <w:rFonts w:eastAsia="Arial Unicode MS"/>
          <w:noProof/>
          <w:color w:val="000000"/>
          <w:szCs w:val="24"/>
          <w:u w:color="000000"/>
          <w:bdr w:val="nil"/>
        </w:rPr>
      </w:pPr>
      <w:r>
        <w:rPr>
          <w:noProof/>
        </w:rPr>
        <w:t xml:space="preserve">Il-Kummissjoni issa qed taġġusta l-proposti tagħha għall-programmi futuri tal-politika ta’ koeżjoni biex jagħtu appoġġ aktar b’saħħtu għall-investimenti ta’ rkupru, pereżempju fir-reżiljenza </w:t>
      </w:r>
      <w:r>
        <w:rPr>
          <w:noProof/>
        </w:rPr>
        <w:t>tas-sistemi nazzjonali tas-saħħa, f’setturi bħat-turiżmu u l-kultura, fl-appoġġ għall-intrapriżi żgħar u medji, f’miżuri għall-impjieg taż-żgħażagħ, fl-edukazzjoni u l-ħiliet, u miżuri li jikkumbattu l-faqar fost it-tfal.</w:t>
      </w:r>
    </w:p>
    <w:p w:rsidR="00F25D64" w:rsidRDefault="002A4170">
      <w:pPr>
        <w:spacing w:before="120" w:after="120"/>
        <w:rPr>
          <w:rFonts w:eastAsia="Arial Unicode MS" w:cs="Arial Unicode MS"/>
          <w:noProof/>
          <w:color w:val="000000"/>
          <w:szCs w:val="24"/>
          <w:u w:color="000000"/>
          <w:bdr w:val="nil"/>
        </w:rPr>
      </w:pPr>
      <w:r>
        <w:rPr>
          <w:noProof/>
        </w:rPr>
        <w:t>Iż-żgħażagħ aktarx li se jintlaqtu</w:t>
      </w:r>
      <w:r>
        <w:rPr>
          <w:noProof/>
        </w:rPr>
        <w:t xml:space="preserve"> partikolarment ħażin mill-kriżi, u għalhekk jenħtieġ li l-Istati Membri b’livelli ta’ qgħad fost iż-żgħażagħ ogħla mill-medja tal-UE jipprogrammaw mill-inqas 15 % tar-riżorsi tal-Fond Soċjali Ewropew Plus tagħhom b'ġestjoni kondiviża biex jappoġġaw liż-żg</w:t>
      </w:r>
      <w:r>
        <w:rPr>
          <w:noProof/>
        </w:rPr>
        <w:t xml:space="preserve">ħażagħ. </w:t>
      </w:r>
      <w:r>
        <w:rPr>
          <w:noProof/>
          <w:color w:val="000000"/>
          <w:szCs w:val="24"/>
          <w:u w:color="000000"/>
          <w:bdr w:val="nil"/>
        </w:rPr>
        <w:t>Fid-dawl tal-impatt li l-kriżi aktarx ikollha fuq il-persuni l-aktar vulnerabbli fis-soċjetà, il-Kummissjoni tipproponi wkoll li mill-inqas 5 % tan-nefqa totali skont il-Fond Soċjali Ewropew Plus jenħtieġ li tintuża biex tgħin biex it-tfal jinħarġu</w:t>
      </w:r>
      <w:r>
        <w:rPr>
          <w:noProof/>
          <w:color w:val="000000"/>
          <w:szCs w:val="24"/>
          <w:u w:color="000000"/>
          <w:bdr w:val="nil"/>
        </w:rPr>
        <w:t xml:space="preserve"> mill-faqar.</w:t>
      </w:r>
    </w:p>
    <w:p w:rsidR="00F25D64" w:rsidRDefault="002A4170">
      <w:pPr>
        <w:spacing w:before="120" w:after="120"/>
        <w:rPr>
          <w:rFonts w:eastAsia="Arial Unicode MS" w:cs="Arial Unicode MS"/>
          <w:noProof/>
          <w:color w:val="000000"/>
          <w:szCs w:val="24"/>
          <w:u w:color="000000"/>
          <w:bdr w:val="nil"/>
        </w:rPr>
      </w:pPr>
      <w:r>
        <w:rPr>
          <w:noProof/>
          <w:color w:val="000000"/>
          <w:szCs w:val="24"/>
          <w:u w:color="000000"/>
          <w:bdr w:val="nil"/>
        </w:rPr>
        <w:t>Se tiġi pprovduta assistenza teknika biex l-Istati Membri jimmassimizzaw il-benefiċċji kombinati tal-programmi tal-politika ta’ koeżjoni l-ġodda u l-programmi attwali taħt REACT-EU.</w:t>
      </w:r>
    </w:p>
    <w:p w:rsidR="00F25D64" w:rsidRDefault="002A4170">
      <w:pPr>
        <w:spacing w:before="120" w:after="120"/>
        <w:rPr>
          <w:noProof/>
        </w:rPr>
      </w:pPr>
      <w:r>
        <w:rPr>
          <w:noProof/>
          <w:color w:val="000000"/>
          <w:szCs w:val="24"/>
          <w:u w:color="000000"/>
          <w:bdr w:val="nil"/>
        </w:rPr>
        <w:t>Il-proposti riveduti jipprevedu wkoll flessibbiltà akbar għat</w:t>
      </w:r>
      <w:r>
        <w:rPr>
          <w:noProof/>
          <w:color w:val="000000"/>
          <w:szCs w:val="24"/>
          <w:u w:color="000000"/>
          <w:bdr w:val="nil"/>
        </w:rPr>
        <w:t xml:space="preserve">-trasferimenti bejn il-fondi u jintroduċu provvedimenti ġodda biex jiġu attivati f’sitwazzjonijiet ta’ emerġenza. </w:t>
      </w:r>
      <w:r>
        <w:rPr>
          <w:noProof/>
        </w:rPr>
        <w:t>Biex jiġi żgurat li jkun hemm biżżejjed appoġġ lill-Istati Membri u lir-reġjuni l-aktar fil-bżonn, il-proposti riveduti tal-Kummissjoni jippre</w:t>
      </w:r>
      <w:r>
        <w:rPr>
          <w:noProof/>
        </w:rPr>
        <w:t>vedu wkoll rieżami tal-allokazzjonijiet tal-koeżjoni nazzjonali fl-2024, huma u jitqiesu l-istatistiċi li kienu disponibbli l-aħħar. Dan ir-rieżami se jwassal biss għal aġġustamenti ’l fuq ta’ sa EUR 10 biljun għall-Istati Membri kollha.</w:t>
      </w:r>
    </w:p>
    <w:p w:rsidR="00F25D64" w:rsidRDefault="002A4170">
      <w:pPr>
        <w:pStyle w:val="ListParagraph"/>
        <w:keepNext/>
        <w:numPr>
          <w:ilvl w:val="0"/>
          <w:numId w:val="31"/>
        </w:numPr>
        <w:spacing w:before="120" w:after="120"/>
        <w:ind w:hanging="357"/>
        <w:contextualSpacing w:val="0"/>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lastRenderedPageBreak/>
        <w:t>Appoġġ għal tranżi</w:t>
      </w:r>
      <w:r>
        <w:rPr>
          <w:rFonts w:ascii="Times New Roman" w:hAnsi="Times New Roman"/>
          <w:b/>
          <w:i/>
          <w:noProof/>
          <w:color w:val="000000"/>
          <w:sz w:val="24"/>
          <w:szCs w:val="24"/>
          <w:u w:color="000000"/>
          <w:bdr w:val="nil"/>
        </w:rPr>
        <w:t>zzjoni ġusta</w:t>
      </w:r>
    </w:p>
    <w:p w:rsidR="00F25D64" w:rsidRDefault="002A4170">
      <w:pPr>
        <w:spacing w:before="100" w:beforeAutospacing="1" w:after="100" w:afterAutospacing="1"/>
        <w:rPr>
          <w:noProof/>
          <w:color w:val="000000"/>
          <w:szCs w:val="24"/>
        </w:rPr>
      </w:pPr>
      <w:r>
        <w:rPr>
          <w:noProof/>
          <w:color w:val="000000"/>
          <w:szCs w:val="24"/>
        </w:rPr>
        <w:t>L-irkupru u l-prosperità futura tal-Ewropa se jiddependu fuq il-passi li nieħdu issa biex inħejju għat-tranżizzjoni għal ekonomija newtrali għall-klima, effiċjenti fir-riżorsi u ċirkolari. Dan it-tibdil se jaffettwa lill-Ewropej kollha iżda l-</w:t>
      </w:r>
      <w:r>
        <w:rPr>
          <w:noProof/>
          <w:color w:val="000000"/>
          <w:szCs w:val="24"/>
        </w:rPr>
        <w:t>piż tal-aġġustament se jkun itqal għal xi setturi u reġjuni minn oħrajn. Bħala parti mill-pakkett ta’ rkupru, il-Kummissjoni qed tipproponi li tuża Next Generation EU biex tipprovdi assistenza finanzjarja biex takkumpanja t-trasformazzjoni tal-ekonomija Ew</w:t>
      </w:r>
      <w:r>
        <w:rPr>
          <w:noProof/>
          <w:color w:val="000000"/>
          <w:szCs w:val="24"/>
        </w:rPr>
        <w:t xml:space="preserve">ropea u biex tiżgura li ħadd ma jitħalla lura. </w:t>
      </w:r>
    </w:p>
    <w:p w:rsidR="00F25D64" w:rsidRDefault="002A4170">
      <w:pPr>
        <w:spacing w:before="100" w:beforeAutospacing="1" w:after="100" w:afterAutospacing="1"/>
        <w:rPr>
          <w:noProof/>
          <w:color w:val="000000"/>
          <w:szCs w:val="24"/>
        </w:rPr>
      </w:pPr>
      <w:r>
        <w:rPr>
          <w:noProof/>
          <w:color w:val="000000"/>
          <w:szCs w:val="24"/>
        </w:rPr>
        <w:t>B’mod partikolari, il-Kummissjoni qed tipproponi li tipprovdi finanzjament addizzjonali sostanzjali ta’ EUR 30 biljun għall-</w:t>
      </w:r>
      <w:r>
        <w:rPr>
          <w:b/>
          <w:noProof/>
          <w:color w:val="000000"/>
          <w:szCs w:val="24"/>
        </w:rPr>
        <w:t>Fond għal Tranżizzjoni Ġusta</w:t>
      </w:r>
      <w:r>
        <w:rPr>
          <w:noProof/>
          <w:color w:val="000000"/>
          <w:szCs w:val="24"/>
        </w:rPr>
        <w:t>, biex it-total jiġi ta’ EUR 40 biljun. Dan il-finanzjam</w:t>
      </w:r>
      <w:r>
        <w:rPr>
          <w:noProof/>
          <w:color w:val="000000"/>
          <w:szCs w:val="24"/>
        </w:rPr>
        <w:t>ent se jintuża biex jittaffew l-impatti soċjo-ekonomiċi tat-tranżizzjoni lejn in-newtralità klimatika fir-reġjuni l-aktar affettwati, billi pereżempju jappoġġa t-taħriġ mill-ġdid tal-ħaddiema, jgħin lill-SMEs joħolqu opportunitajiet ekonomiċi ġodda, u b’in</w:t>
      </w:r>
      <w:r>
        <w:rPr>
          <w:noProof/>
          <w:color w:val="000000"/>
          <w:szCs w:val="24"/>
        </w:rPr>
        <w:t>vestiment fit-tranżizzjoni lejn l-enerġija nadifa u fl-ekonomija ċirkolari.</w:t>
      </w:r>
      <w:r>
        <w:rPr>
          <w:noProof/>
          <w:color w:val="000000"/>
          <w:szCs w:val="24"/>
          <w:u w:color="000000"/>
          <w:bdr w:val="nil"/>
        </w:rPr>
        <w:t xml:space="preserve"> Aktar finanzjament għall-InvestEU se jfisser ukoll li t-tieni pilastru tal-Mekkaniżmu ta' Tranżizzjoni Ġusta se jissaħħaħ. Il-Kummissjoni qed tagħmel ukoll proposti biex tistabbili</w:t>
      </w:r>
      <w:r>
        <w:rPr>
          <w:noProof/>
          <w:color w:val="000000"/>
          <w:szCs w:val="24"/>
          <w:u w:color="000000"/>
          <w:bdr w:val="nil"/>
        </w:rPr>
        <w:t xml:space="preserve">xxi l-faċilità ta' self għas-settur pubbliku li tifforma t-tielet pilastru tal-Mekkaniżmu ta' Tranżizzjoni Ġusta. </w:t>
      </w:r>
      <w:r>
        <w:rPr>
          <w:noProof/>
          <w:szCs w:val="24"/>
        </w:rPr>
        <w:t>Dan se jiġi appoġġat minn EUR 1,5 biljun mill-baġit tal-UE</w:t>
      </w:r>
      <w:r>
        <w:rPr>
          <w:rStyle w:val="FootnoteReference"/>
          <w:noProof/>
          <w:szCs w:val="24"/>
        </w:rPr>
        <w:footnoteReference w:id="8"/>
      </w:r>
      <w:r>
        <w:rPr>
          <w:noProof/>
          <w:szCs w:val="24"/>
        </w:rPr>
        <w:t xml:space="preserve"> u EUR 10 biljun f’self mill-Bank Ewropew tal-Investiment.</w:t>
      </w:r>
      <w:r>
        <w:rPr>
          <w:noProof/>
          <w:color w:val="000000"/>
          <w:szCs w:val="24"/>
          <w:u w:color="000000"/>
          <w:bdr w:val="nil"/>
        </w:rPr>
        <w:t xml:space="preserve"> Meħudin flimkien, it-tliet pilastri tal-Mekkaniżmu ta' Tranżizzjoni Ġusta huma mistennija li jimmobilizzaw sa EUR 150 biljun f’investimenti biex jiżguraw li ħadd ma jitħalla lura fit-tranżizzjoni ekoloġika.</w:t>
      </w:r>
    </w:p>
    <w:p w:rsidR="00F25D64" w:rsidRDefault="002A4170">
      <w:pPr>
        <w:spacing w:before="100" w:beforeAutospacing="1" w:after="100" w:afterAutospacing="1"/>
        <w:rPr>
          <w:noProof/>
          <w:color w:val="000000"/>
        </w:rPr>
      </w:pPr>
      <w:r>
        <w:rPr>
          <w:noProof/>
          <w:color w:val="000000"/>
          <w:szCs w:val="24"/>
        </w:rPr>
        <w:t>Iż-żoni rurali se jkollhom rwol vitali x’jaqdu b</w:t>
      </w:r>
      <w:r>
        <w:rPr>
          <w:noProof/>
          <w:color w:val="000000"/>
          <w:szCs w:val="24"/>
        </w:rPr>
        <w:t>iex jimplimentaw it-tranżizzjoni ekoloġika u biex jintlaħqu l-miri klimatiċi u ambjentali ambizzjużi tal-Ewropa. Il-Kummissjoni qed tipproponi li jissaħħaħ il-baġit għall-</w:t>
      </w:r>
      <w:r>
        <w:rPr>
          <w:b/>
          <w:noProof/>
          <w:color w:val="000000"/>
          <w:szCs w:val="24"/>
        </w:rPr>
        <w:t>Fond Agrikolu Ewropew għall-Iżvilupp Rurali</w:t>
      </w:r>
      <w:r>
        <w:rPr>
          <w:noProof/>
          <w:color w:val="000000"/>
          <w:szCs w:val="24"/>
        </w:rPr>
        <w:t xml:space="preserve"> b’EUR 15 biljun biex jappoġġa lill-bdiewa</w:t>
      </w:r>
      <w:r>
        <w:rPr>
          <w:noProof/>
          <w:color w:val="000000"/>
          <w:szCs w:val="24"/>
        </w:rPr>
        <w:t xml:space="preserve"> u liż-żoni rurali biex jagħmlu t-tibdil strutturali meħtieġ għall-implimentazzjoni tal-Patt Ekoloġiku Ewropew, u b’mod partikolari biex tappoġġa l-kisba tal-miri ambizzjużi fl-istrateġiji tal-bijodiversità u “Mill-Għalqa sal-Platt”. </w:t>
      </w:r>
      <w:r>
        <w:rPr>
          <w:noProof/>
          <w:color w:val="000000"/>
        </w:rPr>
        <w:t xml:space="preserve"> </w:t>
      </w:r>
    </w:p>
    <w:p w:rsidR="00F25D64" w:rsidRDefault="002A4170">
      <w:pPr>
        <w:pStyle w:val="ListParagraph"/>
        <w:keepNext/>
        <w:numPr>
          <w:ilvl w:val="0"/>
          <w:numId w:val="40"/>
        </w:numPr>
        <w:spacing w:before="120" w:after="120"/>
        <w:ind w:left="363" w:hanging="357"/>
        <w:rPr>
          <w:rFonts w:ascii="Times New Roman" w:eastAsia="Arial Unicode MS" w:hAnsi="Times New Roman" w:cs="Times New Roman"/>
          <w:b/>
          <w:noProof/>
          <w:color w:val="000000"/>
          <w:sz w:val="24"/>
          <w:szCs w:val="24"/>
          <w:u w:val="single" w:color="000000"/>
          <w:bdr w:val="nil"/>
        </w:rPr>
      </w:pPr>
      <w:r>
        <w:rPr>
          <w:rFonts w:ascii="Times New Roman" w:hAnsi="Times New Roman"/>
          <w:b/>
          <w:noProof/>
          <w:color w:val="000000"/>
          <w:sz w:val="24"/>
          <w:szCs w:val="24"/>
          <w:u w:val="single" w:color="000000"/>
          <w:bdr w:val="nil"/>
        </w:rPr>
        <w:t xml:space="preserve">Inqajmu l-ekonomija </w:t>
      </w:r>
      <w:r>
        <w:rPr>
          <w:rFonts w:ascii="Times New Roman" w:hAnsi="Times New Roman"/>
          <w:b/>
          <w:noProof/>
          <w:color w:val="000000"/>
          <w:sz w:val="24"/>
          <w:szCs w:val="24"/>
          <w:u w:val="single" w:color="000000"/>
          <w:bdr w:val="nil"/>
        </w:rPr>
        <w:t>u ngħinu biex l-investiment privat jerġa’ jibda jiċċaqlaq</w:t>
      </w:r>
    </w:p>
    <w:p w:rsidR="00F25D64" w:rsidRDefault="002A4170">
      <w:pPr>
        <w:pBdr>
          <w:top w:val="single" w:sz="18" w:space="1" w:color="FEC00F" w:themeColor="accent2"/>
          <w:left w:val="single" w:sz="18" w:space="4" w:color="FEC00F" w:themeColor="accent2"/>
          <w:bottom w:val="single" w:sz="18" w:space="1" w:color="FEC00F" w:themeColor="accent2"/>
          <w:right w:val="single" w:sz="18" w:space="4" w:color="FEC00F" w:themeColor="accent2"/>
        </w:pBdr>
        <w:spacing w:before="120" w:after="120"/>
        <w:rPr>
          <w:rFonts w:eastAsia="Arial Unicode MS" w:cs="Arial Unicode MS"/>
          <w:b/>
          <w:i/>
          <w:noProof/>
          <w:color w:val="000000"/>
          <w:szCs w:val="24"/>
          <w:u w:val="single" w:color="000000"/>
          <w:bdr w:val="nil"/>
        </w:rPr>
      </w:pPr>
      <w:r>
        <w:rPr>
          <w:i/>
          <w:noProof/>
          <w:color w:val="000000"/>
          <w:szCs w:val="24"/>
          <w:u w:color="000000"/>
          <w:bdr w:val="nil"/>
          <w:lang w:val="fr-BE" w:eastAsia="fr-BE"/>
        </w:rPr>
        <w:drawing>
          <wp:anchor distT="0" distB="0" distL="114300" distR="114300" simplePos="0" relativeHeight="251656704" behindDoc="0" locked="0" layoutInCell="1" allowOverlap="1">
            <wp:simplePos x="0" y="0"/>
            <wp:positionH relativeFrom="column">
              <wp:posOffset>5113557</wp:posOffset>
            </wp:positionH>
            <wp:positionV relativeFrom="paragraph">
              <wp:posOffset>166468</wp:posOffset>
            </wp:positionV>
            <wp:extent cx="723600" cy="723600"/>
            <wp:effectExtent l="0" t="0" r="635" b="0"/>
            <wp:wrapSquare wrapText="bothSides"/>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3600" cy="723600"/>
                    </a:xfrm>
                    <a:prstGeom prst="rect">
                      <a:avLst/>
                    </a:prstGeom>
                  </pic:spPr>
                </pic:pic>
              </a:graphicData>
            </a:graphic>
            <wp14:sizeRelH relativeFrom="page">
              <wp14:pctWidth>0</wp14:pctWidth>
            </wp14:sizeRelH>
            <wp14:sizeRelV relativeFrom="page">
              <wp14:pctHeight>0</wp14:pctHeight>
            </wp14:sizeRelV>
          </wp:anchor>
        </w:drawing>
      </w:r>
      <w:r>
        <w:rPr>
          <w:i/>
          <w:noProof/>
        </w:rPr>
        <w:t>Hija meħtieġa azzjoni urġenti biex l-ekonomija tqum u jinħolqu l-kundizzjonijiet għal irkupru mmexxi mill-investiment privat fis-setturi u t-teknoloġiji ewlenin.</w:t>
      </w:r>
      <w:r>
        <w:rPr>
          <w:i/>
          <w:noProof/>
          <w:color w:val="000000"/>
          <w:szCs w:val="24"/>
          <w:u w:color="000000"/>
          <w:bdr w:val="nil"/>
        </w:rPr>
        <w:t xml:space="preserve"> Il-Kummissjoni għalhekk qed tipprop</w:t>
      </w:r>
      <w:r>
        <w:rPr>
          <w:i/>
          <w:noProof/>
          <w:color w:val="000000"/>
          <w:szCs w:val="24"/>
          <w:u w:color="000000"/>
          <w:bdr w:val="nil"/>
        </w:rPr>
        <w:t xml:space="preserve">oni li </w:t>
      </w:r>
      <w:r>
        <w:rPr>
          <w:b/>
          <w:i/>
          <w:noProof/>
          <w:color w:val="000000"/>
          <w:szCs w:val="24"/>
          <w:u w:color="000000"/>
          <w:bdr w:val="nil"/>
        </w:rPr>
        <w:t>ssaħħaħ lill-InvestEU</w:t>
      </w:r>
      <w:r>
        <w:rPr>
          <w:i/>
          <w:noProof/>
          <w:color w:val="000000"/>
          <w:szCs w:val="24"/>
          <w:u w:color="000000"/>
          <w:bdr w:val="nil"/>
        </w:rPr>
        <w:t xml:space="preserve">, il-programm emblematiku ta’ investiment tal-Ewropa, biex timmobilizza l-investiment privat fi proġetti strateġiċi madwar l-Unjoni. Bħala parti minn dan, il-Kummissjoni tipproponi li toħloq </w:t>
      </w:r>
      <w:r>
        <w:rPr>
          <w:b/>
          <w:i/>
          <w:noProof/>
          <w:color w:val="000000"/>
          <w:szCs w:val="24"/>
          <w:u w:color="000000"/>
          <w:bdr w:val="nil"/>
        </w:rPr>
        <w:t xml:space="preserve">Faċilità ġdida ta' Investiment </w:t>
      </w:r>
      <w:r>
        <w:rPr>
          <w:b/>
          <w:i/>
          <w:noProof/>
          <w:color w:val="000000"/>
          <w:szCs w:val="24"/>
          <w:u w:color="000000"/>
          <w:bdr w:val="nil"/>
        </w:rPr>
        <w:t>Strateġiku</w:t>
      </w:r>
      <w:r>
        <w:rPr>
          <w:i/>
          <w:noProof/>
          <w:color w:val="000000"/>
          <w:szCs w:val="24"/>
          <w:u w:color="000000"/>
          <w:bdr w:val="nil"/>
        </w:rPr>
        <w:t xml:space="preserve"> biex tinvesti fi ktajjen tal-valur ewlenin kruċjali għar-reżiljenza u l-awtonomija strateġika futuri tal-Ewropa. Kumpaniji f'saħħithom li jista’ jsir investiment fihom huma prerekwiżit għas-suċċess f’din il-kampanja għall-investiment, iżda mijie</w:t>
      </w:r>
      <w:r>
        <w:rPr>
          <w:i/>
          <w:noProof/>
          <w:color w:val="000000"/>
          <w:szCs w:val="24"/>
          <w:u w:color="000000"/>
          <w:bdr w:val="nil"/>
        </w:rPr>
        <w:t xml:space="preserve">t ta’ eluf ta’ kumpaniji aktarx li se jaqgħu taħt pressjoni qawwija ta’ finanzjament sa tmiem is-sena. Għaldaqstant, il-Kummissjoni qed tippropon </w:t>
      </w:r>
      <w:r>
        <w:rPr>
          <w:b/>
          <w:i/>
          <w:noProof/>
          <w:color w:val="000000"/>
          <w:szCs w:val="24"/>
          <w:u w:color="000000"/>
          <w:bdr w:val="nil"/>
        </w:rPr>
        <w:t>Strument ta’ Appoġġ għas-Solvenza</w:t>
      </w:r>
      <w:r>
        <w:rPr>
          <w:i/>
          <w:noProof/>
          <w:color w:val="000000"/>
          <w:szCs w:val="24"/>
          <w:u w:color="000000"/>
          <w:bdr w:val="nil"/>
        </w:rPr>
        <w:t xml:space="preserve"> ġdid biex jipprovdi appoġġ urġenti lil kumpaniji sodi li qegħdin fir-riskju </w:t>
      </w:r>
      <w:r>
        <w:rPr>
          <w:i/>
          <w:noProof/>
          <w:color w:val="000000"/>
          <w:szCs w:val="24"/>
          <w:u w:color="000000"/>
          <w:bdr w:val="nil"/>
        </w:rPr>
        <w:t xml:space="preserve">kaġun tal-kriżi, u jgħinhom jgħaddu minn din il-burraxka. L-istrument għandu jibda jopera minn din is-sena stess. </w:t>
      </w:r>
    </w:p>
    <w:p w:rsidR="00F25D64" w:rsidRDefault="002A4170">
      <w:pPr>
        <w:pStyle w:val="ListParagraph"/>
        <w:keepNext/>
        <w:numPr>
          <w:ilvl w:val="0"/>
          <w:numId w:val="31"/>
        </w:numPr>
        <w:pBdr>
          <w:top w:val="nil"/>
          <w:left w:val="nil"/>
          <w:bottom w:val="nil"/>
          <w:right w:val="nil"/>
          <w:between w:val="nil"/>
          <w:bar w:val="nil"/>
        </w:pBdr>
        <w:spacing w:before="120" w:after="120"/>
        <w:ind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Noħolqu salvawom ta’ likwidità u solvenza għal kumpaniji taħt pressjoni</w:t>
      </w:r>
    </w:p>
    <w:p w:rsidR="00F25D64" w:rsidRDefault="002A4170">
      <w:pPr>
        <w:pBdr>
          <w:top w:val="nil"/>
          <w:left w:val="nil"/>
          <w:bottom w:val="nil"/>
          <w:right w:val="nil"/>
          <w:between w:val="nil"/>
          <w:bar w:val="nil"/>
        </w:pBdr>
        <w:spacing w:before="120" w:after="120"/>
        <w:rPr>
          <w:rFonts w:eastAsia="DengXian"/>
          <w:noProof/>
        </w:rPr>
      </w:pPr>
      <w:r>
        <w:rPr>
          <w:noProof/>
        </w:rPr>
        <w:t xml:space="preserve">L-abbiltà tal-ekonomiji Ewropej li jirritornaw għat-tkabbir </w:t>
      </w:r>
      <w:r>
        <w:rPr>
          <w:noProof/>
        </w:rPr>
        <w:t>tiddependi fuq ir-reżiljenza u l-adattabilità tas-settur privat. B’riżultat tal-kriżi, kumpaniji li normalment huma vijabbli qed jesperjenzaw problemi serji ta’ likwidità u solvenza. L-istimi tal-Kummissjoni juru li f’xenarju negattiv, bejn 35 % u 50 % tal</w:t>
      </w:r>
      <w:r>
        <w:rPr>
          <w:noProof/>
        </w:rPr>
        <w:t>-kumpaniji b’aktar minn 20 impjegat jistgħu jesperjenzaw nuqqasijiet ta’ finanzjament sa tmiem is-sena. Il-ħtiġijiet ta’ tiswija tal-ekwità għal din is-sena biss jistgħu jkunu bejn EUR 720 biljun u EUR 1,2 triljun. Bi kriżi ta’ dan id-daqs quddiemna, l-app</w:t>
      </w:r>
      <w:r>
        <w:rPr>
          <w:noProof/>
        </w:rPr>
        <w:t xml:space="preserve">oġġ li bħalissa qed jiġi pprovdut mill-Istati Membri mhuwiex se jkun biżżejjed. Barra minn hekk, l-abbiltà tal-Istati Membri li jappoġġaw lill-kumpaniji tagħhom tvarja ħafna. Għaldaqstant, hija meħtieġa azzjoni urġenti biex tgħin dawn il-kumpaniji jgħaddu </w:t>
      </w:r>
      <w:r>
        <w:rPr>
          <w:noProof/>
        </w:rPr>
        <w:t>minn din il-kriżi, u jiġi evitat ċirku vizzjuż ta’ ħsara ekonomika u fallimenti ta’ kumpaniji, u titwitta triq għal irkupru f'saħħtu fis-suq uniku.</w:t>
      </w:r>
    </w:p>
    <w:p w:rsidR="00F25D64" w:rsidRDefault="002A4170">
      <w:pPr>
        <w:spacing w:before="120" w:after="120"/>
        <w:rPr>
          <w:rFonts w:eastAsia="Arial Unicode MS"/>
          <w:noProof/>
          <w:color w:val="000000"/>
          <w:szCs w:val="24"/>
          <w:bdr w:val="none" w:sz="0" w:space="0" w:color="auto" w:frame="1"/>
        </w:rPr>
      </w:pPr>
      <w:r>
        <w:rPr>
          <w:noProof/>
          <w:color w:val="000000"/>
          <w:szCs w:val="24"/>
          <w:bdr w:val="none" w:sz="0" w:space="0" w:color="auto" w:frame="1"/>
        </w:rPr>
        <w:t xml:space="preserve">Il-Kummissjoni għalhekk qed tipproponi </w:t>
      </w:r>
      <w:r>
        <w:rPr>
          <w:b/>
          <w:noProof/>
          <w:color w:val="000000"/>
          <w:szCs w:val="24"/>
          <w:bdr w:val="none" w:sz="0" w:space="0" w:color="auto" w:frame="1"/>
        </w:rPr>
        <w:t>Strument ta’ Appoġġ għas-Solvenza</w:t>
      </w:r>
      <w:r>
        <w:rPr>
          <w:noProof/>
          <w:color w:val="000000"/>
          <w:szCs w:val="24"/>
          <w:bdr w:val="none" w:sz="0" w:space="0" w:color="auto" w:frame="1"/>
        </w:rPr>
        <w:t xml:space="preserve"> ġdid biex jgħin fil-mobilizzazzjoni</w:t>
      </w:r>
      <w:r>
        <w:rPr>
          <w:noProof/>
          <w:color w:val="000000"/>
          <w:szCs w:val="24"/>
          <w:bdr w:val="none" w:sz="0" w:space="0" w:color="auto" w:frame="1"/>
        </w:rPr>
        <w:t xml:space="preserve"> ta’ riżorsi privati biex jipprovdu appoġġ urġenti lil kumpaniji Ewropej li normalment ikunu vijabbli biex jindirizzaw tħassib ta’ likwidità u ta’ solvenza. L-istrument se jkun temporanju u mmirat unikament u strettament biex jiġi indirizzat l-impatt ekono</w:t>
      </w:r>
      <w:r>
        <w:rPr>
          <w:noProof/>
          <w:color w:val="000000"/>
          <w:szCs w:val="24"/>
          <w:bdr w:val="none" w:sz="0" w:space="0" w:color="auto" w:frame="1"/>
        </w:rPr>
        <w:t xml:space="preserve">miku tal-pandemija. Se jgħin biex jiġu evitati defiċits massivi ta’ kapital u inadempjenzi possibbli ta’ kumpaniji li normalment ikunu vijabbli u l-ħsara ekonomika kbira li dawn jikkawżaw. Dawn il-miżuri b’azzjoni rapida se jiġu kkomplementati minn appoġġ </w:t>
      </w:r>
      <w:r>
        <w:rPr>
          <w:noProof/>
          <w:color w:val="000000"/>
          <w:szCs w:val="24"/>
          <w:bdr w:val="none" w:sz="0" w:space="0" w:color="auto" w:frame="1"/>
        </w:rPr>
        <w:t xml:space="preserve">aktar fit-tul taħt programmi bħal InvestEU, il-politika ta' koeżjoni u l-programm għas-suq uniku. </w:t>
      </w:r>
    </w:p>
    <w:p w:rsidR="00F25D64" w:rsidRDefault="002A4170">
      <w:pPr>
        <w:spacing w:before="100" w:beforeAutospacing="1" w:after="100" w:afterAutospacing="1"/>
        <w:rPr>
          <w:noProof/>
          <w:szCs w:val="24"/>
        </w:rPr>
      </w:pPr>
      <w:r>
        <w:rPr>
          <w:noProof/>
        </w:rPr>
        <w:t>L-istrument temporanju l-ġdid se jinħoloq taħt il-FEIS. Se jimmobilizza l-investiment privat f’kumpaniji li għaddejjin mill-inkwiet billi jipprovdi garanziji</w:t>
      </w:r>
      <w:r>
        <w:rPr>
          <w:noProof/>
        </w:rPr>
        <w:t xml:space="preserve"> parzjali kontra t-telf. Bi provvediment fil-baġit tal-UE ta’ EUR 5 biljun mill-qafas finanzjarju attwali fl-2020 biex jiżgura bidu rapidu u EUR 26 biljun addizzjonali minn Next Generation EU, il-baġit tal-Unjoni se jipprovdi garanzija ta’ madwar EUR 75 bi</w:t>
      </w:r>
      <w:r>
        <w:rPr>
          <w:noProof/>
        </w:rPr>
        <w:t>ljun lill-Grupp tal-Bank Ewropew tal-Investiment, li se jiżgura twettiq rapidu fuq il-post. L-istrument se jkollu l-mira ta’ livell ta’ investiment ta’ EUR 300 biljun f’appoġġ għas-solvenza.</w:t>
      </w:r>
    </w:p>
    <w:p w:rsidR="00F25D64" w:rsidRDefault="002A4170">
      <w:pPr>
        <w:spacing w:before="100" w:beforeAutospacing="1" w:after="100" w:afterAutospacing="1"/>
        <w:rPr>
          <w:noProof/>
        </w:rPr>
      </w:pPr>
      <w:r>
        <w:rPr>
          <w:noProof/>
        </w:rPr>
        <w:t>Il-garanzija se tiġi kalibrata biex tiżgura li l-investimenti jiġ</w:t>
      </w:r>
      <w:r>
        <w:rPr>
          <w:noProof/>
        </w:rPr>
        <w:t>u mmirati lil dawk il-kumpaniji li għandhom l-akbar ħtieġa ta’ kapital fl-Istati Membri u s-setturi kollha, b’enfasi partikolari fuq l-Istati Membri li huma anqas kapaċi jintervjenu permezz tal-għajnuna mill-istat u fuq l-Istati Membri u s-setturi li fihom</w:t>
      </w:r>
      <w:r>
        <w:rPr>
          <w:noProof/>
        </w:rPr>
        <w:t xml:space="preserve"> l-effetti ekonomiċi tal-COVID-19 kienu l-aktar serji. Dan huwa essenzjali biex jinżammu kundizzjonijiet ekwivalenti ta' kompetizzjoni fis-suq uniku u biex jiġi evitat li jkomplu jikbru d-diverġenzi ekonomiċi dannużi fl-Unjoni. Jenħtieġ li titqies bir-reqq</w:t>
      </w:r>
      <w:r>
        <w:rPr>
          <w:noProof/>
        </w:rPr>
        <w:t>a s-sitwazzjoni kapitali tal-istituzzjonijiet li jimplimentaw l-Istrument ta’ Appoġġ għas-Solvenza.</w:t>
      </w:r>
    </w:p>
    <w:p w:rsidR="00F25D64" w:rsidRDefault="002A4170">
      <w:pPr>
        <w:spacing w:before="120" w:after="120"/>
        <w:rPr>
          <w:noProof/>
        </w:rPr>
      </w:pPr>
      <w:r>
        <w:rPr>
          <w:noProof/>
        </w:rPr>
        <w:t>Barra minn hekk, bħala miżura komplementari, il-kapital tal-Fond Ewropew tal-Investiment se jiżdied biex jipprovdi appoġġ lil firxa wiesgħa ta’ intrapriżi ż</w:t>
      </w:r>
      <w:r>
        <w:rPr>
          <w:noProof/>
        </w:rPr>
        <w:t>għar u medji, inkluż permezz tal-implimentazzjoni tal-Istrument ta’ Appoġġ għas-Solvenza. Dan se jkompli jżid mal-bini ta’ pakkett komprensiv għall-irkupru Ewropew, ukoll flimkien mal-miżuri miftiehma mill-Kunsill Ewropew f’April. Iż-żieda kapitali li se t</w:t>
      </w:r>
      <w:r>
        <w:rPr>
          <w:noProof/>
        </w:rPr>
        <w:t>asal sa EUR 1,5 biljun se tiġi ffinanzjata kemm taħt il-qafas finanzjarju pluriennali preżenti kif ukoll dak li jmiss.</w:t>
      </w:r>
    </w:p>
    <w:p w:rsidR="00F25D64" w:rsidRDefault="002A4170">
      <w:pPr>
        <w:pStyle w:val="ListParagraph"/>
        <w:keepNext/>
        <w:numPr>
          <w:ilvl w:val="0"/>
          <w:numId w:val="31"/>
        </w:numPr>
        <w:spacing w:before="120" w:after="120"/>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Kapaċità tal-investiment u awtonomija strateġika msaħħa</w:t>
      </w:r>
    </w:p>
    <w:p w:rsidR="00F25D64" w:rsidRDefault="002A4170">
      <w:pPr>
        <w:spacing w:before="100" w:beforeAutospacing="1" w:after="100" w:afterAutospacing="1"/>
        <w:rPr>
          <w:noProof/>
        </w:rPr>
      </w:pPr>
      <w:r>
        <w:rPr>
          <w:noProof/>
          <w:color w:val="000000"/>
          <w:szCs w:val="24"/>
          <w:u w:color="000000"/>
          <w:bdr w:val="nil"/>
        </w:rPr>
        <w:t>L-investiment privat se jintlaqat ħafna mill-kriżi: l-analiżi tal-Kummissjoni tis</w:t>
      </w:r>
      <w:r>
        <w:rPr>
          <w:noProof/>
          <w:color w:val="000000"/>
          <w:szCs w:val="24"/>
          <w:u w:color="000000"/>
          <w:bdr w:val="nil"/>
        </w:rPr>
        <w:t>suġġerixxi li l-investiment tas-settur privat jista’ jonqos b’aktar minn EUR 1 triljun fl-2020–2021. Biex jiġu ssodisfati l-ħtiġijiet ta’ investiment tal-ekonomija Ewropea se jkun hemm bżonn azzjoni urġenti biex din ix-xejra titreġġa’ lura u tqiegħed il-ku</w:t>
      </w:r>
      <w:r>
        <w:rPr>
          <w:noProof/>
          <w:color w:val="000000"/>
          <w:szCs w:val="24"/>
          <w:u w:color="000000"/>
          <w:bdr w:val="nil"/>
        </w:rPr>
        <w:t xml:space="preserve">ndizzjonijiet meħtieġa għal irkupru mmexxi mill-investiment. </w:t>
      </w:r>
      <w:r>
        <w:rPr>
          <w:noProof/>
        </w:rPr>
        <w:t xml:space="preserve">Dan l-investiment huwa partikolarment kruċjali għas-suċċess tat-tranżizzjonijiet ekoloġiċi u diġitali tal-Ewropa, fejn il-Kummissjoni tistma li l-ħtiġijiet tal-investiment jammontaw għal </w:t>
      </w:r>
      <w:r>
        <w:rPr>
          <w:noProof/>
        </w:rPr>
        <w:t>mill-inqas EUR 1,2 triljun fl-istess perjodu. L-investiment fis-setturi u t-teknoloġiji ewlenin, mill-5G sal-intelliġenza artifiċjali, mill-idroġenu nadif għall-enerġija rinnovabbli offshore, huwa l-muftieħ għall-ġejjieni tal-Ewropa.</w:t>
      </w:r>
    </w:p>
    <w:p w:rsidR="00F25D64" w:rsidRDefault="002A4170">
      <w:pPr>
        <w:spacing w:before="100" w:beforeAutospacing="1" w:after="100" w:afterAutospacing="1"/>
        <w:rPr>
          <w:noProof/>
        </w:rPr>
      </w:pPr>
      <w:r>
        <w:rPr>
          <w:noProof/>
        </w:rPr>
        <w:t xml:space="preserve">Il-programm </w:t>
      </w:r>
      <w:r>
        <w:rPr>
          <w:b/>
          <w:noProof/>
        </w:rPr>
        <w:t>InvestEU</w:t>
      </w:r>
      <w:r>
        <w:rPr>
          <w:noProof/>
        </w:rPr>
        <w:t xml:space="preserve"> h</w:t>
      </w:r>
      <w:r>
        <w:rPr>
          <w:noProof/>
        </w:rPr>
        <w:t xml:space="preserve">uwa uniku f’kemm jista’ jimmobilizza l-investiment u jappoġġa l-politiki tal-Unjoni tul l-irkupru minn kriżi ekonomika profonda. Dan ġie muri sew mill-esperjenza fl-implimentazzjoni tal-Fond Ewropew għall-Investimenti Strateġiċi u l-istrumenti finanzjarji </w:t>
      </w:r>
      <w:r>
        <w:rPr>
          <w:noProof/>
        </w:rPr>
        <w:t>wara l-kriżi finanzjarja li għaddiet.</w:t>
      </w:r>
    </w:p>
    <w:p w:rsidR="00F25D64" w:rsidRDefault="002A4170">
      <w:pPr>
        <w:spacing w:before="100" w:beforeAutospacing="1" w:after="100" w:afterAutospacing="1"/>
        <w:rPr>
          <w:noProof/>
        </w:rPr>
      </w:pPr>
      <w:r>
        <w:rPr>
          <w:noProof/>
        </w:rPr>
        <w:t xml:space="preserve">Il-Kummissjoni għaldaqstant qed tipproponi li </w:t>
      </w:r>
      <w:r>
        <w:rPr>
          <w:b/>
          <w:noProof/>
        </w:rPr>
        <w:t>InvestEU</w:t>
      </w:r>
      <w:r>
        <w:rPr>
          <w:noProof/>
        </w:rPr>
        <w:t xml:space="preserve"> tissaħħaħ għal livell ta’ EUR 15,3 biljun għall-erba’ twieqi ta’ politika diġà maqbula mill-koleġiżlaturi. Dan jista’ jiskatta investiment ta’ aktar minn EUR 240 b</w:t>
      </w:r>
      <w:r>
        <w:rPr>
          <w:noProof/>
        </w:rPr>
        <w:t>iljun.</w:t>
      </w:r>
    </w:p>
    <w:p w:rsidR="00F25D64" w:rsidRDefault="002A4170">
      <w:pPr>
        <w:spacing w:before="120" w:after="120"/>
        <w:rPr>
          <w:rFonts w:eastAsia="DengXian"/>
          <w:noProof/>
          <w:szCs w:val="24"/>
        </w:rPr>
      </w:pPr>
      <w:r>
        <w:rPr>
          <w:noProof/>
        </w:rPr>
        <w:t xml:space="preserve">L-InvestEU se jipprovdi appoġġ kruċjali għal kumpaniji fil-fażi tal-irkupru u jiżgura enfasi qawwija fost l-investituri fuq il-prijoritajiet ta’ politika fi żmien medju u fit-tul, b’mod partikolari l-Patt Ekoloġiku Ewropew u d-diġitalizzazzjoni. Se </w:t>
      </w:r>
      <w:r>
        <w:rPr>
          <w:noProof/>
        </w:rPr>
        <w:t>jżid il-kapaċità ta’ teħid ta’ riskji tal-Grupp tal-Bank Ewropew tal-Investiment u l-Banek Promozzjonali Nazzjonali b’appoġġ għall-irkupru ekonomiku. Billi jimmobilizza investiment privat sinifikanti, se jikkomplementa l-appoġġ immedjat ipprovdut tul il-fa</w:t>
      </w:r>
      <w:r>
        <w:rPr>
          <w:noProof/>
        </w:rPr>
        <w:t>żi tat-tiswija tal-kriżi mill-Istrument ta’ Appoġġ għas-Solvenza u REACT-EU, u l-finanzjament skont il-qafas futur mill-politika ta’ koeżjoni u programmi oħrajn.</w:t>
      </w:r>
    </w:p>
    <w:p w:rsidR="00F25D64" w:rsidRDefault="002A4170">
      <w:pPr>
        <w:keepNext/>
        <w:spacing w:before="100" w:beforeAutospacing="1" w:after="100" w:afterAutospacing="1"/>
        <w:rPr>
          <w:i/>
          <w:noProof/>
          <w:szCs w:val="24"/>
        </w:rPr>
      </w:pPr>
      <w:r>
        <w:rPr>
          <w:i/>
          <w:noProof/>
          <w:szCs w:val="24"/>
        </w:rPr>
        <w:t>Ninvestu fl-awtonomija strateġika: Faċilità għall-Investiment Strateġiku ġdida</w:t>
      </w:r>
    </w:p>
    <w:p w:rsidR="00F25D64" w:rsidRDefault="002A4170">
      <w:pPr>
        <w:spacing w:before="100" w:beforeAutospacing="1" w:after="100" w:afterAutospacing="1"/>
        <w:rPr>
          <w:noProof/>
        </w:rPr>
      </w:pPr>
      <w:r>
        <w:rPr>
          <w:noProof/>
        </w:rPr>
        <w:t xml:space="preserve">Karatteristika </w:t>
      </w:r>
      <w:r>
        <w:rPr>
          <w:noProof/>
        </w:rPr>
        <w:t>ewlenija tal-InvestEU se tkun faċilità ġdida biex iżżid ir-reżiljenza tal-Ewropa billi tinbena l-awtonomija strateġika fi ktajjen tal-valur essenzjali fil-livell Ewropew.</w:t>
      </w:r>
    </w:p>
    <w:p w:rsidR="00F25D64" w:rsidRDefault="002A4170">
      <w:pPr>
        <w:spacing w:before="100" w:beforeAutospacing="1" w:after="100" w:afterAutospacing="1"/>
        <w:rPr>
          <w:noProof/>
          <w:szCs w:val="24"/>
        </w:rPr>
      </w:pPr>
      <w:r>
        <w:rPr>
          <w:noProof/>
        </w:rPr>
        <w:t xml:space="preserve">Se tinħoloq </w:t>
      </w:r>
      <w:r>
        <w:rPr>
          <w:b/>
          <w:noProof/>
          <w:szCs w:val="24"/>
        </w:rPr>
        <w:t>Faċilità għall-Investiment Strateġiku</w:t>
      </w:r>
      <w:r>
        <w:rPr>
          <w:noProof/>
        </w:rPr>
        <w:t xml:space="preserve"> bħala tieqa addizzjonali taħt Inves</w:t>
      </w:r>
      <w:r>
        <w:rPr>
          <w:noProof/>
        </w:rPr>
        <w:t xml:space="preserve">tEU. Din il-faċilità se tappoġġa proġetti li jikkontribwixxu għall-bini ta’ ktajjen tal-valur b'saħħithom u reżiljenti madwar l-UE u jsaħħu l-awtonomija tas-suq uniku tal-Unjoni, filwaqt li żżomm il-ftuħ tagħha għall-kompetizzjoni u l-kummerċ f’konformità </w:t>
      </w:r>
      <w:r>
        <w:rPr>
          <w:noProof/>
        </w:rPr>
        <w:t>mar-regoli tagħha. Dan se jsaħħaħ ir-reżiljenza tal-ekonomija tal-Unjoni filwaqt li tipprovdi r-riżorsi għal kumpaniji strateġikament importanti biex jiffjorixxu u jikbru fl-UE. L-appoġġ mill-Istati Membri għal dawn il-proġetti aktarx li mhux se jkun biżże</w:t>
      </w:r>
      <w:r>
        <w:rPr>
          <w:noProof/>
        </w:rPr>
        <w:t>jjed u d-dimensjoni transfruntiera qawwija tfisser li approċċ koordinat Ewropew se jkun essenzjali għas-suċċess.</w:t>
      </w:r>
    </w:p>
    <w:p w:rsidR="00F25D64" w:rsidRDefault="002A4170">
      <w:pPr>
        <w:pBdr>
          <w:top w:val="nil"/>
          <w:left w:val="nil"/>
          <w:bottom w:val="nil"/>
          <w:right w:val="nil"/>
          <w:between w:val="nil"/>
          <w:bar w:val="nil"/>
        </w:pBdr>
        <w:spacing w:before="120" w:after="120"/>
        <w:rPr>
          <w:rFonts w:eastAsia="Arial Unicode MS"/>
          <w:b/>
          <w:i/>
          <w:noProof/>
          <w:color w:val="000000"/>
          <w:szCs w:val="24"/>
          <w:u w:color="000000"/>
          <w:bdr w:val="nil"/>
        </w:rPr>
      </w:pPr>
      <w:r>
        <w:rPr>
          <w:noProof/>
        </w:rPr>
        <w:t>Bi provvediment ta’ EUR 15-il biljun minn Next Generation EU, il-faċilità l-ġdida tipprovdi garanzija tal-UE ta’ EUR 31,5 biljun u tista’ tiġġe</w:t>
      </w:r>
      <w:r>
        <w:rPr>
          <w:noProof/>
        </w:rPr>
        <w:t>nera investimenti li jaslu sa EUR 150 biljun biex jinċentivizzaw it-tmexxija industrijali Ewropea f’setturi strateġiċi u ktajjen tal-valur ewlenin, inklużi dawk li huma kruċjali għat-tranżizzjonijiet tewmin ekoloġiċi u diġitali. It-tieqa se tiżgura li tali</w:t>
      </w:r>
      <w:r>
        <w:rPr>
          <w:noProof/>
        </w:rPr>
        <w:t xml:space="preserve"> investimenti jisfruttaw għalkollox il-potenzjal tas-suq uniku, bil-garanzija tal-UE tappoġġa kumpaniji minn madwar l-ekonomija Ewropea u ssir strument qawwi għall-irkupru.</w:t>
      </w:r>
    </w:p>
    <w:p w:rsidR="00F25D64" w:rsidRDefault="002A4170">
      <w:pPr>
        <w:pStyle w:val="ListParagraph"/>
        <w:keepNext/>
        <w:numPr>
          <w:ilvl w:val="0"/>
          <w:numId w:val="40"/>
        </w:numPr>
        <w:spacing w:before="120" w:after="120"/>
        <w:rPr>
          <w:rFonts w:ascii="Times New Roman" w:eastAsia="Arial Unicode MS" w:hAnsi="Times New Roman" w:cs="Times New Roman"/>
          <w:b/>
          <w:noProof/>
          <w:color w:val="000000"/>
          <w:sz w:val="24"/>
          <w:szCs w:val="24"/>
          <w:u w:val="single" w:color="000000"/>
          <w:bdr w:val="nil"/>
        </w:rPr>
      </w:pPr>
      <w:r>
        <w:rPr>
          <w:rFonts w:ascii="Times New Roman" w:hAnsi="Times New Roman"/>
          <w:b/>
          <w:noProof/>
          <w:color w:val="000000"/>
          <w:sz w:val="24"/>
          <w:szCs w:val="24"/>
          <w:u w:val="single" w:color="000000"/>
          <w:bdr w:val="nil"/>
        </w:rPr>
        <w:t>Nitgħallmu mill-kriżi u nindirizzaw l-isfidi strateġiċi tal-Ewropa</w:t>
      </w:r>
    </w:p>
    <w:p w:rsidR="00F25D64" w:rsidRDefault="002A4170">
      <w:pPr>
        <w:pBdr>
          <w:top w:val="single" w:sz="18" w:space="1" w:color="5F68AB" w:themeColor="accent3"/>
          <w:left w:val="single" w:sz="18" w:space="4" w:color="5F68AB" w:themeColor="accent3"/>
          <w:bottom w:val="single" w:sz="18" w:space="1" w:color="5F68AB" w:themeColor="accent3"/>
          <w:right w:val="single" w:sz="18" w:space="4" w:color="5F68AB" w:themeColor="accent3"/>
        </w:pBdr>
        <w:spacing w:before="120" w:after="120"/>
        <w:rPr>
          <w:rFonts w:eastAsia="Arial Unicode MS" w:cs="Arial Unicode MS"/>
          <w:i/>
          <w:noProof/>
          <w:color w:val="000000"/>
          <w:szCs w:val="24"/>
          <w:u w:color="000000"/>
          <w:bdr w:val="nil"/>
        </w:rPr>
      </w:pPr>
      <w:r>
        <w:rPr>
          <w:i/>
          <w:noProof/>
          <w:color w:val="000000"/>
          <w:szCs w:val="24"/>
          <w:u w:color="000000"/>
          <w:bdr w:val="nil"/>
          <w:lang w:val="fr-BE" w:eastAsia="fr-BE"/>
        </w:rPr>
        <w:drawing>
          <wp:anchor distT="0" distB="0" distL="114300" distR="114300" simplePos="0" relativeHeight="251658752" behindDoc="0" locked="0" layoutInCell="1" allowOverlap="1">
            <wp:simplePos x="0" y="0"/>
            <wp:positionH relativeFrom="column">
              <wp:posOffset>5099490</wp:posOffset>
            </wp:positionH>
            <wp:positionV relativeFrom="paragraph">
              <wp:posOffset>119380</wp:posOffset>
            </wp:positionV>
            <wp:extent cx="722073" cy="723600"/>
            <wp:effectExtent l="0" t="0" r="0" b="0"/>
            <wp:wrapSquare wrapText="bothSides"/>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22073" cy="723600"/>
                    </a:xfrm>
                    <a:prstGeom prst="rect">
                      <a:avLst/>
                    </a:prstGeom>
                  </pic:spPr>
                </pic:pic>
              </a:graphicData>
            </a:graphic>
            <wp14:sizeRelH relativeFrom="page">
              <wp14:pctWidth>0</wp14:pctWidth>
            </wp14:sizeRelH>
            <wp14:sizeRelV relativeFrom="page">
              <wp14:pctHeight>0</wp14:pctHeight>
            </wp14:sizeRelV>
          </wp:anchor>
        </w:drawing>
      </w:r>
      <w:r>
        <w:rPr>
          <w:i/>
          <w:noProof/>
          <w:color w:val="000000"/>
          <w:szCs w:val="24"/>
          <w:u w:color="000000"/>
          <w:bdr w:val="nil"/>
        </w:rPr>
        <w:t xml:space="preserve">Il-kriżi issottolinjat il-valur tal-kooperazzjoni Ewropea kif ukoll uriet b’mod ċar li l-Unjoni għandha b’mod urġenti tibni l-kapaċità tagħha li tirreaġixxi għall-kriżijiet u tibni reżiljenza għal xokkijiet futuri. Il-Kummissjoni qed tipproponi </w:t>
      </w:r>
      <w:r>
        <w:rPr>
          <w:b/>
          <w:i/>
          <w:noProof/>
          <w:color w:val="000000"/>
          <w:szCs w:val="24"/>
          <w:u w:color="000000"/>
          <w:bdr w:val="nil"/>
        </w:rPr>
        <w:t>programm il</w:t>
      </w:r>
      <w:r>
        <w:rPr>
          <w:b/>
          <w:i/>
          <w:noProof/>
          <w:color w:val="000000"/>
          <w:szCs w:val="24"/>
          <w:u w:color="000000"/>
          <w:bdr w:val="nil"/>
        </w:rPr>
        <w:t xml:space="preserve">-ġdid l-UE għas-Saħħa </w:t>
      </w:r>
      <w:r>
        <w:rPr>
          <w:i/>
          <w:noProof/>
          <w:color w:val="000000"/>
          <w:szCs w:val="24"/>
          <w:u w:color="000000"/>
          <w:bdr w:val="nil"/>
        </w:rPr>
        <w:t xml:space="preserve"> biex isaħħaħ is-sigurtà tas-saħħa u jħejji għal kriżijiet futuri tas-saħħa. </w:t>
      </w:r>
      <w:r>
        <w:rPr>
          <w:b/>
          <w:i/>
          <w:noProof/>
          <w:color w:val="000000"/>
          <w:szCs w:val="24"/>
          <w:u w:color="000000"/>
          <w:bdr w:val="nil"/>
        </w:rPr>
        <w:t>RescEU, il-Mekkaniżmu tal-Unjoni għall-Protezzjoni Ċivili</w:t>
      </w:r>
      <w:r>
        <w:rPr>
          <w:i/>
          <w:noProof/>
          <w:color w:val="000000"/>
          <w:szCs w:val="24"/>
          <w:u w:color="000000"/>
          <w:bdr w:val="nil"/>
        </w:rPr>
        <w:t>, se jiġi estiż u msaħħaħ biex jipprovdi lill-Unjoni bi tħejjija għal kriżijiet futuri u twieġeb għa</w:t>
      </w:r>
      <w:r>
        <w:rPr>
          <w:i/>
          <w:noProof/>
          <w:color w:val="000000"/>
          <w:szCs w:val="24"/>
          <w:u w:color="000000"/>
          <w:bdr w:val="nil"/>
        </w:rPr>
        <w:t xml:space="preserve">lihom. </w:t>
      </w:r>
      <w:r>
        <w:rPr>
          <w:b/>
          <w:i/>
          <w:noProof/>
          <w:color w:val="000000"/>
          <w:szCs w:val="24"/>
          <w:u w:color="000000"/>
          <w:bdr w:val="nil"/>
        </w:rPr>
        <w:t>Orizzont Ewropa</w:t>
      </w:r>
      <w:r>
        <w:rPr>
          <w:i/>
          <w:noProof/>
          <w:color w:val="000000"/>
          <w:szCs w:val="24"/>
          <w:u w:color="000000"/>
          <w:bdr w:val="nil"/>
        </w:rPr>
        <w:t xml:space="preserve"> se jissaħħaħ biex jiffinanzja riċerka vitali fis-saħħa, ir-reżiljenza u t-tranżizzjonijiet ekoloġiċi u diġitali. Programmi oħra tal-UE, fosthom l-istrumenti esterni tagħha, se jissaħħu biex jallinjaw il-qafas finanzjarju futur mal-ħt</w:t>
      </w:r>
      <w:r>
        <w:rPr>
          <w:i/>
          <w:noProof/>
          <w:color w:val="000000"/>
          <w:szCs w:val="24"/>
          <w:u w:color="000000"/>
          <w:bdr w:val="nil"/>
        </w:rPr>
        <w:t xml:space="preserve">iġijiet ta’ rkupru u se jissaħħu l-istrumenti speċjali </w:t>
      </w:r>
      <w:r>
        <w:rPr>
          <w:b/>
          <w:i/>
          <w:noProof/>
          <w:color w:val="000000"/>
          <w:szCs w:val="24"/>
          <w:u w:color="000000"/>
          <w:bdr w:val="nil"/>
        </w:rPr>
        <w:t>biex il-baġit tal-UE jsir aktar flessibbli u reattiv</w:t>
      </w:r>
      <w:r>
        <w:rPr>
          <w:i/>
          <w:noProof/>
          <w:color w:val="000000"/>
          <w:szCs w:val="24"/>
          <w:u w:color="000000"/>
          <w:bdr w:val="nil"/>
        </w:rPr>
        <w:t>.</w:t>
      </w:r>
    </w:p>
    <w:p w:rsidR="00F25D64" w:rsidRDefault="002A4170">
      <w:pPr>
        <w:pStyle w:val="ListParagraph"/>
        <w:keepNext/>
        <w:numPr>
          <w:ilvl w:val="0"/>
          <w:numId w:val="31"/>
        </w:numPr>
        <w:spacing w:before="120" w:after="120"/>
        <w:contextualSpacing w:val="0"/>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Programmi ġodda u msaħħa biex tinbena r-reżiljenza u tissaħħaħ il-kooperazzjoni</w:t>
      </w:r>
    </w:p>
    <w:p w:rsidR="00F25D64" w:rsidRDefault="002A4170">
      <w:pPr>
        <w:spacing w:before="100" w:beforeAutospacing="1" w:after="100" w:afterAutospacing="1"/>
        <w:rPr>
          <w:noProof/>
        </w:rPr>
      </w:pPr>
      <w:r>
        <w:rPr>
          <w:noProof/>
        </w:rPr>
        <w:t>Next Generation EU se jipprovdi tisħiħ immirat għal programmi ewlen</w:t>
      </w:r>
      <w:r>
        <w:rPr>
          <w:noProof/>
        </w:rPr>
        <w:t>in li jmexxu t-tkabbir u l-kapaċità tal-Ewropa li tirreżisti u tegħleb kriżijiet futuri. Dawn iż-żidiet huma addizzjonali għall-proposti inizjali tal-Kummissjoni għall-qafas futur, li jibqgħu bażi ġusta u bbilanċjata għal ftehim.</w:t>
      </w:r>
    </w:p>
    <w:p w:rsidR="00F25D64" w:rsidRDefault="002A4170">
      <w:pPr>
        <w:keepNext/>
        <w:spacing w:before="100" w:beforeAutospacing="1" w:after="100" w:afterAutospacing="1"/>
        <w:rPr>
          <w:i/>
          <w:noProof/>
          <w:szCs w:val="24"/>
        </w:rPr>
      </w:pPr>
      <w:r>
        <w:rPr>
          <w:i/>
          <w:noProof/>
          <w:szCs w:val="24"/>
        </w:rPr>
        <w:t xml:space="preserve">Programm ġdid għat-tisħiħ </w:t>
      </w:r>
      <w:r>
        <w:rPr>
          <w:i/>
          <w:noProof/>
          <w:szCs w:val="24"/>
        </w:rPr>
        <w:t>tas-sigurtà u l-kooperazzjoni fil-qasam tas-saħħa.</w:t>
      </w:r>
    </w:p>
    <w:p w:rsidR="00F25D64" w:rsidRDefault="002A4170">
      <w:pPr>
        <w:spacing w:before="120" w:after="120"/>
        <w:rPr>
          <w:rFonts w:eastAsia="Calibri"/>
          <w:noProof/>
          <w:szCs w:val="24"/>
        </w:rPr>
      </w:pPr>
      <w:r>
        <w:rPr>
          <w:noProof/>
          <w:color w:val="000000"/>
          <w:szCs w:val="24"/>
          <w:bdr w:val="none" w:sz="0" w:space="0" w:color="auto" w:frame="1"/>
        </w:rPr>
        <w:t xml:space="preserve">Il-kriżi wriet li l-finanzjament għas-saħħa għandu jingħata prijorità ogħla fil-qafas finanzjarju futur. </w:t>
      </w:r>
      <w:r>
        <w:rPr>
          <w:noProof/>
          <w:color w:val="000000"/>
          <w:szCs w:val="24"/>
        </w:rPr>
        <w:t xml:space="preserve">Il-Kummissjoni qed tipproponi </w:t>
      </w:r>
      <w:r>
        <w:rPr>
          <w:b/>
          <w:noProof/>
          <w:color w:val="000000"/>
          <w:szCs w:val="24"/>
        </w:rPr>
        <w:t>programm ambizzjuż u indipendenti l-UE għas-Saħħa</w:t>
      </w:r>
      <w:r>
        <w:rPr>
          <w:noProof/>
          <w:color w:val="000000"/>
          <w:szCs w:val="24"/>
        </w:rPr>
        <w:t xml:space="preserve"> li jipprovdi appoġġ dedikat għall-isfidi tas-saħħa li ġejjin kif identifikat fil-valutazzjoni tal-ħtiġijiet. Skont din il-proposta, il-finanzjament għall-programm il-ġdid se jammonta għal </w:t>
      </w:r>
      <w:r>
        <w:rPr>
          <w:noProof/>
        </w:rPr>
        <w:t>EUR 9,4 biljun, tisħiħ kbir meta mqabbel mal-proposti preċedenti ta</w:t>
      </w:r>
      <w:r>
        <w:rPr>
          <w:noProof/>
        </w:rPr>
        <w:t>ħt il-Fond Soċjali Ewropew Plus.</w:t>
      </w:r>
    </w:p>
    <w:p w:rsidR="00F25D64" w:rsidRDefault="002A4170">
      <w:pPr>
        <w:spacing w:before="120" w:after="120"/>
        <w:rPr>
          <w:rFonts w:eastAsia="Calibri"/>
          <w:noProof/>
          <w:color w:val="000000"/>
          <w:szCs w:val="24"/>
        </w:rPr>
      </w:pPr>
      <w:r>
        <w:rPr>
          <w:noProof/>
          <w:color w:val="000000"/>
          <w:szCs w:val="24"/>
        </w:rPr>
        <w:t>Il-programm il-ġdid se jgħin biex jiġi żgurat li l-Unjoni tkun mgħammra bil-kapaċitajiet kritiċi li tirreaġixxi malajr għall-kriżijiet tas-saħħa futuri u bl-iskala meħtieġa. Il-programm se jkollu l-għan li joħloq qafas komp</w:t>
      </w:r>
      <w:r>
        <w:rPr>
          <w:noProof/>
          <w:color w:val="000000"/>
          <w:szCs w:val="24"/>
        </w:rPr>
        <w:t>rensiv għall-</w:t>
      </w:r>
      <w:r>
        <w:rPr>
          <w:noProof/>
        </w:rPr>
        <w:t>prevenzjoni, it-tħejjija u r-rispons għall-kriżijiet tas-saħħa fl-UE, li jikkumplimenta u jsaħħaħ l-isforzi fuq livell nazzjonali u l-appoġġ reġjonali għas-sistemi tal-kura tas-saħħa taħt il-politika ta’ koeżjoni.</w:t>
      </w:r>
      <w:r>
        <w:rPr>
          <w:noProof/>
          <w:color w:val="000000"/>
          <w:szCs w:val="24"/>
        </w:rPr>
        <w:t xml:space="preserve"> </w:t>
      </w:r>
    </w:p>
    <w:p w:rsidR="00F25D64" w:rsidRDefault="002A4170">
      <w:pPr>
        <w:spacing w:before="120" w:after="120"/>
        <w:rPr>
          <w:noProof/>
          <w:szCs w:val="24"/>
        </w:rPr>
      </w:pPr>
      <w:r>
        <w:rPr>
          <w:noProof/>
          <w:color w:val="000000"/>
          <w:szCs w:val="24"/>
        </w:rPr>
        <w:t>L-</w:t>
      </w:r>
      <w:r>
        <w:rPr>
          <w:noProof/>
        </w:rPr>
        <w:t>ewwel parti tal-programm s</w:t>
      </w:r>
      <w:r>
        <w:rPr>
          <w:noProof/>
        </w:rPr>
        <w:t>e tindirizza s-sigurtà tas-saħħa u t-tħejjija għall-kriżijiet. Se tappoġġa l-investimenti f’infrastruttura tas-saħħa kritika, għodda, strutturi, proċessi, u kapaċità tal-laboratorji, inklużi għodod għas-sorveljanza, l-immudellar, it-tbassir, il-prevenzjoni</w:t>
      </w:r>
      <w:r>
        <w:rPr>
          <w:noProof/>
        </w:rPr>
        <w:t xml:space="preserve"> u l-ġestjoni ta’ tifqigħat. Se tappoġġa l-istabbiliment ta’ mekkaniżmu għall-iżvilupp, l-akkwist u l-ġestjoni ta’ prodotti rilevanti għall-kriżijiet tas-saħħa bħall-mediċini - inkluż it-tilqim - u t-trattamenti, is-sustanzi intermedji tagħhom, l-ingredjen</w:t>
      </w:r>
      <w:r>
        <w:rPr>
          <w:noProof/>
        </w:rPr>
        <w:t>ti farmaċewtiċi attivi u l-materja prima; apparat mediku u tagħmir mediku bħal ventilaturi, ilbies u tagħmir protettiv, materjali u għodod dijanjostiċi. Dan se jgħin biex jinħoloq qafas ġdid ta’ komunikazzjoni tar-riskju fl-UE li jkopri l-fażijiet kollha t</w:t>
      </w:r>
      <w:r>
        <w:rPr>
          <w:noProof/>
        </w:rPr>
        <w:t>a’ kriżi.</w:t>
      </w:r>
    </w:p>
    <w:p w:rsidR="00F25D64" w:rsidRDefault="002A4170">
      <w:pPr>
        <w:spacing w:before="120" w:after="120"/>
        <w:rPr>
          <w:rFonts w:eastAsia="Calibri"/>
          <w:noProof/>
          <w:szCs w:val="24"/>
        </w:rPr>
      </w:pPr>
      <w:r>
        <w:rPr>
          <w:noProof/>
        </w:rPr>
        <w:t xml:space="preserve">It-tieni parti se tappoġġa viżjoni aktar fit-tul għat-titjib tal-eżiti tas-saħħa permezz ta’ sistemi tas-saħħa effiċjenti u inklużivi fl-Istati Membri, permezz ta’ prevenzjoni u sorveljanza aħjar tal-mard, il-promozzjoni tas-saħħa, l-aċċess, </w:t>
      </w:r>
      <w:r>
        <w:rPr>
          <w:noProof/>
        </w:rPr>
        <w:t>id-dijanjożi u t-trattament, u l-kollaborazzjoni transfruntiera fis-saħħa. Pereżempju, il-programm se jappoġġa l-bini ta’ kapaċità fl-Istati Membri, jiffinanzja programmi ta’ taħriġ għall-persunal mediku u tal-kura tas-saħħa, u jinvesti fit-trasformazzjoni</w:t>
      </w:r>
      <w:r>
        <w:rPr>
          <w:noProof/>
        </w:rPr>
        <w:t xml:space="preserve"> diġitali tas-settur tal-kura tas-saħħa u l-iskjerament ta’ infrastrutturi diġitali interoperabbli, inkluż għar-riċerka u l-kondiviżjoni tad-</w:t>
      </w:r>
      <w:r>
        <w:rPr>
          <w:i/>
          <w:noProof/>
        </w:rPr>
        <w:t>data</w:t>
      </w:r>
      <w:r>
        <w:rPr>
          <w:noProof/>
        </w:rPr>
        <w:t>.</w:t>
      </w:r>
    </w:p>
    <w:p w:rsidR="00F25D64" w:rsidRDefault="002A4170">
      <w:pPr>
        <w:spacing w:before="120" w:after="120"/>
        <w:rPr>
          <w:rFonts w:eastAsia="Calibri"/>
          <w:i/>
          <w:noProof/>
          <w:szCs w:val="24"/>
        </w:rPr>
      </w:pPr>
      <w:r>
        <w:rPr>
          <w:noProof/>
          <w:color w:val="000000"/>
          <w:szCs w:val="24"/>
        </w:rPr>
        <w:t>Il-programm se jkun imfassal u implimentat b’rispett sħiħ għad-diviżjoni tal-kompetenzi bejn l-Unjoni u l-Ist</w:t>
      </w:r>
      <w:r>
        <w:rPr>
          <w:noProof/>
          <w:color w:val="000000"/>
          <w:szCs w:val="24"/>
        </w:rPr>
        <w:t>ati Membri f’dan il-qasam. Dan se jorbot mal-appoġġ rilevanti pprovdut permezz ta' programmi oħra tal-UE u jistabbilixxi modi ġodda biex jiġu implimentati azzjonijiet konġunti u tiġi żgurata d-disponibbiltà ta’ kontromiżuri u riżorsi mediċi f’każ ta’ thedd</w:t>
      </w:r>
      <w:r>
        <w:rPr>
          <w:noProof/>
          <w:color w:val="000000"/>
          <w:szCs w:val="24"/>
        </w:rPr>
        <w:t xml:space="preserve">id kbir għas-saħħa. </w:t>
      </w:r>
      <w:r>
        <w:rPr>
          <w:noProof/>
        </w:rPr>
        <w:t>Se jaħdem ma’ rescEU msaħħaħ, li huwa ffukat fuq il-kapaċitajiet ta’ rispons dirett għall-kriżijiet, il-ħażniet, l-iskjerament u d-dispaċċ ta’ tagħmir u persunal f’sitwazzjonijiet ta’ emerġenza, billi jiġu pprovduti l-kontribuzzjonijiet</w:t>
      </w:r>
      <w:r>
        <w:rPr>
          <w:noProof/>
        </w:rPr>
        <w:t xml:space="preserve"> tas-saħħa meħtieġa.</w:t>
      </w:r>
    </w:p>
    <w:p w:rsidR="00F25D64" w:rsidRDefault="002A4170">
      <w:pPr>
        <w:keepNext/>
        <w:spacing w:before="100" w:beforeAutospacing="1" w:after="100" w:afterAutospacing="1"/>
        <w:rPr>
          <w:i/>
          <w:noProof/>
          <w:szCs w:val="24"/>
        </w:rPr>
      </w:pPr>
      <w:r>
        <w:rPr>
          <w:i/>
          <w:noProof/>
          <w:szCs w:val="24"/>
        </w:rPr>
        <w:t>It-tisħiħ tal-kapaċità ta’ rispons tal-mekkaniżmu ta’ protezzjoni ċivili tal-Unjoni.</w:t>
      </w:r>
    </w:p>
    <w:p w:rsidR="00F25D64" w:rsidRDefault="002A4170">
      <w:pPr>
        <w:spacing w:before="100" w:beforeAutospacing="1" w:after="100" w:afterAutospacing="1"/>
        <w:rPr>
          <w:rFonts w:eastAsia="DengXian"/>
          <w:noProof/>
        </w:rPr>
      </w:pPr>
      <w:r>
        <w:rPr>
          <w:noProof/>
        </w:rPr>
        <w:t xml:space="preserve">Lezzjoni ċara mill-pandemija hija li l-Ewropa trid tkun kapaċi tirreaġixxi aktar malajr u b’mod flessibbli fi kriżijiet transfruntieri serji minħabba </w:t>
      </w:r>
      <w:r>
        <w:rPr>
          <w:noProof/>
        </w:rPr>
        <w:t xml:space="preserve">l-iskala tat-tfixkil potenzjali għall-ekonomiji u s-soċjetajiet tagħna. Għaldaqstant il-Kummissjoni qed tipproponi li ssaħħaħ lil </w:t>
      </w:r>
      <w:r>
        <w:rPr>
          <w:b/>
          <w:noProof/>
        </w:rPr>
        <w:t>rescEU, il-mekkaniżmu tal-protezzjoni ċivili tal-Unjoni.</w:t>
      </w:r>
      <w:r>
        <w:rPr>
          <w:noProof/>
        </w:rPr>
        <w:t xml:space="preserve"> Dan se jagħmel lil rescEU aktar flessibbli u jżid il-kapaċità tal-Unj</w:t>
      </w:r>
      <w:r>
        <w:rPr>
          <w:noProof/>
        </w:rPr>
        <w:t>oni li taġixxi b’mod unitarju fil-livell tal-UE.</w:t>
      </w:r>
    </w:p>
    <w:p w:rsidR="00F25D64" w:rsidRDefault="002A4170">
      <w:pPr>
        <w:spacing w:before="100" w:beforeAutospacing="1" w:after="100" w:afterAutospacing="1"/>
        <w:rPr>
          <w:rFonts w:eastAsia="DengXian"/>
          <w:noProof/>
        </w:rPr>
      </w:pPr>
      <w:r>
        <w:rPr>
          <w:noProof/>
        </w:rPr>
        <w:t>L-allokazzjoni finanzjarja se tiżdied għal EUR 3,1 biljun, li tiffinanzja investimenti fl-infrastruttura ta’ rispons, fil-kapaċità tat-trasport u f’timijiet ta’ appoġġ ta’ emerġenza. Ir-rescEU aġġornat se ja</w:t>
      </w:r>
      <w:r>
        <w:rPr>
          <w:noProof/>
        </w:rPr>
        <w:t>għti lill-Unjoni l-kapaċità u l-infrastruttura loġistika meħtieġa biex tipprovdi għal tipi differenti ta’ emerġenza, inklużi dawk b’komponent mediku, li jikkumplimentaw il-programm il-ġdid l-UE għas-Saħħa. Il-proposta se tissimplifika wkoll u żżid il-fless</w:t>
      </w:r>
      <w:r>
        <w:rPr>
          <w:noProof/>
        </w:rPr>
        <w:t>ibbiltà tal-kapaċitajiet operazzjonali. Dan se jiżgura rispons tal-UE aktar f’waqtu u effettiv fil-futur għal emerġenzi fuq skala kbira.</w:t>
      </w:r>
    </w:p>
    <w:p w:rsidR="00F25D64" w:rsidRDefault="002A4170">
      <w:pPr>
        <w:keepNext/>
        <w:spacing w:before="100" w:beforeAutospacing="1" w:after="100" w:afterAutospacing="1"/>
        <w:rPr>
          <w:i/>
          <w:noProof/>
        </w:rPr>
      </w:pPr>
      <w:r>
        <w:rPr>
          <w:i/>
          <w:noProof/>
        </w:rPr>
        <w:t>Orizzont Ewropa – ninvestu fl-innovazzjoni u t-tħejjija għall-futur</w:t>
      </w:r>
    </w:p>
    <w:p w:rsidR="00F25D64" w:rsidRDefault="002A4170">
      <w:pPr>
        <w:spacing w:before="100" w:beforeAutospacing="1" w:after="100" w:afterAutospacing="1"/>
        <w:rPr>
          <w:noProof/>
        </w:rPr>
      </w:pPr>
      <w:r>
        <w:rPr>
          <w:b/>
          <w:noProof/>
        </w:rPr>
        <w:t>Orizzont Ewropa</w:t>
      </w:r>
      <w:r>
        <w:rPr>
          <w:noProof/>
        </w:rPr>
        <w:t xml:space="preserve"> se jammonta għal EUR 94,4 biljun bi</w:t>
      </w:r>
      <w:r>
        <w:rPr>
          <w:noProof/>
        </w:rPr>
        <w:t>ex jiżdied l-appoġġ Ewropew għall-attivitajiet ta’ riċerka u innovazzjoni relatati mas-saħħa u l-klima. Dan se jikkontribwixxi għal tħejjija msaħħa biex jiġu indirizzati b’mod effettiv u rapidu l-emerġenzi u l-investiment f’soluzzjonijiet xprunati mix-xjen</w:t>
      </w:r>
      <w:r>
        <w:rPr>
          <w:noProof/>
        </w:rPr>
        <w:t xml:space="preserve">za, li jikkumplimentaw il-finanzjament operazzjonali pprovdut bil-programm il-ġdid l-UE għas-Saħħa u rescEU. </w:t>
      </w:r>
    </w:p>
    <w:p w:rsidR="00F25D64" w:rsidRDefault="002A4170">
      <w:pPr>
        <w:spacing w:before="100" w:beforeAutospacing="1" w:after="100" w:afterAutospacing="1"/>
        <w:rPr>
          <w:noProof/>
        </w:rPr>
      </w:pPr>
      <w:r>
        <w:rPr>
          <w:noProof/>
        </w:rPr>
        <w:t>Fil-qasam tas-saħħa, it-tisħiħ se jintuża biex jiżdied l-isforz tar-riċerka għal sfidi bħalma huma l-pandemija tal-Coronavirus, l-estensjoni tal-p</w:t>
      </w:r>
      <w:r>
        <w:rPr>
          <w:noProof/>
        </w:rPr>
        <w:t xml:space="preserve">rovi kliniċi, il-miżuri protettivi innovattivi, il-viroloġija, it-tilqim, it-trattamenti u d-dijanjostiċi, u t-traduzzjoni tas-sejbiet tar-riċerka f’miżuri ta’ politika tas-saħħa pubblika.  </w:t>
      </w:r>
    </w:p>
    <w:p w:rsidR="00F25D64" w:rsidRDefault="002A4170">
      <w:pPr>
        <w:spacing w:before="100" w:beforeAutospacing="1" w:after="100" w:afterAutospacing="1"/>
        <w:rPr>
          <w:noProof/>
        </w:rPr>
      </w:pPr>
      <w:r>
        <w:rPr>
          <w:noProof/>
        </w:rPr>
        <w:t>Qed jiġi propost ukoll li jiżdiedu r-riżorsi għar-riċerka u l-inn</w:t>
      </w:r>
      <w:r>
        <w:rPr>
          <w:noProof/>
        </w:rPr>
        <w:t xml:space="preserve">ovazzjoni f’oqsma relatati mal-klima. Dan se jsaħħaħ l-appoġġ għall-kompetittività tal-industrija tal-UE f’setturi ekonomiċi relatati u jippromwovi rkupru konsistenti mal-għanijiet tal-Patt Ekoloġiku Ewropew. It-tisħiħ se jipprovdi mezzi addizzjonali għal </w:t>
      </w:r>
      <w:r>
        <w:rPr>
          <w:noProof/>
        </w:rPr>
        <w:t>innovazzjonijiet emerġenti u rivoluzzjonarji minn intrapriżi żgħar u ta’ daqs medju, negozji ġodda, u kumpaniji b’kapitalizzazzjoni medja.</w:t>
      </w:r>
    </w:p>
    <w:p w:rsidR="00F25D64" w:rsidRDefault="002A4170">
      <w:pPr>
        <w:keepNext/>
        <w:spacing w:before="100" w:beforeAutospacing="1" w:after="100" w:afterAutospacing="1"/>
        <w:rPr>
          <w:i/>
          <w:noProof/>
        </w:rPr>
      </w:pPr>
      <w:r>
        <w:rPr>
          <w:i/>
          <w:noProof/>
        </w:rPr>
        <w:t>Flimkien mas-sħab globali tagħna fi żmien ta’ kriżi.</w:t>
      </w:r>
    </w:p>
    <w:p w:rsidR="00F25D64" w:rsidRDefault="002A4170">
      <w:pPr>
        <w:spacing w:before="100" w:beforeAutospacing="1" w:after="100" w:afterAutospacing="1"/>
        <w:rPr>
          <w:noProof/>
        </w:rPr>
      </w:pPr>
      <w:r>
        <w:rPr>
          <w:noProof/>
        </w:rPr>
        <w:t xml:space="preserve">Il-pandemija hija sfida dinjija. </w:t>
      </w:r>
      <w:r>
        <w:rPr>
          <w:noProof/>
          <w:color w:val="000000"/>
        </w:rPr>
        <w:t>Mingħajr rispons dinji, kull pa</w:t>
      </w:r>
      <w:r>
        <w:rPr>
          <w:noProof/>
          <w:color w:val="000000"/>
        </w:rPr>
        <w:t>jjiż u reġjun fid-dinja, inkluża l-Unjoni, se jibqa’ vulnerabbli.</w:t>
      </w:r>
      <w:r>
        <w:rPr>
          <w:noProof/>
        </w:rPr>
        <w:t xml:space="preserve"> L-UE trid tkompli turi solidarjetà mas-sħab tagħha madwar id-dinja fil-ġlieda kontra l-COVID-19. </w:t>
      </w:r>
    </w:p>
    <w:p w:rsidR="00F25D64" w:rsidRDefault="002A4170">
      <w:pPr>
        <w:spacing w:before="100" w:beforeAutospacing="1" w:after="100" w:afterAutospacing="1"/>
        <w:rPr>
          <w:noProof/>
        </w:rPr>
      </w:pPr>
      <w:r>
        <w:rPr>
          <w:noProof/>
        </w:rPr>
        <w:t>Il-Kummissjoni tipproponi li tistabbilixxi l-</w:t>
      </w:r>
      <w:r>
        <w:rPr>
          <w:b/>
          <w:noProof/>
        </w:rPr>
        <w:t xml:space="preserve">Istrument ta’ Viċinat, ta’ Kooperazzjoni </w:t>
      </w:r>
      <w:r>
        <w:rPr>
          <w:b/>
          <w:noProof/>
        </w:rPr>
        <w:t>għall-Iżvilupp u ta’ Kooperazzjoni Internazzjonali</w:t>
      </w:r>
      <w:r>
        <w:rPr>
          <w:noProof/>
        </w:rPr>
        <w:t xml:space="preserve"> għal EUR 86 biljun, permezz ta’ Garanzija għall-Azzjoni Esterna ġdida, u l-Fond Ewropew għall-Iżvilupp Sostenibbli biex jiġu appoġġati s-sħab – b’mod partikolari fil-Balkani tal-Punent, il-Viċinat u fil-bq</w:t>
      </w:r>
      <w:r>
        <w:rPr>
          <w:noProof/>
        </w:rPr>
        <w:t xml:space="preserve">ija tal-Afrika – fl-isforzi tagħhom biex jiġġieldu u jirkupraw mill-impatt tal-pandemija, f’kooperazzjoni mas-sħab internazzjonali bħalma </w:t>
      </w:r>
      <w:r>
        <w:rPr>
          <w:noProof/>
          <w:color w:val="000000"/>
        </w:rPr>
        <w:t>huma l-</w:t>
      </w:r>
      <w:r>
        <w:rPr>
          <w:noProof/>
          <w:color w:val="000000"/>
          <w:bdr w:val="none" w:sz="0" w:space="0" w:color="auto" w:frame="1"/>
        </w:rPr>
        <w:t>istituzzjonijiet finanzjarji internazzjonali</w:t>
      </w:r>
      <w:r>
        <w:rPr>
          <w:noProof/>
          <w:color w:val="000000"/>
        </w:rPr>
        <w:t xml:space="preserve">, in-Nazzjonijiet Uniti u l-Organizzazzjoni Dinjija tas-Saħħa. </w:t>
      </w:r>
      <w:r>
        <w:rPr>
          <w:noProof/>
        </w:rPr>
        <w:t>Aġġu</w:t>
      </w:r>
      <w:r>
        <w:rPr>
          <w:noProof/>
        </w:rPr>
        <w:t>stament immirat għall-qafas finanzjarju attwali se jippermetti li EUR 1 biljun ta’ appoġġ addizzjonali jkunu diġà disponibbli fl-2020.</w:t>
      </w:r>
    </w:p>
    <w:p w:rsidR="00F25D64" w:rsidRDefault="002A4170">
      <w:pPr>
        <w:spacing w:before="100" w:beforeAutospacing="1" w:after="100" w:afterAutospacing="1"/>
        <w:rPr>
          <w:noProof/>
          <w:color w:val="000000"/>
        </w:rPr>
      </w:pPr>
      <w:r>
        <w:rPr>
          <w:noProof/>
          <w:color w:val="000000"/>
        </w:rPr>
        <w:t xml:space="preserve">L-appoġġ se jipprovdi likwidità lil </w:t>
      </w:r>
      <w:r>
        <w:rPr>
          <w:noProof/>
        </w:rPr>
        <w:t>intrapriżi żgħar u ta’ daqs medju</w:t>
      </w:r>
      <w:r>
        <w:rPr>
          <w:noProof/>
          <w:color w:val="000000"/>
        </w:rPr>
        <w:t>, jippreserva l-investimenti fi proġetti tal-enerġij</w:t>
      </w:r>
      <w:r>
        <w:rPr>
          <w:noProof/>
          <w:color w:val="000000"/>
        </w:rPr>
        <w:t>a rinnovabbli, u jżid il-kapaċità ta’ finanzjament f’muniti lokali f’pajjiżi sħab biex jissaħħu s-sistemi tal-kura tas-saħħa, inkluż l-istat ta’ tħejjija, u biex tinbena l-kapaċità ta’ manifattura għal tilqim, trattamenti u dijanjostika relatati mal-COVID</w:t>
      </w:r>
      <w:r>
        <w:rPr>
          <w:noProof/>
          <w:color w:val="000000"/>
        </w:rPr>
        <w:noBreakHyphen/>
      </w:r>
      <w:r>
        <w:rPr>
          <w:noProof/>
          <w:color w:val="000000"/>
        </w:rPr>
        <w:t xml:space="preserve">19. Dan l-appoġġ akbar se jkun immirat ukoll lejn l-aktar pajjiżi u reġjuni vulnerabbli, filwaqt li jindirizza l-konsegwenzi soċjali u ekonomiċi severi tal-pandemija. </w:t>
      </w:r>
    </w:p>
    <w:p w:rsidR="00F25D64" w:rsidRDefault="002A4170">
      <w:pPr>
        <w:spacing w:before="100" w:beforeAutospacing="1" w:after="100" w:afterAutospacing="1"/>
        <w:rPr>
          <w:noProof/>
          <w:color w:val="000000"/>
          <w:szCs w:val="24"/>
        </w:rPr>
      </w:pPr>
      <w:r>
        <w:rPr>
          <w:noProof/>
          <w:color w:val="000000"/>
        </w:rPr>
        <w:t>Il-Kummissjoni tipproponi wkoll EUR 5 biljun addizzjonali biex issaħħaħ l-</w:t>
      </w:r>
      <w:r>
        <w:rPr>
          <w:b/>
          <w:noProof/>
          <w:color w:val="000000"/>
        </w:rPr>
        <w:t>istrument tal-</w:t>
      </w:r>
      <w:r>
        <w:rPr>
          <w:b/>
          <w:noProof/>
          <w:color w:val="000000"/>
        </w:rPr>
        <w:t>għajnuna umanitarja</w:t>
      </w:r>
      <w:r>
        <w:rPr>
          <w:noProof/>
          <w:color w:val="000000"/>
        </w:rPr>
        <w:t xml:space="preserve">, li jirrifletti l-ħtiġijiet umanitarji li qed jikbru fl-aktar partijiet vulnerabbli tad-dinja. L-impatt tal-pandemija u l-effett ekonomiku, pereżempju </w:t>
      </w:r>
      <w:r>
        <w:rPr>
          <w:noProof/>
          <w:color w:val="000000"/>
          <w:szCs w:val="24"/>
        </w:rPr>
        <w:t>t-telf ta’ dħul minħabba l-kollass taż-żejt u l-prezzijiet tal-materja prima u t-tnaq</w:t>
      </w:r>
      <w:r>
        <w:rPr>
          <w:noProof/>
          <w:color w:val="000000"/>
          <w:szCs w:val="24"/>
        </w:rPr>
        <w:t>qis drastiku fir-rimessi, qed iżidu l-ħtiġijiet eżistenti, u dan jagħmilha aktar importanti li l-Unjoni tkun mgħammra biex turi solidarjetà mal-bqija tad-dinja.</w:t>
      </w:r>
    </w:p>
    <w:p w:rsidR="00F25D64" w:rsidRDefault="002A4170">
      <w:pPr>
        <w:pStyle w:val="ListParagraph"/>
        <w:keepNext/>
        <w:numPr>
          <w:ilvl w:val="0"/>
          <w:numId w:val="31"/>
        </w:numPr>
        <w:spacing w:before="120" w:after="120"/>
        <w:ind w:left="777" w:hanging="357"/>
        <w:rPr>
          <w:rFonts w:eastAsia="Arial Unicode MS"/>
          <w:b/>
          <w:i/>
          <w:noProof/>
          <w:color w:val="000000"/>
          <w:szCs w:val="24"/>
          <w:u w:color="000000"/>
          <w:bdr w:val="nil"/>
        </w:rPr>
      </w:pPr>
      <w:r>
        <w:rPr>
          <w:rFonts w:ascii="Times New Roman" w:hAnsi="Times New Roman"/>
          <w:b/>
          <w:i/>
          <w:noProof/>
          <w:color w:val="000000"/>
          <w:sz w:val="24"/>
          <w:szCs w:val="24"/>
          <w:u w:color="000000"/>
          <w:bdr w:val="nil"/>
        </w:rPr>
        <w:t>Ngħammru programmi oħra għall-bini ta’ reżiljenza u twettiq ta’ prijoritajiet strateġiċi</w:t>
      </w:r>
    </w:p>
    <w:p w:rsidR="00F25D64" w:rsidRDefault="002A4170">
      <w:pPr>
        <w:pBdr>
          <w:top w:val="nil"/>
          <w:left w:val="nil"/>
          <w:bottom w:val="nil"/>
          <w:right w:val="nil"/>
          <w:between w:val="nil"/>
          <w:bar w:val="nil"/>
        </w:pBdr>
        <w:spacing w:before="120" w:after="120"/>
        <w:rPr>
          <w:rFonts w:eastAsia="Arial Unicode MS" w:cs="Arial Unicode MS"/>
          <w:noProof/>
          <w:color w:val="000000"/>
          <w:szCs w:val="24"/>
          <w:bdr w:val="nil"/>
        </w:rPr>
      </w:pPr>
      <w:r>
        <w:rPr>
          <w:noProof/>
          <w:color w:val="000000"/>
          <w:szCs w:val="24"/>
          <w:u w:color="000000"/>
          <w:bdr w:val="nil"/>
        </w:rPr>
        <w:t>Il-qaf</w:t>
      </w:r>
      <w:r>
        <w:rPr>
          <w:noProof/>
          <w:color w:val="000000"/>
          <w:szCs w:val="24"/>
          <w:u w:color="000000"/>
          <w:bdr w:val="nil"/>
        </w:rPr>
        <w:t>as finanzjarju għall-2021-2027 propost mill-Kummissjoni fl-2018, kif imsaħħaħ mill-Mekkaniżmu ta’ Tranżizzjoni Ġusta u l-bidliet proposti llum, jibqa’ l-punt ta’ referenza essenzjali għall-fażi finali tan-negozjati. L-arkitettura proposta, il-livell ta’ ap</w:t>
      </w:r>
      <w:r>
        <w:rPr>
          <w:noProof/>
          <w:color w:val="000000"/>
          <w:szCs w:val="24"/>
          <w:u w:color="000000"/>
          <w:bdr w:val="nil"/>
        </w:rPr>
        <w:t>poġġ, il-bilanċ bejn il-prijoritajiet, u l-karatteristiċi ewlenin bħall-mira ta’ mill-inqas 25 % tan-nefqa li tikkontribwixxi għall-azzjoni klimatika, u l-miżuri li jappoġġaw l-ugwaljanza bejn is-sessi u n-nondiskriminazzjoni huma kollha meħtieġa għal pakk</w:t>
      </w:r>
      <w:r>
        <w:rPr>
          <w:noProof/>
          <w:color w:val="000000"/>
          <w:szCs w:val="24"/>
          <w:u w:color="000000"/>
          <w:bdr w:val="nil"/>
        </w:rPr>
        <w:t xml:space="preserve">ett ta’ rkupru bbilanċjat. </w:t>
      </w:r>
      <w:r>
        <w:rPr>
          <w:noProof/>
        </w:rPr>
        <w:t>Il-proposta tal-Kummissjoni għal Regolament dwar il-protezzjoni tal-baġit tal-UE kontra nuqqasijiet ġeneralizzati fl-istat tad-dritt hija karatteristika ewlenija oħra. Barra minn hekk, miżuri b’saħħithom għall-protezzjoni tal-baġ</w:t>
      </w:r>
      <w:r>
        <w:rPr>
          <w:noProof/>
        </w:rPr>
        <w:t>it kontra l-frodi u l-irregolaritajiet huma fis-seħħ u l-Kummissjoni se ssaħħaħhom aktar. L-Uffiċċju Ewropew Kontra l-Frodi (OLAF) u l-Uffiċċju tal-Prosekutur Pubbliku Ewropew (UPPE) se jeżerċitaw is-setgħat ta’ kontroll u investigazzjoni tagħhom.</w:t>
      </w:r>
    </w:p>
    <w:p w:rsidR="00F25D64" w:rsidRDefault="002A4170">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Madankollu, il-kriżi wriet b’mod ċar li f’diversi oqsma ewlenin il-livelli ta’ appoġġ diskussi mill-Mexxejja fi Frar mhux se jkunu biżżejjed. Minbarra t-tisħiħ iffinanzjat taħt Next Generation EU, huwa għalhekk imperattiv li jissaħħu programmi oħra biex ik</w:t>
      </w:r>
      <w:r>
        <w:rPr>
          <w:noProof/>
          <w:color w:val="000000"/>
          <w:szCs w:val="24"/>
          <w:u w:color="000000"/>
          <w:bdr w:val="nil"/>
        </w:rPr>
        <w:t xml:space="preserve">unu jistgħu jwettqu r-rwol sħiħ tagħhom biex l-Unjoni ssir aktar reżiljenti u biex jiġu indirizzati l-isfidi li żdiedu minħabba l-pandemija u l-konsegwenzi tagħha. </w:t>
      </w:r>
    </w:p>
    <w:p w:rsidR="00F25D64" w:rsidRDefault="002A4170">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Dawn jinkludu: </w:t>
      </w:r>
    </w:p>
    <w:p w:rsidR="00F25D64" w:rsidRDefault="002A4170">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u w:color="000000"/>
          <w:bdr w:val="nil"/>
        </w:rPr>
        <w:t xml:space="preserve">Insaħħu d-difiżi tal-Unjoni u nappoġġaw it-tranżizzjoni diġitali billi </w:t>
      </w:r>
      <w:r>
        <w:rPr>
          <w:rFonts w:ascii="Times New Roman" w:hAnsi="Times New Roman"/>
          <w:noProof/>
          <w:color w:val="000000"/>
          <w:sz w:val="24"/>
          <w:szCs w:val="24"/>
          <w:u w:color="000000"/>
          <w:bdr w:val="nil"/>
        </w:rPr>
        <w:t>ngħammru l-</w:t>
      </w:r>
      <w:r>
        <w:rPr>
          <w:rFonts w:ascii="Times New Roman" w:hAnsi="Times New Roman"/>
          <w:b/>
          <w:noProof/>
          <w:color w:val="000000"/>
          <w:sz w:val="24"/>
          <w:szCs w:val="24"/>
          <w:u w:color="000000"/>
          <w:bdr w:val="nil"/>
        </w:rPr>
        <w:t>Programm Ewropa Diġitali</w:t>
      </w:r>
      <w:r>
        <w:rPr>
          <w:rFonts w:ascii="Times New Roman" w:hAnsi="Times New Roman"/>
          <w:noProof/>
          <w:color w:val="000000"/>
          <w:sz w:val="24"/>
          <w:szCs w:val="24"/>
          <w:u w:color="000000"/>
          <w:bdr w:val="nil"/>
        </w:rPr>
        <w:t xml:space="preserve"> b’baġit totali ta’ EUR 8,2 biljun.</w:t>
      </w:r>
    </w:p>
    <w:p w:rsidR="00F25D64" w:rsidRDefault="002A4170">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u w:color="000000"/>
          <w:bdr w:val="nil"/>
        </w:rPr>
        <w:t>Ninvestu f’infrastruttura tat-trasport aġġornata u bi prestazzjoni għolja biex jiġu ffaċilitati l-konnessjonijiet transfruntiera, bħalma huma Rail Baltica, permezz ta’ EUR 1,5 biljun ad</w:t>
      </w:r>
      <w:r>
        <w:rPr>
          <w:rFonts w:ascii="Times New Roman" w:hAnsi="Times New Roman"/>
          <w:noProof/>
          <w:color w:val="000000"/>
          <w:sz w:val="24"/>
          <w:szCs w:val="24"/>
          <w:u w:color="000000"/>
          <w:bdr w:val="nil"/>
        </w:rPr>
        <w:t>dizzjonali għall-</w:t>
      </w:r>
      <w:r>
        <w:rPr>
          <w:rFonts w:ascii="Times New Roman" w:hAnsi="Times New Roman"/>
          <w:b/>
          <w:noProof/>
          <w:color w:val="000000"/>
          <w:sz w:val="24"/>
          <w:szCs w:val="24"/>
          <w:u w:color="000000"/>
          <w:bdr w:val="nil"/>
        </w:rPr>
        <w:t>Faċilità Nikkollegaw l-Ewropa</w:t>
      </w:r>
      <w:r>
        <w:rPr>
          <w:rFonts w:ascii="Times New Roman" w:hAnsi="Times New Roman"/>
          <w:noProof/>
          <w:color w:val="000000"/>
          <w:sz w:val="24"/>
          <w:szCs w:val="24"/>
          <w:u w:color="000000"/>
          <w:bdr w:val="nil"/>
        </w:rPr>
        <w:t>.</w:t>
      </w:r>
    </w:p>
    <w:p w:rsidR="00F25D64" w:rsidRDefault="002A4170">
      <w:pPr>
        <w:pStyle w:val="ListParagraph"/>
        <w:numPr>
          <w:ilvl w:val="0"/>
          <w:numId w:val="41"/>
        </w:numPr>
        <w:pBdr>
          <w:top w:val="nil"/>
          <w:left w:val="nil"/>
          <w:bottom w:val="nil"/>
          <w:right w:val="nil"/>
          <w:between w:val="nil"/>
          <w:bar w:val="nil"/>
        </w:pBdr>
        <w:spacing w:before="120" w:after="120" w:line="240" w:lineRule="auto"/>
        <w:contextualSpacing w:val="0"/>
        <w:rPr>
          <w:rFonts w:eastAsia="Arial Unicode MS" w:cs="Arial Unicode MS"/>
          <w:noProof/>
          <w:color w:val="000000"/>
          <w:szCs w:val="24"/>
          <w:u w:color="000000"/>
          <w:bdr w:val="nil"/>
        </w:rPr>
      </w:pPr>
      <w:r>
        <w:rPr>
          <w:rFonts w:ascii="Times New Roman" w:hAnsi="Times New Roman"/>
          <w:noProof/>
          <w:color w:val="000000"/>
          <w:sz w:val="24"/>
          <w:szCs w:val="24"/>
          <w:u w:color="000000"/>
          <w:bdr w:val="nil"/>
        </w:rPr>
        <w:t>Noħolqu l-kundizzjonijiet għal irkupru tas-suq uniku li jaħdem tajjeb billi nżommu l-baġits proposti għall-</w:t>
      </w:r>
      <w:r>
        <w:rPr>
          <w:rFonts w:ascii="Times New Roman" w:hAnsi="Times New Roman"/>
          <w:b/>
          <w:noProof/>
          <w:color w:val="000000"/>
          <w:sz w:val="24"/>
          <w:szCs w:val="24"/>
          <w:u w:color="000000"/>
          <w:bdr w:val="nil"/>
        </w:rPr>
        <w:t>Programm tas-Suq Uniku</w:t>
      </w:r>
      <w:r>
        <w:rPr>
          <w:rFonts w:ascii="Times New Roman" w:hAnsi="Times New Roman"/>
          <w:noProof/>
          <w:color w:val="000000"/>
          <w:sz w:val="24"/>
          <w:szCs w:val="24"/>
          <w:u w:color="000000"/>
          <w:bdr w:val="nil"/>
        </w:rPr>
        <w:t xml:space="preserve"> u għal programmi li jappoġġaw il-kooperazzjoni fl-oqsma tat-</w:t>
      </w:r>
      <w:r>
        <w:rPr>
          <w:rFonts w:ascii="Times New Roman" w:hAnsi="Times New Roman"/>
          <w:b/>
          <w:noProof/>
          <w:color w:val="000000"/>
          <w:sz w:val="24"/>
          <w:szCs w:val="24"/>
          <w:u w:color="000000"/>
          <w:bdr w:val="nil"/>
        </w:rPr>
        <w:t>tassazzjoni u tad-</w:t>
      </w:r>
      <w:r>
        <w:rPr>
          <w:rFonts w:ascii="Times New Roman" w:hAnsi="Times New Roman"/>
          <w:b/>
          <w:noProof/>
          <w:color w:val="000000"/>
          <w:sz w:val="24"/>
          <w:szCs w:val="24"/>
          <w:u w:color="000000"/>
          <w:bdr w:val="nil"/>
        </w:rPr>
        <w:t>dwana</w:t>
      </w:r>
      <w:r>
        <w:rPr>
          <w:rFonts w:ascii="Times New Roman" w:hAnsi="Times New Roman"/>
          <w:noProof/>
          <w:color w:val="000000"/>
          <w:sz w:val="24"/>
          <w:szCs w:val="24"/>
          <w:u w:color="000000"/>
          <w:bdr w:val="nil"/>
        </w:rPr>
        <w:t xml:space="preserve"> fil-livell ta’ EUR 3,7 biljun, EUR 239 miljun u EUR 843 miljun rispettivament.</w:t>
      </w:r>
    </w:p>
    <w:p w:rsidR="00F25D64" w:rsidRDefault="002A4170">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u w:color="000000"/>
          <w:bdr w:val="nil"/>
        </w:rPr>
        <w:t>Ninvestu fiż-żgħażagħ permezz ta’ EUR 3,4 biljun addizzjonali għall-</w:t>
      </w:r>
      <w:r>
        <w:rPr>
          <w:rFonts w:ascii="Times New Roman" w:hAnsi="Times New Roman"/>
          <w:b/>
          <w:noProof/>
          <w:color w:val="000000"/>
          <w:sz w:val="24"/>
          <w:szCs w:val="24"/>
          <w:u w:color="000000"/>
          <w:bdr w:val="nil"/>
        </w:rPr>
        <w:t>Erasmus Plus</w:t>
      </w:r>
      <w:r>
        <w:rPr>
          <w:rFonts w:ascii="Times New Roman" w:hAnsi="Times New Roman"/>
          <w:noProof/>
          <w:color w:val="000000"/>
          <w:sz w:val="24"/>
          <w:szCs w:val="24"/>
          <w:u w:color="000000"/>
          <w:bdr w:val="nil"/>
        </w:rPr>
        <w:t>, biex b’hekk it-total jinġieb għal EUR 24,6 biljun, kif ukoll fis-setturi kulturali u krea</w:t>
      </w:r>
      <w:r>
        <w:rPr>
          <w:rFonts w:ascii="Times New Roman" w:hAnsi="Times New Roman"/>
          <w:noProof/>
          <w:color w:val="000000"/>
          <w:sz w:val="24"/>
          <w:szCs w:val="24"/>
          <w:u w:color="000000"/>
          <w:bdr w:val="nil"/>
        </w:rPr>
        <w:t>ttivi permezz ta’ żieda tal-</w:t>
      </w:r>
      <w:r>
        <w:rPr>
          <w:rFonts w:ascii="Times New Roman" w:hAnsi="Times New Roman"/>
          <w:b/>
          <w:noProof/>
          <w:color w:val="000000"/>
          <w:sz w:val="24"/>
          <w:szCs w:val="24"/>
          <w:u w:color="000000"/>
          <w:bdr w:val="nil"/>
        </w:rPr>
        <w:t>Ewropa Kreattiva</w:t>
      </w:r>
      <w:r>
        <w:rPr>
          <w:rFonts w:ascii="Times New Roman" w:hAnsi="Times New Roman"/>
          <w:noProof/>
          <w:color w:val="000000"/>
          <w:sz w:val="24"/>
          <w:szCs w:val="24"/>
          <w:u w:color="000000"/>
          <w:bdr w:val="nil"/>
        </w:rPr>
        <w:t xml:space="preserve"> sa livell ta’ EUR 1,5 biljun.</w:t>
      </w:r>
    </w:p>
    <w:p w:rsidR="00F25D64" w:rsidRDefault="002A4170">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u w:color="000000"/>
          <w:bdr w:val="nil"/>
        </w:rPr>
        <w:t>Insaħħu r-reżiljenza tas-setturi agroalimentari u tas-sajd u l-provvediment tal-kamp ta’ applikazzjoni meħtieġ għall-ġestjoni tal-kriżi permezz ta’ EUR 4 biljun addizzjonali għall-</w:t>
      </w:r>
      <w:r>
        <w:rPr>
          <w:rFonts w:ascii="Times New Roman" w:hAnsi="Times New Roman"/>
          <w:b/>
          <w:noProof/>
          <w:color w:val="000000"/>
          <w:sz w:val="24"/>
          <w:szCs w:val="24"/>
          <w:u w:color="000000"/>
          <w:bdr w:val="nil"/>
        </w:rPr>
        <w:t>P</w:t>
      </w:r>
      <w:r>
        <w:rPr>
          <w:rFonts w:ascii="Times New Roman" w:hAnsi="Times New Roman"/>
          <w:b/>
          <w:noProof/>
          <w:color w:val="000000"/>
          <w:sz w:val="24"/>
          <w:szCs w:val="24"/>
          <w:u w:color="000000"/>
          <w:bdr w:val="nil"/>
        </w:rPr>
        <w:t>olitika Agrikola Komuni</w:t>
      </w:r>
      <w:r>
        <w:rPr>
          <w:rFonts w:ascii="Times New Roman" w:hAnsi="Times New Roman"/>
          <w:noProof/>
          <w:color w:val="000000"/>
          <w:sz w:val="24"/>
          <w:szCs w:val="24"/>
          <w:u w:color="000000"/>
          <w:bdr w:val="nil"/>
        </w:rPr>
        <w:t xml:space="preserve"> u ta’ EUR 500 miljun għall-</w:t>
      </w:r>
      <w:r>
        <w:rPr>
          <w:rFonts w:ascii="Times New Roman" w:hAnsi="Times New Roman"/>
          <w:b/>
          <w:noProof/>
          <w:color w:val="000000"/>
          <w:sz w:val="24"/>
          <w:szCs w:val="24"/>
          <w:u w:color="000000"/>
          <w:bdr w:val="nil"/>
        </w:rPr>
        <w:t>Fond Ewropew għall-Affarijiet Marittimi u s-Sajd</w:t>
      </w:r>
      <w:r>
        <w:rPr>
          <w:rFonts w:ascii="Times New Roman" w:hAnsi="Times New Roman"/>
          <w:noProof/>
          <w:color w:val="000000"/>
          <w:sz w:val="24"/>
          <w:szCs w:val="24"/>
          <w:u w:color="000000"/>
          <w:bdr w:val="nil"/>
        </w:rPr>
        <w:t>.</w:t>
      </w:r>
    </w:p>
    <w:p w:rsidR="00F25D64" w:rsidRDefault="002A4170">
      <w:pPr>
        <w:pStyle w:val="ListParagraph"/>
        <w:numPr>
          <w:ilvl w:val="0"/>
          <w:numId w:val="41"/>
        </w:numPr>
        <w:pBdr>
          <w:top w:val="nil"/>
          <w:left w:val="nil"/>
          <w:bottom w:val="nil"/>
          <w:right w:val="nil"/>
          <w:between w:val="nil"/>
          <w:bar w:val="nil"/>
        </w:pBdr>
        <w:spacing w:before="120" w:after="120" w:line="240" w:lineRule="auto"/>
        <w:contextualSpacing w:val="0"/>
        <w:rPr>
          <w:rFonts w:eastAsia="Arial Unicode MS" w:cs="Arial Unicode MS"/>
          <w:noProof/>
          <w:color w:val="000000"/>
          <w:szCs w:val="24"/>
          <w:u w:color="000000"/>
          <w:bdr w:val="nil"/>
        </w:rPr>
      </w:pPr>
      <w:r>
        <w:rPr>
          <w:rFonts w:ascii="Times New Roman" w:hAnsi="Times New Roman"/>
          <w:noProof/>
          <w:color w:val="000000"/>
          <w:sz w:val="24"/>
          <w:szCs w:val="24"/>
          <w:u w:color="000000"/>
          <w:bdr w:val="nil"/>
        </w:rPr>
        <w:t>Insaħħu l-kooperazzjoni dwar il-protezzjoni tal-fruntieri esterni u l-migrazzjoni u l-politika dwar l-ażil billi jissaħħaħ il-</w:t>
      </w:r>
      <w:r>
        <w:rPr>
          <w:rFonts w:ascii="Times New Roman" w:hAnsi="Times New Roman"/>
          <w:b/>
          <w:noProof/>
          <w:color w:val="000000"/>
          <w:sz w:val="24"/>
          <w:szCs w:val="24"/>
          <w:u w:color="000000"/>
          <w:bdr w:val="nil"/>
        </w:rPr>
        <w:t>Fond għall-Migrazzjoni u l-Aż</w:t>
      </w:r>
      <w:r>
        <w:rPr>
          <w:rFonts w:ascii="Times New Roman" w:hAnsi="Times New Roman"/>
          <w:b/>
          <w:noProof/>
          <w:color w:val="000000"/>
          <w:sz w:val="24"/>
          <w:szCs w:val="24"/>
          <w:u w:color="000000"/>
          <w:bdr w:val="nil"/>
        </w:rPr>
        <w:t>il</w:t>
      </w:r>
      <w:r>
        <w:rPr>
          <w:rFonts w:ascii="Times New Roman" w:hAnsi="Times New Roman"/>
          <w:noProof/>
          <w:color w:val="000000"/>
          <w:sz w:val="24"/>
          <w:szCs w:val="24"/>
          <w:u w:color="000000"/>
          <w:bdr w:val="nil"/>
        </w:rPr>
        <w:t xml:space="preserve"> u l-</w:t>
      </w:r>
      <w:r>
        <w:rPr>
          <w:rFonts w:ascii="Times New Roman" w:hAnsi="Times New Roman"/>
          <w:b/>
          <w:noProof/>
          <w:color w:val="000000"/>
          <w:sz w:val="24"/>
          <w:szCs w:val="24"/>
          <w:u w:color="000000"/>
          <w:bdr w:val="nil"/>
        </w:rPr>
        <w:t>Fond għall-Ġestjoni Integrata tal-Fruntieri</w:t>
      </w:r>
      <w:r>
        <w:rPr>
          <w:rFonts w:ascii="Times New Roman" w:hAnsi="Times New Roman"/>
          <w:noProof/>
          <w:color w:val="000000"/>
          <w:sz w:val="24"/>
          <w:szCs w:val="24"/>
          <w:u w:color="000000"/>
          <w:bdr w:val="nil"/>
        </w:rPr>
        <w:t xml:space="preserve"> biex jintlaħaq livell ta’ EUR 22 biljun.</w:t>
      </w:r>
    </w:p>
    <w:p w:rsidR="00F25D64" w:rsidRDefault="002A4170">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u w:color="000000"/>
          <w:bdr w:val="nil"/>
        </w:rPr>
        <w:t>Niżguraw appoġġ b’saħħtu għall-awtonomija strateġika u s-sigurtà Ewropea billi nżidu l-</w:t>
      </w:r>
      <w:r>
        <w:rPr>
          <w:rFonts w:ascii="Times New Roman" w:hAnsi="Times New Roman"/>
          <w:b/>
          <w:noProof/>
          <w:color w:val="000000"/>
          <w:sz w:val="24"/>
          <w:szCs w:val="24"/>
          <w:u w:color="000000"/>
          <w:bdr w:val="nil"/>
        </w:rPr>
        <w:t>Fond għas-Sigurtà Interna</w:t>
      </w:r>
      <w:r>
        <w:rPr>
          <w:rFonts w:ascii="Times New Roman" w:hAnsi="Times New Roman"/>
          <w:noProof/>
          <w:color w:val="000000"/>
          <w:sz w:val="24"/>
          <w:szCs w:val="24"/>
          <w:u w:color="000000"/>
          <w:bdr w:val="nil"/>
        </w:rPr>
        <w:t xml:space="preserve"> għal EUR 2,2 biljun </w:t>
      </w:r>
      <w:r>
        <w:rPr>
          <w:rFonts w:ascii="Times New Roman" w:hAnsi="Times New Roman"/>
          <w:noProof/>
          <w:color w:val="000000"/>
          <w:sz w:val="24"/>
          <w:szCs w:val="24"/>
          <w:bdr w:val="none" w:sz="0" w:space="0" w:color="auto" w:frame="1"/>
        </w:rPr>
        <w:t>u nsaħħu l-</w:t>
      </w:r>
      <w:r>
        <w:rPr>
          <w:rFonts w:ascii="Times New Roman" w:hAnsi="Times New Roman"/>
          <w:b/>
          <w:noProof/>
          <w:color w:val="000000"/>
          <w:sz w:val="24"/>
          <w:szCs w:val="24"/>
          <w:bdr w:val="none" w:sz="0" w:space="0" w:color="auto" w:frame="1"/>
        </w:rPr>
        <w:t xml:space="preserve">Fond Ewropew </w:t>
      </w:r>
      <w:r>
        <w:rPr>
          <w:rFonts w:ascii="Times New Roman" w:hAnsi="Times New Roman"/>
          <w:b/>
          <w:noProof/>
          <w:color w:val="000000"/>
          <w:sz w:val="24"/>
          <w:szCs w:val="24"/>
          <w:bdr w:val="none" w:sz="0" w:space="0" w:color="auto" w:frame="1"/>
        </w:rPr>
        <w:t>għad-Difiża</w:t>
      </w:r>
      <w:r>
        <w:rPr>
          <w:rFonts w:ascii="Times New Roman" w:hAnsi="Times New Roman"/>
          <w:noProof/>
          <w:color w:val="000000"/>
          <w:sz w:val="24"/>
          <w:szCs w:val="24"/>
          <w:bdr w:val="none" w:sz="0" w:space="0" w:color="auto" w:frame="1"/>
        </w:rPr>
        <w:t xml:space="preserve"> għal livell ta’ EUR 8 biljun</w:t>
      </w:r>
      <w:r>
        <w:rPr>
          <w:rFonts w:ascii="Times New Roman" w:hAnsi="Times New Roman"/>
          <w:noProof/>
          <w:color w:val="000000"/>
          <w:sz w:val="24"/>
          <w:szCs w:val="24"/>
          <w:u w:color="000000"/>
          <w:bdr w:val="nil"/>
        </w:rPr>
        <w:t>.</w:t>
      </w:r>
    </w:p>
    <w:p w:rsidR="00F25D64" w:rsidRDefault="002A4170">
      <w:pPr>
        <w:pStyle w:val="ListParagraph"/>
        <w:numPr>
          <w:ilvl w:val="0"/>
          <w:numId w:val="41"/>
        </w:numPr>
        <w:pBdr>
          <w:top w:val="nil"/>
          <w:left w:val="nil"/>
          <w:bottom w:val="nil"/>
          <w:right w:val="nil"/>
          <w:between w:val="nil"/>
          <w:bar w:val="nil"/>
        </w:pBdr>
        <w:spacing w:before="120" w:after="120" w:line="240" w:lineRule="auto"/>
        <w:contextualSpacing w:val="0"/>
        <w:rPr>
          <w:rFonts w:eastAsia="Arial Unicode MS" w:cs="Arial Unicode MS"/>
          <w:noProof/>
          <w:color w:val="000000"/>
          <w:szCs w:val="24"/>
          <w:u w:color="000000"/>
          <w:bdr w:val="nil"/>
        </w:rPr>
      </w:pPr>
      <w:r>
        <w:rPr>
          <w:rFonts w:ascii="Times New Roman" w:hAnsi="Times New Roman"/>
          <w:noProof/>
          <w:color w:val="000000"/>
          <w:sz w:val="24"/>
          <w:szCs w:val="24"/>
          <w:u w:color="000000"/>
          <w:bdr w:val="nil"/>
        </w:rPr>
        <w:t>Nappoġġaw lis-sħab tagħna fil-Balkani tal-Punent billi ntellgħu l-</w:t>
      </w:r>
      <w:r>
        <w:rPr>
          <w:rFonts w:ascii="Times New Roman" w:hAnsi="Times New Roman"/>
          <w:b/>
          <w:noProof/>
          <w:color w:val="000000"/>
          <w:sz w:val="24"/>
          <w:szCs w:val="24"/>
          <w:u w:color="000000"/>
          <w:bdr w:val="nil"/>
        </w:rPr>
        <w:t>assistenza ta’ qabel l-adeżjoni</w:t>
      </w:r>
      <w:r>
        <w:rPr>
          <w:rFonts w:ascii="Times New Roman" w:hAnsi="Times New Roman"/>
          <w:noProof/>
          <w:color w:val="000000"/>
          <w:sz w:val="24"/>
          <w:szCs w:val="24"/>
          <w:u w:color="000000"/>
          <w:bdr w:val="nil"/>
        </w:rPr>
        <w:t xml:space="preserve"> tal-Unjoni għal livell ta’ EUR 12,9 biljun.</w:t>
      </w:r>
    </w:p>
    <w:p w:rsidR="00F25D64" w:rsidRDefault="002A4170">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B’dawn l-aġġustamenti mmirati, l-Unjoni se jkollha qafas finanzjarju fit</w:t>
      </w:r>
      <w:r>
        <w:rPr>
          <w:noProof/>
          <w:color w:val="000000"/>
          <w:szCs w:val="24"/>
          <w:u w:color="000000"/>
          <w:bdr w:val="nil"/>
        </w:rPr>
        <w:t>-tul allinjat aħjar mal-prijoritajiet u l-ambizzjonijiet tagħha u mfassal biex jibni r-reżiljenza u l-awtonomija strateġika tal-Unjoni fiż-żmien medju u fit-tul. Għaldaqstant, il-Kummissjoni qed tipproponi emendi mmirati għall-proposta tagħha tal-2018 għal</w:t>
      </w:r>
      <w:r>
        <w:rPr>
          <w:noProof/>
          <w:color w:val="000000"/>
          <w:szCs w:val="24"/>
          <w:u w:color="000000"/>
          <w:bdr w:val="nil"/>
        </w:rPr>
        <w:t>l-qafas finanzjarju li jmiss li jinkorpora r-riżultati tan-negozjati sa issa, għall-proposta tagħha għal Mekkaniżmu ta’ Tranżizzjoni Ġusta</w:t>
      </w:r>
      <w:r>
        <w:rPr>
          <w:rStyle w:val="FootnoteReference"/>
          <w:noProof/>
        </w:rPr>
        <w:footnoteReference w:id="9"/>
      </w:r>
      <w:r>
        <w:rPr>
          <w:noProof/>
          <w:color w:val="000000"/>
          <w:szCs w:val="24"/>
          <w:u w:color="000000"/>
          <w:bdr w:val="nil"/>
        </w:rPr>
        <w:t>, u r-rinforzi diskussi hawn fuq. Il-ħarsa ġenerali sħiħa programm programm tal-qafas finanzjarju pluriennali li tink</w:t>
      </w:r>
      <w:r>
        <w:rPr>
          <w:noProof/>
          <w:color w:val="000000"/>
          <w:szCs w:val="24"/>
          <w:u w:color="000000"/>
          <w:bdr w:val="nil"/>
        </w:rPr>
        <w:t>orpora Next Generation EU  hija ppreżentata fl-Anness</w:t>
      </w:r>
    </w:p>
    <w:p w:rsidR="00F25D64" w:rsidRDefault="002A4170">
      <w:pPr>
        <w:pStyle w:val="ListParagraph"/>
        <w:keepNext/>
        <w:numPr>
          <w:ilvl w:val="0"/>
          <w:numId w:val="31"/>
        </w:numPr>
        <w:spacing w:before="120" w:after="120"/>
        <w:ind w:left="777"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Għodod ta’ emerġenza aktar flessibbli</w:t>
      </w:r>
    </w:p>
    <w:p w:rsidR="00F25D64" w:rsidRDefault="002A4170">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Lil hinn mill-programmi individwali, il-kriżi enfasizzat kemm huwa importanti li l-Unjoni tkun tista’ tirreaġixxi malajr u b’mod flessibbli biex tistabbilixxi rispo</w:t>
      </w:r>
      <w:r>
        <w:rPr>
          <w:noProof/>
          <w:color w:val="000000"/>
          <w:szCs w:val="24"/>
          <w:u w:color="000000"/>
          <w:bdr w:val="nil"/>
        </w:rPr>
        <w:t>ns Ewropew ikkoordinat. Dan imbagħad jeħtieġ baġit tal-UE aktar flessibbli. Il-konsegwenzi kbar tal-kriżi tas-saħħa malajr eżawrew il-flessibilità tal-baġit attwali. Baġit aktar flessibbli u aġili huwa meħtieġ għall-futur, li jista’ jinkiseb biss permezz t</w:t>
      </w:r>
      <w:r>
        <w:rPr>
          <w:noProof/>
          <w:color w:val="000000"/>
          <w:szCs w:val="24"/>
          <w:u w:color="000000"/>
          <w:bdr w:val="nil"/>
        </w:rPr>
        <w:t>a’ strumenti speċjali mfassla tajjeb.</w:t>
      </w:r>
    </w:p>
    <w:p w:rsidR="00F25D64" w:rsidRDefault="002A4170">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Għaldaqstant, il-Kummissjoni tipproponi li jissaħħu l-flessibbiltà u l-għodod ta’ emerġenza li jistgħu jimmobilizzaw ir-riżorsi fil-livell ta’ skala biex jiġu indirizzati sfidi mhux previsti, bħall-</w:t>
      </w:r>
      <w:r>
        <w:rPr>
          <w:b/>
          <w:noProof/>
          <w:color w:val="000000"/>
          <w:szCs w:val="24"/>
          <w:u w:color="000000"/>
          <w:bdr w:val="nil"/>
        </w:rPr>
        <w:t>Fond ta’ Solidarjetà</w:t>
      </w:r>
      <w:r>
        <w:rPr>
          <w:noProof/>
          <w:color w:val="000000"/>
          <w:szCs w:val="24"/>
          <w:u w:color="000000"/>
          <w:bdr w:val="nil"/>
        </w:rPr>
        <w:t xml:space="preserve"> tal-</w:t>
      </w:r>
      <w:r>
        <w:rPr>
          <w:b/>
          <w:noProof/>
          <w:color w:val="000000"/>
          <w:szCs w:val="24"/>
          <w:u w:color="000000"/>
          <w:bdr w:val="nil"/>
        </w:rPr>
        <w:t>UE</w:t>
      </w:r>
      <w:r>
        <w:rPr>
          <w:noProof/>
          <w:color w:val="000000"/>
          <w:szCs w:val="24"/>
          <w:u w:color="000000"/>
          <w:bdr w:val="nil"/>
        </w:rPr>
        <w:t>, li jipprovdi appoġġ lill-Istati Membri u r-reġjuni milquta minn diżastri fuq skala kbira, u l-</w:t>
      </w:r>
      <w:r>
        <w:rPr>
          <w:b/>
          <w:noProof/>
          <w:color w:val="000000"/>
          <w:szCs w:val="24"/>
          <w:u w:color="000000"/>
          <w:bdr w:val="nil"/>
        </w:rPr>
        <w:t>Fond Ewropew ta’ Aġġustament għall-Globalizzazzjoni</w:t>
      </w:r>
      <w:r>
        <w:rPr>
          <w:noProof/>
          <w:color w:val="000000"/>
          <w:szCs w:val="24"/>
          <w:u w:color="000000"/>
          <w:bdr w:val="nil"/>
        </w:rPr>
        <w:t>, li jappoġġa lill-ħaddiema li jitilfu l-impjieg tagħhom bħala riżultat ta’ avvenimenti ta’ ristruttur</w:t>
      </w:r>
      <w:r>
        <w:rPr>
          <w:noProof/>
          <w:color w:val="000000"/>
          <w:szCs w:val="24"/>
          <w:u w:color="000000"/>
          <w:bdr w:val="nil"/>
        </w:rPr>
        <w:t>ar kbar.</w:t>
      </w:r>
    </w:p>
    <w:p w:rsidR="00F25D64" w:rsidRDefault="002A4170">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b/>
          <w:noProof/>
          <w:color w:val="000000"/>
          <w:szCs w:val="24"/>
          <w:u w:color="000000"/>
          <w:bdr w:val="nil"/>
        </w:rPr>
        <w:t>Riżerva ta’ Solidarjetà u Għajnuna ta’ Emerġenza</w:t>
      </w:r>
      <w:r>
        <w:rPr>
          <w:noProof/>
          <w:color w:val="000000"/>
          <w:szCs w:val="24"/>
          <w:u w:color="000000"/>
          <w:bdr w:val="nil"/>
        </w:rPr>
        <w:t xml:space="preserve"> msaħħa b’mod sinifikanti se ssaħħaħ l-azzjoni tal-UE b’reazzjoni għall-aspetti kollha tal-kriżi tas-saħħa, kif ukoll emerġenzi oħra. Il-fondi jistgħu jiġu allokati biex jipprovdu appoġġ ta’ emerġenza kif u meta meħtieġ permezz ta’ strumenti tal-UE bħall-g</w:t>
      </w:r>
      <w:r>
        <w:rPr>
          <w:noProof/>
          <w:color w:val="000000"/>
          <w:szCs w:val="24"/>
          <w:u w:color="000000"/>
          <w:bdr w:val="nil"/>
        </w:rPr>
        <w:t>ħajnuna umanitarja, l-Istrument ta’ Appoġġ ta’ Emerġenza, il-Programm tas-Suq Uniku, bil-miżuri veterinarji u fitosanitarji ta’ emerġenza tiegħu, jew il-Fond għall-Ażil u l-Migrazzjoni.</w:t>
      </w:r>
    </w:p>
    <w:p w:rsidR="00F25D64" w:rsidRDefault="002A4170">
      <w:pPr>
        <w:pBdr>
          <w:top w:val="nil"/>
          <w:left w:val="nil"/>
          <w:bottom w:val="nil"/>
          <w:right w:val="nil"/>
          <w:between w:val="nil"/>
          <w:bar w:val="nil"/>
        </w:pBdr>
        <w:spacing w:before="120" w:after="120"/>
        <w:rPr>
          <w:rFonts w:eastAsia="Arial Unicode MS"/>
          <w:noProof/>
          <w:szCs w:val="24"/>
          <w:u w:color="000000"/>
          <w:bdr w:val="nil"/>
        </w:rPr>
      </w:pPr>
      <w:r>
        <w:rPr>
          <w:noProof/>
          <w:szCs w:val="24"/>
          <w:u w:color="000000"/>
          <w:bdr w:val="nil"/>
        </w:rPr>
        <w:t xml:space="preserve">Flimkien, dawn l-istrumenti jipprovdu sa EUR 21 biljun f’finanzjament </w:t>
      </w:r>
      <w:r>
        <w:rPr>
          <w:noProof/>
          <w:szCs w:val="24"/>
          <w:u w:color="000000"/>
          <w:bdr w:val="nil"/>
        </w:rPr>
        <w:t>ta’ emerġenza addizzjonali matul il-perjodu 2021-2027 meta mqabbla mal-proposti tal-Kummissjoni tat-2 ta’ Mejju 2018.</w:t>
      </w:r>
    </w:p>
    <w:p w:rsidR="00F25D64" w:rsidRDefault="00F25D64">
      <w:pPr>
        <w:pBdr>
          <w:top w:val="nil"/>
          <w:left w:val="nil"/>
          <w:bottom w:val="nil"/>
          <w:right w:val="nil"/>
          <w:between w:val="nil"/>
          <w:bar w:val="nil"/>
        </w:pBdr>
        <w:spacing w:before="120" w:after="120"/>
        <w:rPr>
          <w:rFonts w:eastAsia="Arial Unicode MS"/>
          <w:noProof/>
          <w:szCs w:val="24"/>
          <w:u w:color="000000"/>
          <w:bdr w:val="nil"/>
          <w:lang w:eastAsia="fr-BE"/>
        </w:rPr>
      </w:pPr>
    </w:p>
    <w:p w:rsidR="00F25D64" w:rsidRDefault="002A4170">
      <w:pPr>
        <w:pBdr>
          <w:top w:val="nil"/>
          <w:left w:val="nil"/>
          <w:bottom w:val="nil"/>
          <w:right w:val="nil"/>
          <w:between w:val="nil"/>
          <w:bar w:val="nil"/>
        </w:pBdr>
        <w:spacing w:before="120" w:after="120"/>
        <w:rPr>
          <w:rFonts w:eastAsia="Arial Unicode MS"/>
          <w:noProof/>
          <w:szCs w:val="24"/>
          <w:u w:color="000000"/>
          <w:bdr w:val="nil"/>
        </w:rPr>
      </w:pPr>
      <w:r>
        <w:rPr>
          <w:noProof/>
          <w:lang w:val="fr-BE" w:eastAsia="fr-BE"/>
        </w:rPr>
        <w:drawing>
          <wp:inline distT="0" distB="0" distL="0" distR="0">
            <wp:extent cx="5759450" cy="32051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3205169"/>
                    </a:xfrm>
                    <a:prstGeom prst="rect">
                      <a:avLst/>
                    </a:prstGeom>
                    <a:noFill/>
                  </pic:spPr>
                </pic:pic>
              </a:graphicData>
            </a:graphic>
          </wp:inline>
        </w:drawing>
      </w:r>
    </w:p>
    <w:p w:rsidR="00F25D64" w:rsidRDefault="002A4170">
      <w:pPr>
        <w:pStyle w:val="Heading2"/>
        <w:jc w:val="both"/>
      </w:pPr>
      <w:r>
        <w:t xml:space="preserve">Kif nagħmluha realtà: Next Generation EU </w:t>
      </w:r>
    </w:p>
    <w:p w:rsidR="00F25D64" w:rsidRDefault="002A4170">
      <w:pPr>
        <w:pStyle w:val="Text2"/>
        <w:keepLines/>
        <w:spacing w:before="120" w:after="120"/>
        <w:ind w:left="0"/>
        <w:rPr>
          <w:noProof/>
          <w:szCs w:val="24"/>
        </w:rPr>
      </w:pPr>
      <w:r>
        <w:rPr>
          <w:noProof/>
          <w:color w:val="000000"/>
          <w:szCs w:val="24"/>
          <w:u w:color="000000"/>
          <w:bdr w:val="nil"/>
        </w:rPr>
        <w:t>Il-biċċa l-kbira tal-miżuri ta’ rkupru proposti se jiġu mħaddma minn strument ta’ rkupru temp</w:t>
      </w:r>
      <w:r>
        <w:rPr>
          <w:noProof/>
          <w:color w:val="000000"/>
          <w:szCs w:val="24"/>
          <w:u w:color="000000"/>
          <w:bdr w:val="nil"/>
        </w:rPr>
        <w:t xml:space="preserve">oranju ġdid </w:t>
      </w:r>
      <w:r>
        <w:rPr>
          <w:b/>
          <w:noProof/>
          <w:color w:val="000000"/>
          <w:szCs w:val="24"/>
          <w:u w:color="000000"/>
          <w:bdr w:val="nil"/>
        </w:rPr>
        <w:t>Next Generation EU</w:t>
      </w:r>
      <w:r>
        <w:rPr>
          <w:noProof/>
          <w:color w:val="000000"/>
          <w:szCs w:val="24"/>
          <w:u w:color="000000"/>
          <w:bdr w:val="nil"/>
        </w:rPr>
        <w:t xml:space="preserve"> b’qawwa finanzjarja ta’ EUR 750 biljun. L-istrument se jkun mekkaniżmu ta’ emerġenza eċċezzjonali u temporanju. Il-finanzjament se jkun possibbli permezz tad-Deċiżjoni dwar ir-Riżorsi Proprji, li se tippermetti </w:t>
      </w:r>
      <w:r>
        <w:rPr>
          <w:noProof/>
        </w:rPr>
        <w:t>lill-Kummissjo</w:t>
      </w:r>
      <w:r>
        <w:rPr>
          <w:noProof/>
        </w:rPr>
        <w:t xml:space="preserve">ni biex tissellef sa EUR 750 biljun f’isem l-Unjoni, għal miżuri matul il-perjodu 2021-2024. </w:t>
      </w:r>
    </w:p>
    <w:p w:rsidR="00F25D64" w:rsidRDefault="002A4170">
      <w:pPr>
        <w:pStyle w:val="Text2"/>
        <w:spacing w:before="120" w:after="120"/>
        <w:ind w:left="0"/>
        <w:rPr>
          <w:rFonts w:eastAsia="Arial Unicode MS"/>
          <w:noProof/>
        </w:rPr>
      </w:pPr>
      <w:r>
        <w:rPr>
          <w:noProof/>
        </w:rPr>
        <w:t>Biex tipprovdi l-kapaċità baġitarja meħtieġa biex jiġu akkomodati r-responsabbiltajiet potenzjali relatati mal-finanzjament ta’ Next Generation EU u skont ir-rekw</w:t>
      </w:r>
      <w:r>
        <w:rPr>
          <w:noProof/>
        </w:rPr>
        <w:t>iżiti ta’ dixxiplina baġitarja, id-Deċiżjoni riveduta dwar ir-Riżorsi Proprji se tinkludi żieda eċċezzjonali u temporanja tal-limiti massimi tar-riżorsi proprji għall-impenji u l-pagamenti b’0,6 % tal-introjtu nazzjonali gross tal-UE. L-espansjoni tal-limi</w:t>
      </w:r>
      <w:r>
        <w:rPr>
          <w:noProof/>
        </w:rPr>
        <w:t>ti massimi se tintuża biss għall-fini li jiġu indirizzati l-ħtiġijiet ta’ kriżi tal-COVID 19 u limitata għat-tul meħtieġ biex jiġu koperti dawn l-obbligazzjonijiet.</w:t>
      </w:r>
    </w:p>
    <w:p w:rsidR="00F25D64" w:rsidRDefault="002A4170">
      <w:pPr>
        <w:pStyle w:val="Text2"/>
        <w:spacing w:before="120" w:after="120"/>
        <w:ind w:left="0"/>
        <w:rPr>
          <w:rFonts w:eastAsia="Arial Unicode MS" w:cs="Arial Unicode MS"/>
          <w:noProof/>
          <w:color w:val="000000"/>
          <w:szCs w:val="24"/>
          <w:u w:color="000000"/>
          <w:bdr w:val="nil"/>
        </w:rPr>
      </w:pPr>
      <w:r>
        <w:rPr>
          <w:noProof/>
          <w:color w:val="000000"/>
          <w:szCs w:val="24"/>
          <w:u w:color="000000"/>
          <w:bdr w:val="nil"/>
        </w:rPr>
        <w:t>L-iskala ta’ Next Generation EU u t-tfassil tiegħu jirriflettu l-kobor u l-urġenza tal-isfi</w:t>
      </w:r>
      <w:r>
        <w:rPr>
          <w:noProof/>
          <w:color w:val="000000"/>
          <w:szCs w:val="24"/>
          <w:u w:color="000000"/>
          <w:bdr w:val="nil"/>
        </w:rPr>
        <w:t xml:space="preserve">di li qed tiffaċċja l-Unjoni. Il-ħtiġijiet ta’ finanzjament għal investimenti urġenti li jqumu wara l-kriżi huma bla preċedent. Rispons deċiżiv u straordinarju fil-livell tal-Unjoni huwa għalhekk meħtieġ. In-natura mingħajr preċedent ta’ din l-operazzjoni </w:t>
      </w:r>
      <w:r>
        <w:rPr>
          <w:noProof/>
          <w:color w:val="000000"/>
          <w:szCs w:val="24"/>
          <w:u w:color="000000"/>
          <w:bdr w:val="nil"/>
        </w:rPr>
        <w:t>u l-ammont eċċezzjonali ta’ dawk il-fondi jeħtieġu li jankraw fis-sistema tar-riżorsi proprji, li hija approvata mill-Istati Membri kollha skont ir-rekwiżiti kostituzzjonali tagħhom.</w:t>
      </w:r>
      <w:r>
        <w:rPr>
          <w:noProof/>
        </w:rPr>
        <w:t xml:space="preserve"> </w:t>
      </w:r>
    </w:p>
    <w:p w:rsidR="00F25D64" w:rsidRDefault="002A4170">
      <w:pPr>
        <w:pStyle w:val="Text2"/>
        <w:spacing w:before="120" w:after="120"/>
        <w:ind w:left="0"/>
        <w:rPr>
          <w:rFonts w:eastAsia="Arial Unicode MS" w:cs="Arial Unicode MS"/>
          <w:noProof/>
          <w:color w:val="000000"/>
          <w:szCs w:val="24"/>
          <w:u w:color="000000"/>
          <w:bdr w:val="nil"/>
        </w:rPr>
      </w:pPr>
      <w:r>
        <w:rPr>
          <w:noProof/>
          <w:color w:val="000000"/>
          <w:szCs w:val="24"/>
          <w:u w:color="000000"/>
          <w:bdr w:val="nil"/>
        </w:rPr>
        <w:t>Appoġġ addizzjonali ffinanzjat permezz ta’ kontribuzzjonijiet nazzjonali</w:t>
      </w:r>
      <w:r>
        <w:rPr>
          <w:noProof/>
          <w:color w:val="000000"/>
          <w:szCs w:val="24"/>
          <w:u w:color="000000"/>
          <w:bdr w:val="nil"/>
        </w:rPr>
        <w:t xml:space="preserve"> miżjuda immedjatament wara l-kriżi jkompli jżid il-pressjoni fuq il-baġits nazzjonali. F’dawn iċ-ċirkustanzi straordinarji, huwa kompletament iġġustifikat li jintuża mekkaniżmu ta’ finanzjament li jipprovdi spinta ta’ nfiq sinifikanti u f’waqtha mingħajr </w:t>
      </w:r>
      <w:r>
        <w:rPr>
          <w:noProof/>
          <w:color w:val="000000"/>
          <w:szCs w:val="24"/>
          <w:u w:color="000000"/>
          <w:bdr w:val="nil"/>
        </w:rPr>
        <w:t>ma jiżdiedu d-djun nazzjonali, bħala espressjoni ta’ solidarjetà fi skala proporzjonata mal-kriżi.</w:t>
      </w:r>
    </w:p>
    <w:p w:rsidR="00F25D64" w:rsidRDefault="002A4170">
      <w:pPr>
        <w:pStyle w:val="Text2"/>
        <w:spacing w:before="120" w:after="120"/>
        <w:ind w:left="0"/>
        <w:rPr>
          <w:rFonts w:eastAsia="Arial Unicode MS" w:cs="Arial Unicode MS"/>
          <w:noProof/>
          <w:color w:val="000000"/>
          <w:szCs w:val="24"/>
          <w:u w:color="000000"/>
          <w:bdr w:val="nil"/>
        </w:rPr>
      </w:pPr>
      <w:r>
        <w:rPr>
          <w:noProof/>
          <w:color w:val="000000"/>
          <w:szCs w:val="24"/>
          <w:u w:color="000000"/>
          <w:bdr w:val="nil"/>
        </w:rPr>
        <w:t>Is-self se jibni fuq ir-rekord b’saħħtu tal-Unjoni tal-użu ta’ strumenti bbażati fuq is-suq biex jiġu appoġġati l-investiment u r-riformi fl-Istati Membri. L</w:t>
      </w:r>
      <w:r>
        <w:rPr>
          <w:noProof/>
          <w:color w:val="000000"/>
          <w:szCs w:val="24"/>
          <w:u w:color="000000"/>
          <w:bdr w:val="nil"/>
        </w:rPr>
        <w:t xml:space="preserve">-Unjoni </w:t>
      </w:r>
      <w:r>
        <w:rPr>
          <w:noProof/>
          <w:bdr w:val="none" w:sz="0" w:space="0" w:color="auto" w:frame="1"/>
        </w:rPr>
        <w:t xml:space="preserve">se tissellef fuq il-bażi tas-swieq finanzjarji b’kundizzjonijiet li jirriflettu </w:t>
      </w:r>
      <w:r>
        <w:rPr>
          <w:noProof/>
          <w:color w:val="000000"/>
          <w:szCs w:val="24"/>
          <w:u w:color="000000"/>
          <w:bdr w:val="nil"/>
        </w:rPr>
        <w:t xml:space="preserve">l-klassifikazzjoni tal-kreditu għolja ħafna tagħha u tidderieġi dawn il-fondi malajr sa fejn ikunu l-aktar meħtieġa. </w:t>
      </w:r>
    </w:p>
    <w:p w:rsidR="00F25D64" w:rsidRDefault="002A4170">
      <w:pPr>
        <w:pStyle w:val="Text2"/>
        <w:spacing w:before="120" w:after="120"/>
        <w:ind w:left="0"/>
        <w:rPr>
          <w:rFonts w:eastAsia="Arial Unicode MS" w:cs="Arial Unicode MS"/>
          <w:noProof/>
          <w:color w:val="000000"/>
          <w:szCs w:val="24"/>
          <w:u w:color="000000"/>
          <w:bdr w:val="nil"/>
        </w:rPr>
      </w:pPr>
      <w:r>
        <w:rPr>
          <w:noProof/>
        </w:rPr>
        <w:t>Għal dan il-għan, il-Kummissjoni se toħroġ bonds b’maturitajiet differenti fis-swieq kapitali, billi tagħmel l-aħjar użu mill-kapaċità ta’ dawn is-swieq biex jassorbu tali bonds filwaqt li tiżgura l-inqas kost medju tas-self. Strateġija ta’ finanzjament di</w:t>
      </w:r>
      <w:r>
        <w:rPr>
          <w:noProof/>
        </w:rPr>
        <w:t xml:space="preserve">versifikata bħal din tippermetti lill-Kummissjoni twettaq operazzjonijiet ta’ self b’mod l-aktar adattat għall-iskala tal-operazzjonijiet u l-ambjent prevalenti tas-suq. </w:t>
      </w:r>
    </w:p>
    <w:p w:rsidR="00F25D64" w:rsidRDefault="002A4170">
      <w:pPr>
        <w:pStyle w:val="Text2"/>
        <w:spacing w:before="120" w:after="120"/>
        <w:ind w:left="0"/>
        <w:rPr>
          <w:rFonts w:eastAsia="Arial Unicode MS" w:cs="Arial Unicode MS"/>
          <w:noProof/>
          <w:color w:val="000000"/>
          <w:szCs w:val="24"/>
          <w:u w:color="000000"/>
          <w:bdr w:val="nil"/>
        </w:rPr>
      </w:pPr>
      <w:r>
        <w:rPr>
          <w:noProof/>
          <w:color w:val="000000"/>
          <w:szCs w:val="24"/>
          <w:u w:color="000000"/>
          <w:bdr w:val="nil"/>
        </w:rPr>
        <w:t>EUR 500 biljun mill-fondi allokati permezz ta’ Next Generation EU se jintużaw biex ji</w:t>
      </w:r>
      <w:r>
        <w:rPr>
          <w:noProof/>
          <w:color w:val="000000"/>
          <w:szCs w:val="24"/>
          <w:u w:color="000000"/>
          <w:bdr w:val="nil"/>
        </w:rPr>
        <w:t>ffinanzjaw il-komponent ta’ għotja tal-Faċilità għall-Irkupru u r-Reżiljenza u jsaħħu l-programmi ewlenin oħra ta’ kriżi u rkupru. Il-bqija tal-finanzjament mobilizzat permezz tal-istrument ta’ EUR 250 biljun se jsir disponibbli għall-Istati Membri fil-for</w:t>
      </w:r>
      <w:r>
        <w:rPr>
          <w:noProof/>
          <w:color w:val="000000"/>
          <w:szCs w:val="24"/>
          <w:u w:color="000000"/>
          <w:bdr w:val="nil"/>
        </w:rPr>
        <w:t xml:space="preserve">ma ta’ self permezz tal-Faċilità għall-Irkupru u r-Reżiljenza. </w:t>
      </w:r>
    </w:p>
    <w:p w:rsidR="00F25D64" w:rsidRDefault="002A4170">
      <w:pPr>
        <w:pStyle w:val="Text2"/>
        <w:spacing w:before="120" w:after="120"/>
        <w:ind w:left="0"/>
        <w:rPr>
          <w:rFonts w:eastAsia="Arial Unicode MS"/>
          <w:noProof/>
        </w:rPr>
      </w:pPr>
      <w:r>
        <w:rPr>
          <w:noProof/>
          <w:color w:val="000000"/>
          <w:szCs w:val="24"/>
          <w:u w:color="000000"/>
          <w:bdr w:val="nil"/>
        </w:rPr>
        <w:t>Il-fondi miġbura se jitħallsu lura wara l-2027 u sa mhux aktar tard mill-2058. Dan se jgħin biex tittaffa l-pressjoni fuq il-baġits tal-Istati Membri fi żmien meta l-finanzi pubbliċi huma taħt</w:t>
      </w:r>
      <w:r>
        <w:rPr>
          <w:noProof/>
          <w:color w:val="000000"/>
          <w:szCs w:val="24"/>
          <w:u w:color="000000"/>
          <w:bdr w:val="nil"/>
        </w:rPr>
        <w:t xml:space="preserve"> pressjoni qawwija, filwaqt </w:t>
      </w:r>
      <w:r>
        <w:rPr>
          <w:noProof/>
        </w:rPr>
        <w:t>li jiġi żgurat li l-obbligi kollha li jirriżultaw minn dan il-ħruġ ta’ dejn se jiġu onorati minn baġits futuri tal-UE. Biex tiffaċilita l-ħlas lura tal-finanzi tas-suq miġbura u tgħin aktar tnaqqas il-pressjoni fuq il-baġits naz</w:t>
      </w:r>
      <w:r>
        <w:rPr>
          <w:noProof/>
        </w:rPr>
        <w:t>zjonali, il-Kummissjoni se tipproponi riżorsi proprji ġodda addizzjonali fi stadju aktar tard tal-perjodu finanzjarju.</w:t>
      </w:r>
    </w:p>
    <w:p w:rsidR="00F25D64" w:rsidRDefault="002A4170">
      <w:pPr>
        <w:pStyle w:val="Text2"/>
        <w:keepNext/>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b/>
          <w:noProof/>
          <w:color w:val="2696D3" w:themeColor="accent1"/>
        </w:rPr>
      </w:pPr>
      <w:r>
        <w:rPr>
          <w:b/>
          <w:noProof/>
          <w:color w:val="2696D3" w:themeColor="accent1"/>
        </w:rPr>
        <w:t>B’ħarsitha lejn il-futur: nirriformaw is-sistema tar-riżorsi proprji</w:t>
      </w:r>
    </w:p>
    <w:p w:rsidR="00F25D64" w:rsidRDefault="002A4170">
      <w:pPr>
        <w:pStyle w:val="Text2"/>
        <w:keepLines/>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Il-kuntest ekonomiku ġdid u l-ġestjoni sostenibbli tal-ħlas lura ta’</w:t>
      </w:r>
      <w:r>
        <w:rPr>
          <w:noProof/>
        </w:rPr>
        <w:t xml:space="preserve"> fondi miġbura taħt Next Generation EU  isaħħu l-każ għar-riforma fundamentali ta’ kif jiġi ffinanzjat il-baġit tal-UE.</w:t>
      </w:r>
    </w:p>
    <w:p w:rsidR="00F25D64" w:rsidRDefault="002A4170">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Il-Kummissjoni tibqa’ tal-fehma li l-eliminazzjoni gradwali tat-tnaqqisiet kollha se jagħmel il-qafas finanzjarju pluriennali aktar ibbi</w:t>
      </w:r>
      <w:r>
        <w:rPr>
          <w:noProof/>
        </w:rPr>
        <w:t>lanċjat. Madankollu, f’din is-sitwazzjoni, minħabba l-impatt ekonomiku tal-pandemija COVID-19, l-eliminazzjoni gradwali tat-tnaqqisiet ikun jinvolvi żidiet sproporzjonati ta’ kontribuzzjonijiet għal ċerti Stati Membri fl-2021-2027. Biex dan jiġi evitat, it</w:t>
      </w:r>
      <w:r>
        <w:rPr>
          <w:noProof/>
        </w:rPr>
        <w:t xml:space="preserve">-tnaqqisiet attwali jistgħu jitneħħew gradwalment fuq perjodu ta’ żmien ħafna itwal minn dak previst mill-Kummissjoni fil-proposta tagħha fl-2018. </w:t>
      </w:r>
    </w:p>
    <w:p w:rsidR="00F25D64" w:rsidRDefault="002A4170">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Riżorsi proprji ġodda jikkumplimentaw ir-riżorsi proprji tradizzjonali, riżorsa proprja bbażata fuq it-taxxa</w:t>
      </w:r>
      <w:r>
        <w:rPr>
          <w:noProof/>
        </w:rPr>
        <w:t xml:space="preserve"> fuq il-valur miżjud u kontribuzzjonijiet nazzjonali, kif ukoll riżorsi proprji ġodda bbażati fuq l-iskart mill-imballaġġ tal-plastik mhux riċiklat. Se jibnu fuq il-prijoritajiet u l-politiki tal-UE bil-għan li jindirizzaw it-tibdil fil-klima, iżda wkoll t</w:t>
      </w:r>
      <w:r>
        <w:rPr>
          <w:noProof/>
        </w:rPr>
        <w:t xml:space="preserve">assazzjoni ġusta f’dinja globalizzata. </w:t>
      </w:r>
    </w:p>
    <w:p w:rsidR="00F25D64" w:rsidRDefault="002A4170">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Il-Kummissjoni hija impenjata li tagħti riżultati skont il-Patt Ekoloġiku. F’dan il-kuntest, ir-riżorsi proprji ekoloġiċi jistgħu jikkontribwixxu għall-isforz ta’ rkupru, filwaqt li jappoġġaw it-tranżizzjoni ekoloġik</w:t>
      </w:r>
      <w:r>
        <w:rPr>
          <w:noProof/>
        </w:rPr>
        <w:t>a tal-ekonomija u s-soċjetà Ewropea. L-għażliet jistgħu jinkludu riżorsa proprja bbażata fuq is-Sistema għall-Iskambju ta’ Kwoti tal-Emissjonijiet inkluża l-estensjoni possibbli tagħha għas-setturi marittimi u tal-avjazzjoni, u mekkaniżmu ta’ aġġustament t</w:t>
      </w:r>
      <w:r>
        <w:rPr>
          <w:noProof/>
        </w:rPr>
        <w:t xml:space="preserve">al-karbonju fil-fruntiera.  </w:t>
      </w:r>
    </w:p>
    <w:p w:rsidR="00F25D64" w:rsidRDefault="002A4170">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Riżorsa proprja bbażata fuq is-Sistema għall-Iskambju ta’ Kwoti tal-Emissjonijiet kif diskussa fil-Kunsill Ewropew f’Frar 2020 tippermetti lill-Istati Membri jżommu l-istess ammont ta’ dħul li rċevew mill-irkant tul perjodu reċ</w:t>
      </w:r>
      <w:r>
        <w:rPr>
          <w:noProof/>
        </w:rPr>
        <w:t>enti. Kull dħul iġġenerat mis-Sistema Ewropea għall-Iskambju ta’ Kwoti tal-Emissjonijiet li jaqbeż dan il-massimu jmur għall-baġit tal-UE. Riżorsi proprji bħal dawn jistgħu jiġġeneraw dħul għall-baġit tal-UE ta’ madwar EUR 10 biljun, skont l-evoluzzjoni ta</w:t>
      </w:r>
      <w:r>
        <w:rPr>
          <w:noProof/>
        </w:rPr>
        <w:t xml:space="preserve">l-prezz tal-karbonju u l-estensjoni tas-sistema għal setturi oħra. </w:t>
      </w:r>
    </w:p>
    <w:p w:rsidR="00F25D64" w:rsidRDefault="002A4170">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 xml:space="preserve">Fl-istess ħin, se jkun importanti li jiġi żgurat li l-kumpaniji tal-UE jikkompetu ma’ kumpaniji mhux tal-UE b’kundizzjonijiet ekwi. Mekkaniżmu ta’ aġġustament tal-karbonju għall-fruntiera </w:t>
      </w:r>
      <w:r>
        <w:rPr>
          <w:noProof/>
        </w:rPr>
        <w:t>jgħin biex tiġi evitata r-rilokazzjoni tal-emissjonijiet tal-karbonju, li jdgħajjef l-isforzi tal-UE lejn tranżizzjoni lejn soċjetà newtrali f’termini ta’ emissjonijiet tal-karbonju. Mekkaniżmu ta’ aġġustament tal-karbonju fil-fruntiera jista’ jġib dħul ad</w:t>
      </w:r>
      <w:r>
        <w:rPr>
          <w:noProof/>
        </w:rPr>
        <w:t xml:space="preserve">dizzjonali li jvarja minn madwar EUR 5 biljun sa EUR 14-il biljun, skont il-kamp ta’ applikazzjoni u d-disinn. </w:t>
      </w:r>
    </w:p>
    <w:p w:rsidR="00F25D64" w:rsidRDefault="002A4170">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Il-kumpaniji li jieħdu benefiċċji kbar mis-suq uniku tal-UE u li se jissopravivu l-kriżi, anki bis-saħħa tal-appoġġ dirett u indirett tal-UE u d</w:t>
      </w:r>
      <w:r>
        <w:rPr>
          <w:noProof/>
        </w:rPr>
        <w:t xml:space="preserve">ak nazzjonali, jistgħu jikkontribwixxu biex terġa’ tinbena fil-fażi ta’ rkupru. Dan jista’ jinkludi riżorsa proprja bbażata fuq operazzjonijiet ta’ intrapriżi li, skont id-disinn tiegħu, jistgħu jrendu madwar EUR 10 biljun fis-sena. </w:t>
      </w:r>
    </w:p>
    <w:p w:rsidR="00F25D64" w:rsidRDefault="002A4170">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Taxxa diġitali tkun ti</w:t>
      </w:r>
      <w:r>
        <w:rPr>
          <w:noProof/>
        </w:rPr>
        <w:t>bni fuq il-ħidma tal-OECD fuq it-tassazzjoni korporattiva ta’ preżenza diġitali sinifikanti; il-Kummissjoni tappoġġa attivament id-diskussjonijiet immexxija mill-OECD u l-G20 u tinsab lesta biex taġixxi jekk ma jintlaħaq l-ebda ftehim globali. Taxxa diġita</w:t>
      </w:r>
      <w:r>
        <w:rPr>
          <w:noProof/>
        </w:rPr>
        <w:t>li applikata fuq kumpaniji b’fatturat ta’ aktar minn EUR 750 miljun tista’ tiġġenera sa EUR 1,3 biljun fis-sena għall-baġit tal-UE.</w:t>
      </w:r>
    </w:p>
    <w:p w:rsidR="00F25D64" w:rsidRDefault="002A4170">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Dawn ir-riżorsi proprji ġodda jistgħu jgħinu biex jiffinanzjaw ir-ripagament u l-interess fuq il-finanzjament tas-suq miġbur</w:t>
      </w:r>
      <w:r>
        <w:rPr>
          <w:noProof/>
        </w:rPr>
        <w:t xml:space="preserve"> taħt Next Generation EU. Jekk jiġu introdotti sal-2024, il-kontribuzzjonijiet nazzjonali tal-Istati Membri għall-qafas finanzjarju pluriennali 2021-2027 jistgħu jonqsu bħala sehem mill-ekonomija tagħhom meta mqabbla mal-pagamenti tagħhom fl-2020. </w:t>
      </w:r>
    </w:p>
    <w:p w:rsidR="00F25D64" w:rsidRDefault="002A4170">
      <w:pPr>
        <w:pStyle w:val="Text2"/>
        <w:spacing w:before="120" w:after="120"/>
        <w:ind w:left="0"/>
        <w:rPr>
          <w:rFonts w:eastAsia="Arial Unicode MS"/>
          <w:noProof/>
        </w:rPr>
      </w:pPr>
      <w:r>
        <w:rPr>
          <w:noProof/>
        </w:rPr>
        <w:t>Il-flus</w:t>
      </w:r>
      <w:r>
        <w:rPr>
          <w:noProof/>
        </w:rPr>
        <w:t>si ta’ dħul u ta’ pagament kollha bbażati fuq Next Generation EU se jkunu addizzjonali għall-approprjazzjonijiet allokati matul il-proċedura baġitarja annwali</w:t>
      </w:r>
      <w:r>
        <w:rPr>
          <w:noProof/>
          <w:color w:val="000000"/>
          <w:szCs w:val="24"/>
          <w:u w:color="000000"/>
          <w:bdr w:val="nil"/>
        </w:rPr>
        <w:t>, u għaldaqstant mhux se jkollhom impatt fuq il-bilanċ baġitarju</w:t>
      </w:r>
      <w:r>
        <w:rPr>
          <w:noProof/>
        </w:rPr>
        <w:t xml:space="preserve">. Dawn il-flussi, inkluż l-imgħax </w:t>
      </w:r>
      <w:r>
        <w:rPr>
          <w:noProof/>
        </w:rPr>
        <w:t>imħallas, se jintwerew b’mod distint fil-baġit biex juru l-karattru temporanju u eċċezzjonali tagħhom u biex jipprovdu trasparenza sħiħa</w:t>
      </w:r>
      <w:r>
        <w:rPr>
          <w:rStyle w:val="FootnoteReference"/>
          <w:rFonts w:eastAsia="Arial Unicode MS"/>
          <w:noProof/>
        </w:rPr>
        <w:footnoteReference w:id="10"/>
      </w:r>
      <w:r>
        <w:rPr>
          <w:noProof/>
        </w:rPr>
        <w:t>.</w:t>
      </w:r>
    </w:p>
    <w:p w:rsidR="00F25D64" w:rsidRDefault="002A4170">
      <w:pPr>
        <w:spacing w:before="120" w:after="120"/>
        <w:rPr>
          <w:rFonts w:eastAsia="Arial Unicode MS"/>
          <w:noProof/>
        </w:rPr>
      </w:pPr>
      <w:r>
        <w:rPr>
          <w:noProof/>
        </w:rPr>
        <w:t>Barra minn hekk, l-impatt ekonomiku tal-pandemija tal-Coronavirus jenfasizza l-importanza li jiġi żgurat biżżejjed sp</w:t>
      </w:r>
      <w:r>
        <w:rPr>
          <w:noProof/>
        </w:rPr>
        <w:t>azju fiskali għall-Unjoni f’każijiet ta’ xokkijiet ekonomiċi li jwasslu għal tnaqqis fl-introjtu nazzjonali gross. Sabiex jiġi ppreservat marġni suffiċjenti skont il-limiti massimi tar-riżorsi proprji għall-Unjoni biex tkopri l-obbligi finanzjarji u l-obbl</w:t>
      </w:r>
      <w:r>
        <w:rPr>
          <w:noProof/>
        </w:rPr>
        <w:t>igazzjonijiet kontinġenti tagħha li jkunu dovuti f’sena partikolari, anki taħt l-aktar żviluppi ekonomiċi negattivi, il-Kummissjoni tipproponi li żżid il-limiti massimi tar-riżorsi proprji fuq bażi permanenti għal 1,46 % tal-introjtu nazzjonali gross tal-U</w:t>
      </w:r>
      <w:r>
        <w:rPr>
          <w:noProof/>
        </w:rPr>
        <w:t xml:space="preserve">E għall-impenji u għal 1,40 % għall-pagamenti. </w:t>
      </w:r>
    </w:p>
    <w:p w:rsidR="00F25D64" w:rsidRDefault="002A4170">
      <w:pPr>
        <w:pStyle w:val="Heading2"/>
        <w:ind w:left="357" w:hanging="357"/>
      </w:pPr>
      <w:r>
        <w:t>Konklużjoni – it-triq lejn ftehim rapidu dwar baġit ambizzjuż għall-irkupru Ewropew</w:t>
      </w:r>
    </w:p>
    <w:p w:rsidR="00F25D64" w:rsidRDefault="002A4170">
      <w:pPr>
        <w:keepLines/>
        <w:pBdr>
          <w:top w:val="nil"/>
          <w:left w:val="nil"/>
          <w:bottom w:val="nil"/>
          <w:right w:val="nil"/>
          <w:between w:val="nil"/>
          <w:bar w:val="nil"/>
        </w:pBdr>
        <w:spacing w:before="120" w:after="120"/>
        <w:rPr>
          <w:noProof/>
        </w:rPr>
      </w:pPr>
      <w:r>
        <w:rPr>
          <w:noProof/>
        </w:rPr>
        <w:t xml:space="preserve">F’dan iż-żmien ta’ tbatija u inċertezza straordinarja, l-Unjoni teħtieġ aktar minn qatt qabel li turi li hija lesta u disposta li taġixxi b’mod deċiżiv u tfassal triq lejn ġejjieni aħjar. Ftehim dwar </w:t>
      </w:r>
      <w:r>
        <w:rPr>
          <w:b/>
          <w:noProof/>
        </w:rPr>
        <w:t>pjan ambizzjuż ta’ rkupru bil-baġit tal-UE fil-qalba tie</w:t>
      </w:r>
      <w:r>
        <w:rPr>
          <w:b/>
          <w:noProof/>
        </w:rPr>
        <w:t>għu se jagħti lill-Unjoni l-aħjar ċans ta’ suċċess possibbli.</w:t>
      </w:r>
    </w:p>
    <w:p w:rsidR="00F25D64" w:rsidRDefault="002A4170">
      <w:pPr>
        <w:pBdr>
          <w:top w:val="nil"/>
          <w:left w:val="nil"/>
          <w:bottom w:val="nil"/>
          <w:right w:val="nil"/>
          <w:between w:val="nil"/>
          <w:bar w:val="nil"/>
        </w:pBdr>
        <w:spacing w:before="120" w:after="120"/>
        <w:rPr>
          <w:noProof/>
        </w:rPr>
      </w:pPr>
      <w:r>
        <w:rPr>
          <w:noProof/>
          <w:color w:val="000000"/>
          <w:szCs w:val="24"/>
          <w:u w:color="000000"/>
          <w:bdr w:val="nil"/>
        </w:rPr>
        <w:t xml:space="preserve">Next Generation EU se jisfrutta l-potenzjal sħiħ tal-baġit tal-UE biex </w:t>
      </w:r>
      <w:r>
        <w:rPr>
          <w:noProof/>
        </w:rPr>
        <w:t>jagħti spinta lill-ekonomija u jsaħħaħ is-sostenibbiltà, ir-reżiljenza u l-awtonomija strateġika tal-Ewropa. Jibni fuq l-es</w:t>
      </w:r>
      <w:r>
        <w:rPr>
          <w:noProof/>
        </w:rPr>
        <w:t xml:space="preserve">perjenza tal-Unjoni li tuża l-finanzjament tas-suq u jespandih biex jikseb l-iskala ta’ appoġġ li hija meħtieġa b’mod urġenti fiċ-ċirkostanzi tal-lum.  </w:t>
      </w:r>
    </w:p>
    <w:p w:rsidR="00F25D64" w:rsidRDefault="002A4170">
      <w:pPr>
        <w:pBdr>
          <w:top w:val="nil"/>
          <w:left w:val="nil"/>
          <w:bottom w:val="nil"/>
          <w:right w:val="nil"/>
          <w:between w:val="nil"/>
          <w:bar w:val="nil"/>
        </w:pBdr>
        <w:spacing w:before="120" w:after="120"/>
        <w:rPr>
          <w:noProof/>
        </w:rPr>
      </w:pPr>
      <w:r>
        <w:rPr>
          <w:noProof/>
        </w:rPr>
        <w:t>Qafas finanzjarju pluriennali msaħħaħ għall-2021-2027 se jiggwida lill-Unjoni lura mill-kriżi lejn il-m</w:t>
      </w:r>
      <w:r>
        <w:rPr>
          <w:noProof/>
        </w:rPr>
        <w:t>ogħdija tal-irkupru fit-tul, billi jipprovdi finanzjament essenzjali għal ħtiġijiet immedjati u għal investimenti fit-tul fit-tranżizzjonijiet ekoloġiċi u diġitali.</w:t>
      </w:r>
    </w:p>
    <w:p w:rsidR="00F25D64" w:rsidRDefault="002A4170">
      <w:pPr>
        <w:spacing w:before="120" w:after="120"/>
        <w:rPr>
          <w:noProof/>
        </w:rPr>
      </w:pPr>
      <w:r>
        <w:rPr>
          <w:noProof/>
        </w:rPr>
        <w:t xml:space="preserve">Is-suċċess tal-pjan ta’ rkupru se jiddependi mhux biss fuq l-iskala u l-ambizzjoni tagħha, </w:t>
      </w:r>
      <w:r>
        <w:rPr>
          <w:noProof/>
        </w:rPr>
        <w:t>iżda wkoll fuq il-ħeffa tal-azzjoni u l-abbiltà li tiġi aġġustata r-reazzjoni fid-dawl tal-iżviluppi. Hemm bżonn urġenti ta’ appoġġ finanzjarju f’ħafna partijiet tal-Unjoni biex in-negozji jibqgħu f’wiċċ l-ilma u jiġu appoġġati dawk li l-aktar għandhom bżo</w:t>
      </w:r>
      <w:r>
        <w:rPr>
          <w:noProof/>
        </w:rPr>
        <w:t>nn. Fadal ukoll ftit żmien biex jintlaħaq qbil dwar il-qafas fit-tul – iżda għadu mhux tard wisq. Ftehim rapidu se jippermetti li l-programmi msaħħa jiġu mnedija fil-ħin.</w:t>
      </w:r>
    </w:p>
    <w:p w:rsidR="00F25D64" w:rsidRDefault="002A4170">
      <w:pPr>
        <w:spacing w:before="120" w:after="120"/>
        <w:rPr>
          <w:noProof/>
        </w:rPr>
      </w:pPr>
      <w:r>
        <w:rPr>
          <w:noProof/>
        </w:rPr>
        <w:t>Il-Kummissjoni tikkondividi d-determinazzjoni tal-Parlament Ewropew li jiżgura li jku</w:t>
      </w:r>
      <w:r>
        <w:rPr>
          <w:noProof/>
        </w:rPr>
        <w:t xml:space="preserve">n hemm tranżizzjoni bla xkiel għall-qafas fit-tul il-ġdid. Madankollu, l-estensjoni tal-qafas attwali mhuwiex sostitut għal ftehim komprensiv dwar baġit fit-tul ġdid u modern. Dan huwa l-uniku mod biex l-Unjoni tiġi mgħammra bil-programmi u l-għodod ġodda </w:t>
      </w:r>
      <w:r>
        <w:rPr>
          <w:noProof/>
        </w:rPr>
        <w:t xml:space="preserve">li se jkunu essenzjali biex jitwettaq il-pjan ta’ rkupru. Għaldaqstant jenħtieġ li l-fokus sħiħ u indiviż tal-ħidma interistituzzjonali fil-ġimgħat li ġejjin ikun fuq il-finalizzazzjoni ta’ Next Generation EU u l-qafas fit-tul il-ġdid. </w:t>
      </w:r>
    </w:p>
    <w:p w:rsidR="00F25D64" w:rsidRDefault="002A4170">
      <w:pPr>
        <w:spacing w:before="120" w:after="120"/>
        <w:rPr>
          <w:b/>
          <w:noProof/>
        </w:rPr>
      </w:pPr>
      <w:r>
        <w:rPr>
          <w:b/>
          <w:noProof/>
        </w:rPr>
        <w:t xml:space="preserve">Il-Kummissjoni </w:t>
      </w:r>
      <w:r>
        <w:rPr>
          <w:b/>
          <w:noProof/>
        </w:rPr>
        <w:t>Ewropea tistieden lill-Kunsill Ewropew u lill-koleġiżlaturi biex jeżaminaw malajr dawn il-proposti, bil-ħsieb li jintlaħaq qbil politiku fil-livell tal-Kunsill Ewropew sa Lulju</w:t>
      </w:r>
      <w:r>
        <w:rPr>
          <w:noProof/>
        </w:rPr>
        <w:t>.</w:t>
      </w:r>
      <w:r>
        <w:rPr>
          <w:b/>
          <w:noProof/>
        </w:rPr>
        <w:t xml:space="preserve"> </w:t>
      </w:r>
    </w:p>
    <w:p w:rsidR="00F25D64" w:rsidRDefault="002A4170">
      <w:pPr>
        <w:spacing w:before="120" w:after="120"/>
        <w:rPr>
          <w:noProof/>
        </w:rPr>
      </w:pPr>
      <w:r>
        <w:rPr>
          <w:noProof/>
        </w:rPr>
        <w:t>Deċiżjoni bikrija dwar il-proposta biex jiġi emendat il-qafas attwali se tipp</w:t>
      </w:r>
      <w:r>
        <w:rPr>
          <w:noProof/>
        </w:rPr>
        <w:t>ermetti finanzjament addizzjonali li għandu jsir immedjatament disponibbli għal REACT-EU, l-Istrument ta’ Appoġġ tas-Solvenza u l-Fond Ewropew għall-Iżvilupp Sostenibbli, li jirrifletti l-urġenza ta’ dawn il-ħtiġijiet.</w:t>
      </w:r>
    </w:p>
    <w:p w:rsidR="00F25D64" w:rsidRDefault="002A4170">
      <w:pPr>
        <w:spacing w:before="120" w:after="120"/>
        <w:rPr>
          <w:noProof/>
        </w:rPr>
      </w:pPr>
      <w:r>
        <w:rPr>
          <w:noProof/>
        </w:rPr>
        <w:t>Il-Kummissjoni imbagħad se taħdem mil</w:t>
      </w:r>
      <w:r>
        <w:rPr>
          <w:noProof/>
        </w:rPr>
        <w:t xml:space="preserve">l-qrib mal-Parlament Ewropew u mal-Kunsill biex tiffinalizza ftehim dwar il-qafas futur fit-tul u l-programmi settorjali li jakkumpanjawha. It-tlestija ta’ dan ix-xogħol fil-bidu tal-ħarifa tfisser li l-baġit il-ġdid fit-tul jista’ jkun operattiv u jmexxi </w:t>
      </w:r>
      <w:r>
        <w:rPr>
          <w:noProof/>
        </w:rPr>
        <w:t>l-irkupru tal-Ewropa fl-1 ta’ Jannar 2021.</w:t>
      </w:r>
    </w:p>
    <w:p w:rsidR="00F25D64" w:rsidRDefault="002A4170">
      <w:pPr>
        <w:spacing w:before="120" w:after="120"/>
        <w:rPr>
          <w:rFonts w:eastAsia="Arial Unicode MS"/>
          <w:b/>
          <w:noProof/>
          <w:szCs w:val="24"/>
          <w:u w:color="000000"/>
          <w:bdr w:val="nil"/>
        </w:rPr>
      </w:pPr>
      <w:r>
        <w:rPr>
          <w:noProof/>
        </w:rPr>
        <w:t>Azzjoni issa se turi li l-Unjoni hija lesta li tagħmel dak kollu li hu meħtieġ biex l-ekonomija terġa’ lura fi triqtha, biex tipproteġi l-għajxien tal-Ewropej kollha, u biex tinvesti fit-tranżizzjoni fit-tul tal-E</w:t>
      </w:r>
      <w:r>
        <w:rPr>
          <w:noProof/>
        </w:rPr>
        <w:t>wropa għal futur aktar ġust, aktar ekoloġiku u diġitali.</w:t>
      </w:r>
      <w:r>
        <w:rPr>
          <w:noProof/>
        </w:rPr>
        <w:br w:type="page"/>
      </w:r>
    </w:p>
    <w:p w:rsidR="00F25D64" w:rsidRDefault="002A4170">
      <w:pPr>
        <w:pStyle w:val="Caption"/>
        <w:keepNext/>
        <w:jc w:val="left"/>
        <w:rPr>
          <w:noProof/>
        </w:rPr>
      </w:pPr>
      <w:r>
        <w:rPr>
          <w:noProof/>
        </w:rPr>
        <w:t>EUR biljuni, prezzijiet tal-2018</w:t>
      </w:r>
    </w:p>
    <w:p w:rsidR="00F25D64" w:rsidRDefault="002A4170">
      <w:pPr>
        <w:rPr>
          <w:noProof/>
        </w:rPr>
      </w:pPr>
      <w:r>
        <w:rPr>
          <w:noProof/>
          <w:lang w:val="fr-BE" w:eastAsia="fr-BE"/>
        </w:rPr>
        <w:drawing>
          <wp:inline distT="0" distB="0" distL="0" distR="0">
            <wp:extent cx="5206365" cy="5398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6365" cy="5398135"/>
                    </a:xfrm>
                    <a:prstGeom prst="rect">
                      <a:avLst/>
                    </a:prstGeom>
                    <a:noFill/>
                    <a:ln>
                      <a:noFill/>
                    </a:ln>
                  </pic:spPr>
                </pic:pic>
              </a:graphicData>
            </a:graphic>
          </wp:inline>
        </w:drawing>
      </w:r>
    </w:p>
    <w:p w:rsidR="00F25D64" w:rsidRDefault="00F25D64">
      <w:pPr>
        <w:spacing w:before="120" w:after="120"/>
        <w:jc w:val="center"/>
        <w:rPr>
          <w:rFonts w:eastAsia="Arial Unicode MS"/>
          <w:b/>
          <w:noProof/>
          <w:szCs w:val="24"/>
          <w:u w:color="000000"/>
          <w:bdr w:val="nil"/>
          <w:lang w:eastAsia="fr-BE"/>
        </w:rPr>
      </w:pPr>
    </w:p>
    <w:p w:rsidR="00F25D64" w:rsidRDefault="002A4170">
      <w:pPr>
        <w:spacing w:before="120" w:after="120"/>
        <w:jc w:val="center"/>
        <w:rPr>
          <w:noProof/>
        </w:rPr>
      </w:pPr>
      <w:r>
        <w:rPr>
          <w:noProof/>
          <w:lang w:val="fr-BE" w:eastAsia="fr-BE"/>
        </w:rPr>
        <w:drawing>
          <wp:inline distT="0" distB="0" distL="0" distR="0">
            <wp:extent cx="5731510" cy="8045379"/>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8045379"/>
                    </a:xfrm>
                    <a:prstGeom prst="rect">
                      <a:avLst/>
                    </a:prstGeom>
                    <a:noFill/>
                    <a:ln>
                      <a:noFill/>
                    </a:ln>
                  </pic:spPr>
                </pic:pic>
              </a:graphicData>
            </a:graphic>
          </wp:inline>
        </w:drawing>
      </w:r>
    </w:p>
    <w:p w:rsidR="00F25D64" w:rsidRDefault="002A4170">
      <w:pPr>
        <w:spacing w:before="120" w:after="120"/>
        <w:jc w:val="center"/>
        <w:rPr>
          <w:noProof/>
        </w:rPr>
      </w:pPr>
      <w:r>
        <w:rPr>
          <w:noProof/>
          <w:lang w:val="fr-BE" w:eastAsia="fr-BE"/>
        </w:rPr>
        <w:drawing>
          <wp:inline distT="0" distB="0" distL="0" distR="0">
            <wp:extent cx="5731510" cy="8076052"/>
            <wp:effectExtent l="0" t="0" r="254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8076052"/>
                    </a:xfrm>
                    <a:prstGeom prst="rect">
                      <a:avLst/>
                    </a:prstGeom>
                    <a:noFill/>
                    <a:ln>
                      <a:noFill/>
                    </a:ln>
                  </pic:spPr>
                </pic:pic>
              </a:graphicData>
            </a:graphic>
          </wp:inline>
        </w:drawing>
      </w:r>
    </w:p>
    <w:sectPr w:rsidR="00F25D64">
      <w:headerReference w:type="even" r:id="rId27"/>
      <w:headerReference w:type="default" r:id="rId28"/>
      <w:footerReference w:type="even" r:id="rId29"/>
      <w:footerReference w:type="default" r:id="rId30"/>
      <w:headerReference w:type="first" r:id="rId31"/>
      <w:footerReference w:type="first" r:id="rId32"/>
      <w:pgSz w:w="11906" w:h="16838" w:code="9"/>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D64" w:rsidRDefault="002A4170">
      <w:pPr>
        <w:spacing w:after="0"/>
      </w:pPr>
      <w:r>
        <w:separator/>
      </w:r>
    </w:p>
  </w:endnote>
  <w:endnote w:type="continuationSeparator" w:id="0">
    <w:p w:rsidR="00F25D64" w:rsidRDefault="002A4170">
      <w:pPr>
        <w:spacing w:after="0"/>
      </w:pPr>
      <w:r>
        <w:continuationSeparator/>
      </w:r>
    </w:p>
  </w:endnote>
  <w:endnote w:type="continuationNotice" w:id="1">
    <w:p w:rsidR="00F25D64" w:rsidRDefault="00F25D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64" w:rsidRDefault="00F25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64" w:rsidRDefault="002A4170">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64" w:rsidRDefault="00F25D6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64" w:rsidRDefault="002A4170">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64" w:rsidRDefault="002A4170">
    <w:pPr>
      <w:pStyle w:val="FooterLine"/>
      <w:jc w:val="center"/>
      <w:rPr>
        <w:sz w:val="18"/>
      </w:rPr>
    </w:pPr>
    <w:r>
      <w:rPr>
        <w:sz w:val="18"/>
      </w:rPr>
      <w:fldChar w:fldCharType="begin"/>
    </w:r>
    <w:r>
      <w:rPr>
        <w:sz w:val="18"/>
      </w:rPr>
      <w:instrText>PAGE   \* MERGEFORMAT</w:instrText>
    </w:r>
    <w:r>
      <w:rPr>
        <w:sz w:val="18"/>
      </w:rPr>
      <w:fldChar w:fldCharType="separate"/>
    </w:r>
    <w:r>
      <w:rPr>
        <w:noProof/>
        <w:sz w:val="18"/>
      </w:rPr>
      <w:t>1</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64" w:rsidRDefault="00F25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D64" w:rsidRDefault="002A4170">
      <w:pPr>
        <w:spacing w:after="0"/>
      </w:pPr>
      <w:r>
        <w:separator/>
      </w:r>
    </w:p>
  </w:footnote>
  <w:footnote w:type="continuationSeparator" w:id="0">
    <w:p w:rsidR="00F25D64" w:rsidRDefault="002A4170">
      <w:pPr>
        <w:spacing w:after="0"/>
      </w:pPr>
      <w:r>
        <w:continuationSeparator/>
      </w:r>
    </w:p>
  </w:footnote>
  <w:footnote w:type="continuationNotice" w:id="1">
    <w:p w:rsidR="00F25D64" w:rsidRDefault="00F25D64">
      <w:pPr>
        <w:spacing w:after="0"/>
      </w:pPr>
    </w:p>
  </w:footnote>
  <w:footnote w:id="2">
    <w:p w:rsidR="00F25D64" w:rsidRDefault="002A4170">
      <w:pPr>
        <w:pStyle w:val="FootnoteText"/>
        <w:spacing w:after="0"/>
      </w:pPr>
      <w:r>
        <w:rPr>
          <w:rStyle w:val="FootnoteReference"/>
        </w:rPr>
        <w:footnoteRef/>
      </w:r>
      <w:r>
        <w:t xml:space="preserve"> </w:t>
      </w:r>
      <w:r>
        <w:tab/>
        <w:t>COM(2020) 456.</w:t>
      </w:r>
    </w:p>
  </w:footnote>
  <w:footnote w:id="3">
    <w:p w:rsidR="00F25D64" w:rsidRDefault="002A4170">
      <w:pPr>
        <w:pStyle w:val="FootnoteText"/>
        <w:spacing w:after="0"/>
      </w:pPr>
      <w:r>
        <w:rPr>
          <w:rStyle w:val="FootnoteReference"/>
        </w:rPr>
        <w:footnoteRef/>
      </w:r>
      <w:r>
        <w:t xml:space="preserve"> </w:t>
      </w:r>
      <w:r>
        <w:tab/>
        <w:t>SWD(2020) 9</w:t>
      </w:r>
      <w:r>
        <w:rPr>
          <w:lang w:val="fr-BE"/>
        </w:rPr>
        <w:t>8</w:t>
      </w:r>
      <w:bookmarkStart w:id="1" w:name="_GoBack"/>
      <w:bookmarkEnd w:id="1"/>
      <w:r>
        <w:t>.</w:t>
      </w:r>
    </w:p>
  </w:footnote>
  <w:footnote w:id="4">
    <w:p w:rsidR="00F25D64" w:rsidRDefault="002A4170">
      <w:pPr>
        <w:pStyle w:val="FootnoteText"/>
        <w:spacing w:after="0"/>
      </w:pPr>
      <w:r>
        <w:rPr>
          <w:rStyle w:val="FootnoteReference"/>
        </w:rPr>
        <w:footnoteRef/>
      </w:r>
      <w:r>
        <w:t xml:space="preserve"> </w:t>
      </w:r>
      <w:r>
        <w:tab/>
      </w:r>
      <w:r>
        <w:rPr>
          <w:color w:val="000000"/>
          <w:szCs w:val="24"/>
          <w:bdr w:val="none" w:sz="0" w:space="0" w:color="auto" w:frame="1"/>
        </w:rPr>
        <w:t>Sakemm ma jkunx indikat mod ieħor, l-ammonti huma espressi</w:t>
      </w:r>
      <w:r>
        <w:rPr>
          <w:color w:val="000000"/>
          <w:szCs w:val="24"/>
          <w:bdr w:val="none" w:sz="0" w:space="0" w:color="auto" w:frame="1"/>
        </w:rPr>
        <w:t xml:space="preserve"> fi prezzijiet kostanti tal-2018</w:t>
      </w:r>
      <w:r>
        <w:t>.</w:t>
      </w:r>
    </w:p>
  </w:footnote>
  <w:footnote w:id="5">
    <w:p w:rsidR="00F25D64" w:rsidRDefault="002A4170">
      <w:pPr>
        <w:pStyle w:val="FootnoteText"/>
        <w:spacing w:after="0"/>
      </w:pPr>
      <w:r>
        <w:rPr>
          <w:rStyle w:val="FootnoteReference"/>
        </w:rPr>
        <w:footnoteRef/>
      </w:r>
      <w:r>
        <w:t xml:space="preserve"> </w:t>
      </w:r>
      <w:r>
        <w:tab/>
        <w:t>Fuq il-bażi ta’ suppożizzjoni konservattiva dwar il-multiplikaturi mistennija u r-riżultati miksuba minn strumenti kumparabbli. Madankollu, l-akkuratezza tal-multiplikaturi mistennija tista’ tiġi affettwata mill-volatil</w:t>
      </w:r>
      <w:r>
        <w:t>ità tas-sitwazzjoni ekonomika attwali.</w:t>
      </w:r>
    </w:p>
  </w:footnote>
  <w:footnote w:id="6">
    <w:p w:rsidR="00F25D64" w:rsidRDefault="002A4170">
      <w:pPr>
        <w:pStyle w:val="FootnoteText"/>
        <w:spacing w:after="0"/>
      </w:pPr>
      <w:r>
        <w:rPr>
          <w:rStyle w:val="FootnoteReference"/>
        </w:rPr>
        <w:footnoteRef/>
      </w:r>
      <w:r>
        <w:tab/>
      </w:r>
      <w:r>
        <w:t xml:space="preserve"> Riżoluzzjoni tal-Parlament Ewropew tas-17 ta' April 2020 dwar azzjoni koordinata tal-UE biex tikkumbatti l-pandemija tal-COVID-19 u l-konsegwenzi tagħha, riaffermata mir-Riżoluzzjoni tal-Parlament Ewropew tal-15 ta' Mejju 2020 dwar il-qafas finanzjarju pl</w:t>
      </w:r>
      <w:r>
        <w:t xml:space="preserve">uriennali l-ġdid, ir-riżorsi proprji u l-pjan ta’ rkupru. </w:t>
      </w:r>
    </w:p>
  </w:footnote>
  <w:footnote w:id="7">
    <w:p w:rsidR="00F25D64" w:rsidRDefault="002A4170">
      <w:pPr>
        <w:pStyle w:val="FootnoteText"/>
        <w:spacing w:after="0"/>
      </w:pPr>
      <w:r>
        <w:rPr>
          <w:rStyle w:val="FootnoteReference"/>
        </w:rPr>
        <w:footnoteRef/>
      </w:r>
      <w:r>
        <w:t xml:space="preserve"> </w:t>
      </w:r>
      <w:r>
        <w:tab/>
        <w:t xml:space="preserve">Konklużjonijiet tal-President tal-Kunsill Ewropew wara l-vidjokonferenza tal-Membri tal-Kunsill Ewropew, 23 ta' April 2020. </w:t>
      </w:r>
    </w:p>
  </w:footnote>
  <w:footnote w:id="8">
    <w:p w:rsidR="00F25D64" w:rsidRDefault="002A4170">
      <w:pPr>
        <w:pStyle w:val="FootnoteText"/>
        <w:spacing w:after="0"/>
      </w:pPr>
      <w:r>
        <w:rPr>
          <w:rStyle w:val="FootnoteReference"/>
        </w:rPr>
        <w:footnoteRef/>
      </w:r>
      <w:r>
        <w:t xml:space="preserve"> </w:t>
      </w:r>
      <w:r>
        <w:tab/>
        <w:t>EUR 1,25 biljun minn rimborżi minn strumenti finanzjarji preċedent</w:t>
      </w:r>
      <w:r>
        <w:t xml:space="preserve">i u EUR 250 miljun mill-baġit. </w:t>
      </w:r>
    </w:p>
  </w:footnote>
  <w:footnote w:id="9">
    <w:p w:rsidR="00F25D64" w:rsidRDefault="002A4170">
      <w:pPr>
        <w:pStyle w:val="FootnoteText"/>
        <w:spacing w:after="0"/>
      </w:pPr>
      <w:r>
        <w:rPr>
          <w:rStyle w:val="FootnoteReference"/>
        </w:rPr>
        <w:footnoteRef/>
      </w:r>
      <w:r>
        <w:t xml:space="preserve"> </w:t>
      </w:r>
      <w:r>
        <w:tab/>
        <w:t>COM(2020) 22, COM(2020) 23.</w:t>
      </w:r>
    </w:p>
  </w:footnote>
  <w:footnote w:id="10">
    <w:p w:rsidR="00F25D64" w:rsidRDefault="002A4170">
      <w:pPr>
        <w:pStyle w:val="FootnoteText"/>
      </w:pPr>
      <w:r>
        <w:rPr>
          <w:rStyle w:val="FootnoteReference"/>
        </w:rPr>
        <w:footnoteRef/>
      </w:r>
      <w:r>
        <w:t xml:space="preserve"> </w:t>
      </w:r>
      <w:r>
        <w:tab/>
        <w:t>Il-kostijiet tas-self għall-komponent ta’ għotja ta’ Next Generation EU se jitħallsu mill-baġit tal-UE. Huwa stmat li dawn il-kostijiet se jammontaw għal EUR 17,4 biljun matul il-qafas finan</w:t>
      </w:r>
      <w:r>
        <w:t>zjarju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64" w:rsidRDefault="00F25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64" w:rsidRDefault="00F25D64">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64" w:rsidRDefault="00F25D6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64" w:rsidRDefault="00F25D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64" w:rsidRDefault="00F25D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64" w:rsidRDefault="00F25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2DB"/>
    <w:multiLevelType w:val="hybridMultilevel"/>
    <w:tmpl w:val="7A1A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04B54"/>
    <w:multiLevelType w:val="hybridMultilevel"/>
    <w:tmpl w:val="366C4EC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2900F7"/>
    <w:multiLevelType w:val="multilevel"/>
    <w:tmpl w:val="5B1CABF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8A0088EA"/>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D876A2E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E13424C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8B0A69D2"/>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54E0528"/>
    <w:multiLevelType w:val="hybridMultilevel"/>
    <w:tmpl w:val="1ECAB1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00481E6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5A8AF31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20DE5C7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3726E9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E5F29FC"/>
    <w:multiLevelType w:val="hybridMultilevel"/>
    <w:tmpl w:val="EDA8FC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369722F"/>
    <w:multiLevelType w:val="hybridMultilevel"/>
    <w:tmpl w:val="AA30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25495"/>
    <w:multiLevelType w:val="hybridMultilevel"/>
    <w:tmpl w:val="1AB0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FBC064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FF609DF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819507A"/>
    <w:multiLevelType w:val="hybridMultilevel"/>
    <w:tmpl w:val="DCFE96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7730C4"/>
    <w:multiLevelType w:val="multilevel"/>
    <w:tmpl w:val="1F42837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3D1C0EBC"/>
    <w:multiLevelType w:val="hybridMultilevel"/>
    <w:tmpl w:val="D74E727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E662A"/>
    <w:multiLevelType w:val="multilevel"/>
    <w:tmpl w:val="2C1C940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4F8308B"/>
    <w:multiLevelType w:val="hybridMultilevel"/>
    <w:tmpl w:val="0776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244C3"/>
    <w:multiLevelType w:val="hybridMultilevel"/>
    <w:tmpl w:val="3CEEC5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455480"/>
    <w:multiLevelType w:val="hybridMultilevel"/>
    <w:tmpl w:val="1120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505C3E"/>
    <w:multiLevelType w:val="hybridMultilevel"/>
    <w:tmpl w:val="68F4EF3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E1A982C"/>
    <w:multiLevelType w:val="multilevel"/>
    <w:tmpl w:val="A2C8456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5072619B"/>
    <w:multiLevelType w:val="multilevel"/>
    <w:tmpl w:val="51AA684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53594681"/>
    <w:multiLevelType w:val="hybridMultilevel"/>
    <w:tmpl w:val="084CB6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12A82"/>
    <w:multiLevelType w:val="hybridMultilevel"/>
    <w:tmpl w:val="9CBC4A8C"/>
    <w:lvl w:ilvl="0" w:tplc="6BBEB886">
      <w:start w:val="1"/>
      <w:numFmt w:val="decimal"/>
      <w:pStyle w:val="Heading2"/>
      <w:lvlText w:val="%1."/>
      <w:lvlJc w:val="left"/>
      <w:pPr>
        <w:ind w:left="360" w:hanging="360"/>
      </w:pPr>
    </w:lvl>
    <w:lvl w:ilvl="1" w:tplc="18090019" w:tentative="1">
      <w:start w:val="1"/>
      <w:numFmt w:val="lowerLetter"/>
      <w:lvlText w:val="%2."/>
      <w:lvlJc w:val="left"/>
      <w:pPr>
        <w:ind w:left="-5790" w:hanging="360"/>
      </w:pPr>
    </w:lvl>
    <w:lvl w:ilvl="2" w:tplc="1809001B" w:tentative="1">
      <w:start w:val="1"/>
      <w:numFmt w:val="lowerRoman"/>
      <w:lvlText w:val="%3."/>
      <w:lvlJc w:val="right"/>
      <w:pPr>
        <w:ind w:left="-5070" w:hanging="180"/>
      </w:pPr>
    </w:lvl>
    <w:lvl w:ilvl="3" w:tplc="1809000F" w:tentative="1">
      <w:start w:val="1"/>
      <w:numFmt w:val="decimal"/>
      <w:lvlText w:val="%4."/>
      <w:lvlJc w:val="left"/>
      <w:pPr>
        <w:ind w:left="-435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2910" w:hanging="180"/>
      </w:pPr>
    </w:lvl>
    <w:lvl w:ilvl="6" w:tplc="1809000F" w:tentative="1">
      <w:start w:val="1"/>
      <w:numFmt w:val="decimal"/>
      <w:lvlText w:val="%7."/>
      <w:lvlJc w:val="left"/>
      <w:pPr>
        <w:ind w:left="-2190" w:hanging="360"/>
      </w:pPr>
    </w:lvl>
    <w:lvl w:ilvl="7" w:tplc="18090019" w:tentative="1">
      <w:start w:val="1"/>
      <w:numFmt w:val="lowerLetter"/>
      <w:lvlText w:val="%8."/>
      <w:lvlJc w:val="left"/>
      <w:pPr>
        <w:ind w:left="-1470" w:hanging="360"/>
      </w:pPr>
    </w:lvl>
    <w:lvl w:ilvl="8" w:tplc="1809001B" w:tentative="1">
      <w:start w:val="1"/>
      <w:numFmt w:val="lowerRoman"/>
      <w:lvlText w:val="%9."/>
      <w:lvlJc w:val="right"/>
      <w:pPr>
        <w:ind w:left="-750" w:hanging="180"/>
      </w:pPr>
    </w:lvl>
  </w:abstractNum>
  <w:abstractNum w:abstractNumId="29" w15:restartNumberingAfterBreak="0">
    <w:nsid w:val="56CA5D67"/>
    <w:multiLevelType w:val="hybridMultilevel"/>
    <w:tmpl w:val="01206B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455280"/>
    <w:multiLevelType w:val="hybridMultilevel"/>
    <w:tmpl w:val="7A72C6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7472E"/>
    <w:multiLevelType w:val="multilevel"/>
    <w:tmpl w:val="1DB8A2FE"/>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6B0A318A"/>
    <w:multiLevelType w:val="hybridMultilevel"/>
    <w:tmpl w:val="9092A8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50758"/>
    <w:multiLevelType w:val="hybridMultilevel"/>
    <w:tmpl w:val="36664D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10D94"/>
    <w:multiLevelType w:val="hybridMultilevel"/>
    <w:tmpl w:val="2A46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5D0C7E"/>
    <w:multiLevelType w:val="hybridMultilevel"/>
    <w:tmpl w:val="CF7A394A"/>
    <w:lvl w:ilvl="0" w:tplc="44C4A6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B6333"/>
    <w:multiLevelType w:val="hybridMultilevel"/>
    <w:tmpl w:val="DBEA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63F68"/>
    <w:multiLevelType w:val="hybridMultilevel"/>
    <w:tmpl w:val="739A34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65145E"/>
    <w:multiLevelType w:val="multilevel"/>
    <w:tmpl w:val="0368063A"/>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
  </w:num>
  <w:num w:numId="2">
    <w:abstractNumId w:val="15"/>
  </w:num>
  <w:num w:numId="3">
    <w:abstractNumId w:val="9"/>
  </w:num>
  <w:num w:numId="4">
    <w:abstractNumId w:val="16"/>
  </w:num>
  <w:num w:numId="5">
    <w:abstractNumId w:val="26"/>
  </w:num>
  <w:num w:numId="6">
    <w:abstractNumId w:val="31"/>
  </w:num>
  <w:num w:numId="7">
    <w:abstractNumId w:val="3"/>
  </w:num>
  <w:num w:numId="8">
    <w:abstractNumId w:val="8"/>
  </w:num>
  <w:num w:numId="9">
    <w:abstractNumId w:val="20"/>
  </w:num>
  <w:num w:numId="10">
    <w:abstractNumId w:val="4"/>
  </w:num>
  <w:num w:numId="11">
    <w:abstractNumId w:val="5"/>
  </w:num>
  <w:num w:numId="12">
    <w:abstractNumId w:val="6"/>
  </w:num>
  <w:num w:numId="13">
    <w:abstractNumId w:val="10"/>
  </w:num>
  <w:num w:numId="14">
    <w:abstractNumId w:val="18"/>
  </w:num>
  <w:num w:numId="15">
    <w:abstractNumId w:val="25"/>
  </w:num>
  <w:num w:numId="16">
    <w:abstractNumId w:val="38"/>
  </w:num>
  <w:num w:numId="17">
    <w:abstractNumId w:val="11"/>
  </w:num>
  <w:num w:numId="18">
    <w:abstractNumId w:val="39"/>
  </w:num>
  <w:num w:numId="19">
    <w:abstractNumId w:val="28"/>
  </w:num>
  <w:num w:numId="20">
    <w:abstractNumId w:val="7"/>
  </w:num>
  <w:num w:numId="21">
    <w:abstractNumId w:val="22"/>
  </w:num>
  <w:num w:numId="22">
    <w:abstractNumId w:val="36"/>
  </w:num>
  <w:num w:numId="23">
    <w:abstractNumId w:val="30"/>
  </w:num>
  <w:num w:numId="24">
    <w:abstractNumId w:val="21"/>
  </w:num>
  <w:num w:numId="25">
    <w:abstractNumId w:val="29"/>
  </w:num>
  <w:num w:numId="26">
    <w:abstractNumId w:val="13"/>
  </w:num>
  <w:num w:numId="27">
    <w:abstractNumId w:val="34"/>
  </w:num>
  <w:num w:numId="28">
    <w:abstractNumId w:val="14"/>
  </w:num>
  <w:num w:numId="29">
    <w:abstractNumId w:val="0"/>
  </w:num>
  <w:num w:numId="30">
    <w:abstractNumId w:val="33"/>
  </w:num>
  <w:num w:numId="31">
    <w:abstractNumId w:val="24"/>
  </w:num>
  <w:num w:numId="32">
    <w:abstractNumId w:val="27"/>
  </w:num>
  <w:num w:numId="33">
    <w:abstractNumId w:val="33"/>
  </w:num>
  <w:num w:numId="34">
    <w:abstractNumId w:val="12"/>
  </w:num>
  <w:num w:numId="35">
    <w:abstractNumId w:val="17"/>
  </w:num>
  <w:num w:numId="36">
    <w:abstractNumId w:val="35"/>
  </w:num>
  <w:num w:numId="37">
    <w:abstractNumId w:val="19"/>
  </w:num>
  <w:num w:numId="38">
    <w:abstractNumId w:val="23"/>
  </w:num>
  <w:num w:numId="39">
    <w:abstractNumId w:val="28"/>
  </w:num>
  <w:num w:numId="40">
    <w:abstractNumId w:val="1"/>
  </w:num>
  <w:num w:numId="41">
    <w:abstractNumId w:val="32"/>
  </w:num>
  <w:num w:numId="42">
    <w:abstractNumId w:val="37"/>
  </w:num>
  <w:num w:numId="43">
    <w:abstractNumId w:val="2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DateAndTime/>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B36D8CC-1BE0-423B-925A-B6BEF2668913"/>
    <w:docVar w:name="LW_COVERPAGE_TYPE" w:val="1"/>
    <w:docVar w:name="LW_CROSSREFERENCE" w:val="&lt;UNUSED&gt;"/>
    <w:docVar w:name="LW_DocType" w:val="5856595BEDB84307A248F84790E949E3"/>
    <w:docVar w:name="LW_EMISSION" w:val="27.5.2020"/>
    <w:docVar w:name="LW_EMISSION_ISODATE" w:val="2020-05-27"/>
    <w:docVar w:name="LW_EMISSION_LOCATION" w:val="BRX"/>
    <w:docVar w:name="LW_EMISSION_PREFIX" w:val="Brussell, "/>
    <w:docVar w:name="LW_EMISSION_SUFFIX" w:val=" "/>
    <w:docVar w:name="LW_ID_DOCTYPE_NONLW" w:val="CP-009"/>
    <w:docVar w:name="LW_LANGUE" w:val="MT"/>
    <w:docVar w:name="LW_LEVEL_OF_SENSITIVITY" w:val="Standard treatment"/>
    <w:docVar w:name="LW_NOM.INST" w:val="IL-KUMMISSJONI EWROPEA"/>
    <w:docVar w:name="LW_NOM.INST_JOINTDOC" w:val="&lt;EMPTY&gt;"/>
    <w:docVar w:name="LW_PART_NBR" w:val="1"/>
    <w:docVar w:name="LW_PART_NBR_TOTAL" w:val="1"/>
    <w:docVar w:name="LW_REF.INST.NEW" w:val="COM"/>
    <w:docVar w:name="LW_REF.INST.NEW_ADOPTED" w:val="final"/>
    <w:docVar w:name="LW_REF.INST.NEW_TEXT" w:val="(2020) 4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Il-ba\u289?it tal-UE jmexxi l-pjan ta' rkupru g\u295?all-Ewropa"/>
    <w:docVar w:name="LW_TYPE.DOC.CP" w:val="KOMUNIKAZZJONI TAL-KUMMISSJONI"/>
    <w:docVar w:name="LW_TYPE.DOC.CP.USERTEXT" w:val="LILL-PARLAMENT EWROPEW, LILL-KUNSILL EWROPEW, LILL-KUNSILL, LILL-KUMITAT EKONOMIKU U SO\u266?JALI EWROPEW, U LIL-KUMITAT TAR-RE\u288?JUNI"/>
  </w:docVars>
  <w:rsids>
    <w:rsidRoot w:val="00F25D64"/>
    <w:rsid w:val="002A4170"/>
    <w:rsid w:val="00F25D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792FE5"/>
  <w15:docId w15:val="{8FD833DE-ED23-4CA9-B41B-ABEDFE15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mt-MT"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keepLines/>
      <w:widowControl w:val="0"/>
      <w:pBdr>
        <w:top w:val="nil"/>
        <w:left w:val="nil"/>
        <w:bottom w:val="nil"/>
        <w:right w:val="nil"/>
        <w:between w:val="nil"/>
        <w:bar w:val="nil"/>
      </w:pBdr>
      <w:spacing w:before="120"/>
      <w:jc w:val="center"/>
      <w:outlineLvl w:val="0"/>
    </w:pPr>
    <w:rPr>
      <w:rFonts w:eastAsia="Calibri Light" w:cs="Calibri Light"/>
      <w:b/>
      <w:bCs/>
      <w:noProof/>
      <w:color w:val="4C4B9A" w:themeColor="text2"/>
      <w:sz w:val="28"/>
      <w:szCs w:val="28"/>
      <w:u w:color="006B75"/>
      <w:bdr w:val="nil"/>
      <w:lang w:eastAsia="fr-BE"/>
    </w:rPr>
  </w:style>
  <w:style w:type="paragraph" w:styleId="Heading2">
    <w:name w:val="heading 2"/>
    <w:basedOn w:val="Normal"/>
    <w:next w:val="Text2"/>
    <w:uiPriority w:val="90"/>
    <w:qFormat/>
    <w:pPr>
      <w:keepNext/>
      <w:numPr>
        <w:numId w:val="19"/>
      </w:numPr>
      <w:pBdr>
        <w:top w:val="nil"/>
        <w:left w:val="nil"/>
        <w:bottom w:val="nil"/>
        <w:right w:val="nil"/>
        <w:between w:val="nil"/>
        <w:bar w:val="nil"/>
      </w:pBdr>
      <w:spacing w:before="360"/>
      <w:jc w:val="left"/>
      <w:outlineLvl w:val="1"/>
    </w:pPr>
    <w:rPr>
      <w:rFonts w:eastAsia="Arial Unicode MS" w:cs="Arial Unicode MS"/>
      <w:b/>
      <w:bCs/>
      <w:noProof/>
      <w:color w:val="2696D3" w:themeColor="accent1"/>
      <w:sz w:val="28"/>
      <w:szCs w:val="28"/>
      <w:u w:color="006B75"/>
      <w:bdr w:val="nil"/>
      <w:lang w:eastAsia="fr-BE"/>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uiPriority w:val="35"/>
    <w:qFormat/>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ootnote text1,Fußnote,fn,Footnotes"/>
    <w:basedOn w:val="Normal"/>
    <w:link w:val="FootnoteTextChar"/>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MarkingLong">
    <w:name w:val="MarkingLong"/>
    <w:basedOn w:val="Marking"/>
    <w:pPr>
      <w:ind w:left="0"/>
      <w:jc w:val="right"/>
    </w:p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styleId="NormalWeb">
    <w:name w:val="Normal (Web)"/>
    <w:basedOn w:val="Normal"/>
    <w:semiHidden/>
    <w:locked/>
    <w:rPr>
      <w:szCs w:val="24"/>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Nota Char,Char1 Char,(NECG) Footnote Reference Char,fr Char,Appel note de bas de p Char,o Char,Style 6 Char,Signature Ch Char,Footnote symbol,Footnote reference number,Footnote,Times 10 Point,Exposant 3 Point,Ref,de nota al pie,SUPERS"/>
    <w:basedOn w:val="DefaultParagraphFont"/>
    <w:link w:val="Nota"/>
    <w:unhideWhenUsed/>
    <w:qFormat/>
    <w:locked/>
    <w:rPr>
      <w:vertAlign w:val="superscript"/>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rPr>
      <w:sz w:val="20"/>
    </w:rPr>
  </w:style>
  <w:style w:type="paragraph" w:customStyle="1" w:styleId="Nota">
    <w:name w:val="Nota"/>
    <w:aliases w:val="Char1,(NECG) Footnote Reference,fr,Appel note de bas de p,o,Style 6,Signature Ch, Char1"/>
    <w:basedOn w:val="Normal"/>
    <w:link w:val="FootnoteReference"/>
    <w:uiPriority w:val="99"/>
    <w:pPr>
      <w:spacing w:after="160" w:line="240" w:lineRule="exact"/>
    </w:pPr>
    <w:rPr>
      <w:vertAlign w:val="superscript"/>
    </w:rPr>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locked/>
    <w:pPr>
      <w:spacing w:line="264" w:lineRule="auto"/>
      <w:ind w:left="720"/>
      <w:contextualSpacing/>
    </w:pPr>
    <w:rPr>
      <w:rFonts w:ascii="EC Square Sans Pro" w:eastAsiaTheme="minorEastAsia" w:hAnsi="EC Square Sans Pro" w:cstheme="minorBidi"/>
      <w:sz w:val="22"/>
      <w:szCs w:val="22"/>
      <w:lang w:eastAsia="nl-BE"/>
    </w:rPr>
  </w:style>
  <w:style w:type="character" w:styleId="CommentReference">
    <w:name w:val="annotation reference"/>
    <w:basedOn w:val="DefaultParagraphFont"/>
    <w:unhideWhenUsed/>
    <w:locked/>
    <w:rPr>
      <w:sz w:val="16"/>
      <w:szCs w:val="16"/>
    </w:r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rPr>
      <w:rFonts w:ascii="EC Square Sans Pro" w:eastAsiaTheme="minorEastAsia" w:hAnsi="EC Square Sans Pro" w:cstheme="minorBidi"/>
      <w:sz w:val="22"/>
      <w:szCs w:val="22"/>
      <w:lang w:val="mt-MT" w:eastAsia="nl-BE"/>
    </w:rPr>
  </w:style>
  <w:style w:type="paragraph" w:styleId="CommentText">
    <w:name w:val="annotation text"/>
    <w:basedOn w:val="Normal"/>
    <w:link w:val="CommentTextChar"/>
    <w:unhideWhenUsed/>
    <w:locked/>
    <w:rPr>
      <w:sz w:val="20"/>
    </w:rPr>
  </w:style>
  <w:style w:type="character" w:customStyle="1" w:styleId="CommentTextChar">
    <w:name w:val="Comment Text Char"/>
    <w:basedOn w:val="DefaultParagraphFont"/>
    <w:link w:val="CommentText"/>
    <w:rPr>
      <w:sz w:val="20"/>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table" w:styleId="TableGrid">
    <w:name w:val="Table Grid"/>
    <w:basedOn w:val="TableNormal"/>
    <w:locke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256">
      <w:bodyDiv w:val="1"/>
      <w:marLeft w:val="0"/>
      <w:marRight w:val="0"/>
      <w:marTop w:val="0"/>
      <w:marBottom w:val="0"/>
      <w:divBdr>
        <w:top w:val="none" w:sz="0" w:space="0" w:color="auto"/>
        <w:left w:val="none" w:sz="0" w:space="0" w:color="auto"/>
        <w:bottom w:val="none" w:sz="0" w:space="0" w:color="auto"/>
        <w:right w:val="none" w:sz="0" w:space="0" w:color="auto"/>
      </w:divBdr>
    </w:div>
    <w:div w:id="188102222">
      <w:bodyDiv w:val="1"/>
      <w:marLeft w:val="0"/>
      <w:marRight w:val="0"/>
      <w:marTop w:val="0"/>
      <w:marBottom w:val="0"/>
      <w:divBdr>
        <w:top w:val="none" w:sz="0" w:space="0" w:color="auto"/>
        <w:left w:val="none" w:sz="0" w:space="0" w:color="auto"/>
        <w:bottom w:val="none" w:sz="0" w:space="0" w:color="auto"/>
        <w:right w:val="none" w:sz="0" w:space="0" w:color="auto"/>
      </w:divBdr>
    </w:div>
    <w:div w:id="256913910">
      <w:bodyDiv w:val="1"/>
      <w:marLeft w:val="0"/>
      <w:marRight w:val="0"/>
      <w:marTop w:val="0"/>
      <w:marBottom w:val="0"/>
      <w:divBdr>
        <w:top w:val="none" w:sz="0" w:space="0" w:color="auto"/>
        <w:left w:val="none" w:sz="0" w:space="0" w:color="auto"/>
        <w:bottom w:val="none" w:sz="0" w:space="0" w:color="auto"/>
        <w:right w:val="none" w:sz="0" w:space="0" w:color="auto"/>
      </w:divBdr>
    </w:div>
    <w:div w:id="378088826">
      <w:bodyDiv w:val="1"/>
      <w:marLeft w:val="0"/>
      <w:marRight w:val="0"/>
      <w:marTop w:val="0"/>
      <w:marBottom w:val="0"/>
      <w:divBdr>
        <w:top w:val="none" w:sz="0" w:space="0" w:color="auto"/>
        <w:left w:val="none" w:sz="0" w:space="0" w:color="auto"/>
        <w:bottom w:val="none" w:sz="0" w:space="0" w:color="auto"/>
        <w:right w:val="none" w:sz="0" w:space="0" w:color="auto"/>
      </w:divBdr>
    </w:div>
    <w:div w:id="644431121">
      <w:bodyDiv w:val="1"/>
      <w:marLeft w:val="0"/>
      <w:marRight w:val="0"/>
      <w:marTop w:val="0"/>
      <w:marBottom w:val="0"/>
      <w:divBdr>
        <w:top w:val="none" w:sz="0" w:space="0" w:color="auto"/>
        <w:left w:val="none" w:sz="0" w:space="0" w:color="auto"/>
        <w:bottom w:val="none" w:sz="0" w:space="0" w:color="auto"/>
        <w:right w:val="none" w:sz="0" w:space="0" w:color="auto"/>
      </w:divBdr>
    </w:div>
    <w:div w:id="689767733">
      <w:bodyDiv w:val="1"/>
      <w:marLeft w:val="0"/>
      <w:marRight w:val="0"/>
      <w:marTop w:val="0"/>
      <w:marBottom w:val="0"/>
      <w:divBdr>
        <w:top w:val="none" w:sz="0" w:space="0" w:color="auto"/>
        <w:left w:val="none" w:sz="0" w:space="0" w:color="auto"/>
        <w:bottom w:val="none" w:sz="0" w:space="0" w:color="auto"/>
        <w:right w:val="none" w:sz="0" w:space="0" w:color="auto"/>
      </w:divBdr>
    </w:div>
    <w:div w:id="777259577">
      <w:bodyDiv w:val="1"/>
      <w:marLeft w:val="0"/>
      <w:marRight w:val="0"/>
      <w:marTop w:val="0"/>
      <w:marBottom w:val="0"/>
      <w:divBdr>
        <w:top w:val="none" w:sz="0" w:space="0" w:color="auto"/>
        <w:left w:val="none" w:sz="0" w:space="0" w:color="auto"/>
        <w:bottom w:val="none" w:sz="0" w:space="0" w:color="auto"/>
        <w:right w:val="none" w:sz="0" w:space="0" w:color="auto"/>
      </w:divBdr>
    </w:div>
    <w:div w:id="916209400">
      <w:bodyDiv w:val="1"/>
      <w:marLeft w:val="0"/>
      <w:marRight w:val="0"/>
      <w:marTop w:val="0"/>
      <w:marBottom w:val="0"/>
      <w:divBdr>
        <w:top w:val="none" w:sz="0" w:space="0" w:color="auto"/>
        <w:left w:val="none" w:sz="0" w:space="0" w:color="auto"/>
        <w:bottom w:val="none" w:sz="0" w:space="0" w:color="auto"/>
        <w:right w:val="none" w:sz="0" w:space="0" w:color="auto"/>
      </w:divBdr>
    </w:div>
    <w:div w:id="937059301">
      <w:bodyDiv w:val="1"/>
      <w:marLeft w:val="0"/>
      <w:marRight w:val="0"/>
      <w:marTop w:val="0"/>
      <w:marBottom w:val="0"/>
      <w:divBdr>
        <w:top w:val="none" w:sz="0" w:space="0" w:color="auto"/>
        <w:left w:val="none" w:sz="0" w:space="0" w:color="auto"/>
        <w:bottom w:val="none" w:sz="0" w:space="0" w:color="auto"/>
        <w:right w:val="none" w:sz="0" w:space="0" w:color="auto"/>
      </w:divBdr>
    </w:div>
    <w:div w:id="980501634">
      <w:bodyDiv w:val="1"/>
      <w:marLeft w:val="0"/>
      <w:marRight w:val="0"/>
      <w:marTop w:val="0"/>
      <w:marBottom w:val="0"/>
      <w:divBdr>
        <w:top w:val="none" w:sz="0" w:space="0" w:color="auto"/>
        <w:left w:val="none" w:sz="0" w:space="0" w:color="auto"/>
        <w:bottom w:val="none" w:sz="0" w:space="0" w:color="auto"/>
        <w:right w:val="none" w:sz="0" w:space="0" w:color="auto"/>
      </w:divBdr>
    </w:div>
    <w:div w:id="1017927097">
      <w:bodyDiv w:val="1"/>
      <w:marLeft w:val="0"/>
      <w:marRight w:val="0"/>
      <w:marTop w:val="0"/>
      <w:marBottom w:val="0"/>
      <w:divBdr>
        <w:top w:val="none" w:sz="0" w:space="0" w:color="auto"/>
        <w:left w:val="none" w:sz="0" w:space="0" w:color="auto"/>
        <w:bottom w:val="none" w:sz="0" w:space="0" w:color="auto"/>
        <w:right w:val="none" w:sz="0" w:space="0" w:color="auto"/>
      </w:divBdr>
    </w:div>
    <w:div w:id="1138107778">
      <w:bodyDiv w:val="1"/>
      <w:marLeft w:val="0"/>
      <w:marRight w:val="0"/>
      <w:marTop w:val="0"/>
      <w:marBottom w:val="0"/>
      <w:divBdr>
        <w:top w:val="none" w:sz="0" w:space="0" w:color="auto"/>
        <w:left w:val="none" w:sz="0" w:space="0" w:color="auto"/>
        <w:bottom w:val="none" w:sz="0" w:space="0" w:color="auto"/>
        <w:right w:val="none" w:sz="0" w:space="0" w:color="auto"/>
      </w:divBdr>
    </w:div>
    <w:div w:id="1219781017">
      <w:bodyDiv w:val="1"/>
      <w:marLeft w:val="0"/>
      <w:marRight w:val="0"/>
      <w:marTop w:val="0"/>
      <w:marBottom w:val="0"/>
      <w:divBdr>
        <w:top w:val="none" w:sz="0" w:space="0" w:color="auto"/>
        <w:left w:val="none" w:sz="0" w:space="0" w:color="auto"/>
        <w:bottom w:val="none" w:sz="0" w:space="0" w:color="auto"/>
        <w:right w:val="none" w:sz="0" w:space="0" w:color="auto"/>
      </w:divBdr>
    </w:div>
    <w:div w:id="1223826951">
      <w:bodyDiv w:val="1"/>
      <w:marLeft w:val="0"/>
      <w:marRight w:val="0"/>
      <w:marTop w:val="0"/>
      <w:marBottom w:val="0"/>
      <w:divBdr>
        <w:top w:val="none" w:sz="0" w:space="0" w:color="auto"/>
        <w:left w:val="none" w:sz="0" w:space="0" w:color="auto"/>
        <w:bottom w:val="none" w:sz="0" w:space="0" w:color="auto"/>
        <w:right w:val="none" w:sz="0" w:space="0" w:color="auto"/>
      </w:divBdr>
    </w:div>
    <w:div w:id="1468669537">
      <w:bodyDiv w:val="1"/>
      <w:marLeft w:val="0"/>
      <w:marRight w:val="0"/>
      <w:marTop w:val="0"/>
      <w:marBottom w:val="0"/>
      <w:divBdr>
        <w:top w:val="none" w:sz="0" w:space="0" w:color="auto"/>
        <w:left w:val="none" w:sz="0" w:space="0" w:color="auto"/>
        <w:bottom w:val="none" w:sz="0" w:space="0" w:color="auto"/>
        <w:right w:val="none" w:sz="0" w:space="0" w:color="auto"/>
      </w:divBdr>
    </w:div>
    <w:div w:id="1656110838">
      <w:bodyDiv w:val="1"/>
      <w:marLeft w:val="0"/>
      <w:marRight w:val="0"/>
      <w:marTop w:val="0"/>
      <w:marBottom w:val="0"/>
      <w:divBdr>
        <w:top w:val="none" w:sz="0" w:space="0" w:color="auto"/>
        <w:left w:val="none" w:sz="0" w:space="0" w:color="auto"/>
        <w:bottom w:val="none" w:sz="0" w:space="0" w:color="auto"/>
        <w:right w:val="none" w:sz="0" w:space="0" w:color="auto"/>
      </w:divBdr>
    </w:div>
    <w:div w:id="1678969879">
      <w:bodyDiv w:val="1"/>
      <w:marLeft w:val="0"/>
      <w:marRight w:val="0"/>
      <w:marTop w:val="0"/>
      <w:marBottom w:val="0"/>
      <w:divBdr>
        <w:top w:val="none" w:sz="0" w:space="0" w:color="auto"/>
        <w:left w:val="none" w:sz="0" w:space="0" w:color="auto"/>
        <w:bottom w:val="none" w:sz="0" w:space="0" w:color="auto"/>
        <w:right w:val="none" w:sz="0" w:space="0" w:color="auto"/>
      </w:divBdr>
    </w:div>
    <w:div w:id="1690060376">
      <w:bodyDiv w:val="1"/>
      <w:marLeft w:val="0"/>
      <w:marRight w:val="0"/>
      <w:marTop w:val="0"/>
      <w:marBottom w:val="0"/>
      <w:divBdr>
        <w:top w:val="none" w:sz="0" w:space="0" w:color="auto"/>
        <w:left w:val="none" w:sz="0" w:space="0" w:color="auto"/>
        <w:bottom w:val="none" w:sz="0" w:space="0" w:color="auto"/>
        <w:right w:val="none" w:sz="0" w:space="0" w:color="auto"/>
      </w:divBdr>
    </w:div>
    <w:div w:id="1889562960">
      <w:bodyDiv w:val="1"/>
      <w:marLeft w:val="0"/>
      <w:marRight w:val="0"/>
      <w:marTop w:val="0"/>
      <w:marBottom w:val="0"/>
      <w:divBdr>
        <w:top w:val="none" w:sz="0" w:space="0" w:color="auto"/>
        <w:left w:val="none" w:sz="0" w:space="0" w:color="auto"/>
        <w:bottom w:val="none" w:sz="0" w:space="0" w:color="auto"/>
        <w:right w:val="none" w:sz="0" w:space="0" w:color="auto"/>
      </w:divBdr>
    </w:div>
    <w:div w:id="1896160588">
      <w:bodyDiv w:val="1"/>
      <w:marLeft w:val="0"/>
      <w:marRight w:val="0"/>
      <w:marTop w:val="0"/>
      <w:marBottom w:val="0"/>
      <w:divBdr>
        <w:top w:val="none" w:sz="0" w:space="0" w:color="auto"/>
        <w:left w:val="none" w:sz="0" w:space="0" w:color="auto"/>
        <w:bottom w:val="none" w:sz="0" w:space="0" w:color="auto"/>
        <w:right w:val="none" w:sz="0" w:space="0" w:color="auto"/>
      </w:divBdr>
    </w:div>
    <w:div w:id="1919243203">
      <w:bodyDiv w:val="1"/>
      <w:marLeft w:val="0"/>
      <w:marRight w:val="0"/>
      <w:marTop w:val="0"/>
      <w:marBottom w:val="0"/>
      <w:divBdr>
        <w:top w:val="none" w:sz="0" w:space="0" w:color="auto"/>
        <w:left w:val="none" w:sz="0" w:space="0" w:color="auto"/>
        <w:bottom w:val="none" w:sz="0" w:space="0" w:color="auto"/>
        <w:right w:val="none" w:sz="0" w:space="0" w:color="auto"/>
      </w:divBdr>
    </w:div>
    <w:div w:id="1979992857">
      <w:bodyDiv w:val="1"/>
      <w:marLeft w:val="0"/>
      <w:marRight w:val="0"/>
      <w:marTop w:val="0"/>
      <w:marBottom w:val="0"/>
      <w:divBdr>
        <w:top w:val="none" w:sz="0" w:space="0" w:color="auto"/>
        <w:left w:val="none" w:sz="0" w:space="0" w:color="auto"/>
        <w:bottom w:val="none" w:sz="0" w:space="0" w:color="auto"/>
        <w:right w:val="none" w:sz="0" w:space="0" w:color="auto"/>
      </w:divBdr>
    </w:div>
    <w:div w:id="2020353589">
      <w:bodyDiv w:val="1"/>
      <w:marLeft w:val="0"/>
      <w:marRight w:val="0"/>
      <w:marTop w:val="0"/>
      <w:marBottom w:val="0"/>
      <w:divBdr>
        <w:top w:val="none" w:sz="0" w:space="0" w:color="auto"/>
        <w:left w:val="none" w:sz="0" w:space="0" w:color="auto"/>
        <w:bottom w:val="none" w:sz="0" w:space="0" w:color="auto"/>
        <w:right w:val="none" w:sz="0" w:space="0" w:color="auto"/>
      </w:divBdr>
    </w:div>
    <w:div w:id="2140948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emf"/><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eader" Target="header4.xm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Covid19 Recovery">
      <a:dk1>
        <a:srgbClr val="0E4194"/>
      </a:dk1>
      <a:lt1>
        <a:sysClr val="window" lastClr="FFFFFF"/>
      </a:lt1>
      <a:dk2>
        <a:srgbClr val="4C4B9A"/>
      </a:dk2>
      <a:lt2>
        <a:srgbClr val="E7E6E6"/>
      </a:lt2>
      <a:accent1>
        <a:srgbClr val="2696D3"/>
      </a:accent1>
      <a:accent2>
        <a:srgbClr val="FEC00F"/>
      </a:accent2>
      <a:accent3>
        <a:srgbClr val="5F68AB"/>
      </a:accent3>
      <a:accent4>
        <a:srgbClr val="93C5B9"/>
      </a:accent4>
      <a:accent5>
        <a:srgbClr val="034EA2"/>
      </a:accent5>
      <a:accent6>
        <a:srgbClr val="F380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10.0.39616.0</Version>
    <Date>2019-10-02T10:30:58</Date>
    <Language>EN</Language>
  </Created>
  <Edited>
    <Version>10.0.40769.0</Version>
    <Date>2020-05-27T17:58:13</Date>
  </Edited>
  <DocumentModel>
    <Id>6cbda13a-4db2-46c6-876a-ef72275827ef</Id>
    <Name>Report</Name>
  </DocumentModel>
  <DocumentDate>2019-10-02T10:30:58</DocumentDate>
  <DocumentVersion>0.1</DocumentVersion>
  <CompatibilityMode>Eurolook10</CompatibilityMode>
  <Address/>
</EurolookPropertie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3.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DateFormatENOnly>dd/MM/yyyy</DateFormatENOnly>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3E6F8690-807C-4620-B0E6-E06B6C7E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18</TotalTime>
  <Pages>21</Pages>
  <Words>7343</Words>
  <Characters>47217</Characters>
  <Application>Microsoft Office Word</Application>
  <DocSecurity>0</DocSecurity>
  <PresentationFormat>Microsoft Word 14.0</PresentationFormat>
  <Lines>800</Lines>
  <Paragraphs>214</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19</cp:revision>
  <dcterms:created xsi:type="dcterms:W3CDTF">2020-05-27T07:35:00Z</dcterms:created>
  <dcterms:modified xsi:type="dcterms:W3CDTF">2020-05-27T15:58:00Z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CP-009</vt:lpwstr>
  </property>
</Properties>
</file>