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DA9" w:rsidRDefault="008D43B3">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A1126AF-36F0-460E-ABBF-930EB64DBDE2" style="width:451.15pt;height:430.2pt">
            <v:imagedata r:id="rId11" o:title=""/>
          </v:shape>
        </w:pict>
      </w:r>
    </w:p>
    <w:bookmarkEnd w:id="0"/>
    <w:p w:rsidR="00B32DA9" w:rsidRDefault="00B32DA9">
      <w:pPr>
        <w:rPr>
          <w:noProof/>
        </w:rPr>
        <w:sectPr w:rsidR="00B32DA9">
          <w:headerReference w:type="even" r:id="rId12"/>
          <w:headerReference w:type="default" r:id="rId13"/>
          <w:footerReference w:type="even" r:id="rId14"/>
          <w:footerReference w:type="default" r:id="rId15"/>
          <w:headerReference w:type="first" r:id="rId16"/>
          <w:footerReference w:type="first" r:id="rId17"/>
          <w:pgSz w:w="11906" w:h="16838" w:code="9"/>
          <w:pgMar w:top="1134" w:right="1417" w:bottom="1134" w:left="1417" w:header="709" w:footer="709" w:gutter="0"/>
          <w:pgNumType w:start="0"/>
          <w:cols w:space="720"/>
          <w:docGrid w:linePitch="326"/>
        </w:sectPr>
      </w:pPr>
    </w:p>
    <w:p w:rsidR="00B32DA9" w:rsidRDefault="008D43B3">
      <w:pPr>
        <w:pStyle w:val="Heading1"/>
        <w:spacing w:after="0"/>
      </w:pPr>
      <w:r>
        <w:lastRenderedPageBreak/>
        <w:t>EU-BUDGETEN SOM MOTOR I DEN EUROPEISKA ÅTERHÄMTNINGSPLANEN</w:t>
      </w:r>
    </w:p>
    <w:p w:rsidR="00B32DA9" w:rsidRDefault="008D43B3">
      <w:pPr>
        <w:pStyle w:val="Heading2"/>
      </w:pPr>
      <w:r>
        <w:t>En ambitiös och innovativ EU-budget för den europeiska återhämtningen</w:t>
      </w:r>
    </w:p>
    <w:p w:rsidR="00B32DA9" w:rsidRDefault="008D43B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Kommissionen har </w:t>
      </w:r>
      <w:r>
        <w:rPr>
          <w:noProof/>
          <w:color w:val="000000"/>
          <w:szCs w:val="24"/>
          <w:u w:color="000000"/>
          <w:bdr w:val="nil"/>
        </w:rPr>
        <w:t>lagt fram en djärv och heltäckande plan för den europeiska återhämtningen</w:t>
      </w:r>
      <w:r>
        <w:rPr>
          <w:rStyle w:val="FootnoteReference"/>
          <w:rFonts w:eastAsia="Arial Unicode MS" w:cs="Arial Unicode MS"/>
          <w:noProof/>
          <w:color w:val="000000"/>
          <w:szCs w:val="24"/>
          <w:u w:color="000000"/>
          <w:bdr w:val="nil"/>
          <w:lang w:eastAsia="fr-BE"/>
        </w:rPr>
        <w:footnoteReference w:id="2"/>
      </w:r>
      <w:r>
        <w:rPr>
          <w:noProof/>
          <w:color w:val="000000"/>
          <w:szCs w:val="24"/>
          <w:u w:color="000000"/>
          <w:bdr w:val="nil"/>
        </w:rPr>
        <w:t>. Planen bygger på solidaritet och rättvisa, och är fast förankrad i unionens gemensamma principer och värden. I planen står hur den europeiska ekonomin kan rivstarta, bidra till den</w:t>
      </w:r>
      <w:r>
        <w:rPr>
          <w:noProof/>
          <w:color w:val="000000"/>
          <w:szCs w:val="24"/>
          <w:u w:color="000000"/>
          <w:bdr w:val="nil"/>
        </w:rPr>
        <w:t xml:space="preserve"> gröna och digitala omställningen och utvecklas i en mer rättvis, motståndskraftig och hållbar riktning för framtidens generationer.</w:t>
      </w:r>
    </w:p>
    <w:p w:rsidR="00B32DA9" w:rsidRDefault="008D43B3">
      <w:pPr>
        <w:pBdr>
          <w:top w:val="nil"/>
          <w:left w:val="nil"/>
          <w:bottom w:val="nil"/>
          <w:right w:val="nil"/>
          <w:between w:val="nil"/>
          <w:bar w:val="nil"/>
        </w:pBdr>
        <w:tabs>
          <w:tab w:val="left" w:pos="1843"/>
        </w:tabs>
        <w:spacing w:before="120" w:after="120"/>
        <w:rPr>
          <w:rFonts w:eastAsia="Arial Unicode MS" w:cs="Arial Unicode MS"/>
          <w:noProof/>
          <w:color w:val="000000"/>
          <w:szCs w:val="24"/>
          <w:u w:color="000000"/>
          <w:bdr w:val="nil"/>
        </w:rPr>
      </w:pPr>
      <w:r>
        <w:rPr>
          <w:noProof/>
          <w:color w:val="000000"/>
          <w:szCs w:val="24"/>
          <w:u w:color="000000"/>
          <w:bdr w:val="nil"/>
        </w:rPr>
        <w:t xml:space="preserve">Covid-19-pandemin har drabbat alla delar av EU och världen. </w:t>
      </w:r>
      <w:r>
        <w:rPr>
          <w:noProof/>
        </w:rPr>
        <w:t xml:space="preserve">Pandemins ekonomiska och sociala effekter skiljer sig dock avsevärt åt mellan medlemsstaterna, liksom medlemsstaternas förmåga att absorbera chocken och reagera på den. Detta riskerar att leda till skadliga skillnader mellan medlemsstaternas ekonomier och </w:t>
      </w:r>
      <w:r>
        <w:rPr>
          <w:noProof/>
        </w:rPr>
        <w:t xml:space="preserve">utsätter den inre marknaden för allvarliga påfrestningar. </w:t>
      </w:r>
      <w:r>
        <w:rPr>
          <w:noProof/>
          <w:color w:val="000000"/>
          <w:szCs w:val="24"/>
          <w:u w:color="000000"/>
          <w:bdr w:val="nil"/>
        </w:rPr>
        <w:t xml:space="preserve">Europa behöver ett samordnat svar som är snabbt och ambitiöst och styrs dit det behövs bäst. </w:t>
      </w:r>
    </w:p>
    <w:p w:rsidR="00B32DA9" w:rsidRDefault="008D43B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För att nå resultat med återhämtningsplanen krävs enorma offentliga och privata investeringar. </w:t>
      </w:r>
      <w:r>
        <w:rPr>
          <w:noProof/>
        </w:rPr>
        <w:t>Kraftfull</w:t>
      </w:r>
      <w:r>
        <w:rPr>
          <w:noProof/>
        </w:rPr>
        <w:t>a åtgärder krävs för att tillgodose de här behoven och täppa till det totala offentliga och privata investeringsgapet på minst 1,5 biljoner euro, för att avhjälpa den omedelbara ekonomiska och samhälleliga skada som pandemin orsakat och klart och tydligt l</w:t>
      </w:r>
      <w:r>
        <w:rPr>
          <w:noProof/>
        </w:rPr>
        <w:t>eda in unionen på vägen till en hållbar och resilient återhämtning</w:t>
      </w:r>
      <w:r>
        <w:rPr>
          <w:rStyle w:val="FootnoteReference"/>
          <w:rFonts w:eastAsia="Arial Unicode MS" w:cs="Arial Unicode MS"/>
          <w:noProof/>
          <w:color w:val="000000"/>
          <w:szCs w:val="24"/>
          <w:u w:color="000000"/>
          <w:bdr w:val="nil"/>
          <w:lang w:eastAsia="fr-BE"/>
        </w:rPr>
        <w:footnoteReference w:id="3"/>
      </w:r>
      <w:r>
        <w:rPr>
          <w:noProof/>
        </w:rPr>
        <w:t>.</w:t>
      </w:r>
    </w:p>
    <w:p w:rsidR="00B32DA9" w:rsidRDefault="008D43B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rPr>
        <w:t xml:space="preserve">Kommissionen föreslår att </w:t>
      </w:r>
      <w:r>
        <w:rPr>
          <w:b/>
          <w:noProof/>
        </w:rPr>
        <w:t>EU-budgetens hela potential tas till vara för att mobilisera investeringar och tidigarelägga ekonomiskt stöd under de första avgörande åren av återhämtningen</w:t>
      </w:r>
      <w:r>
        <w:rPr>
          <w:noProof/>
        </w:rPr>
        <w:t>.</w:t>
      </w:r>
      <w:r>
        <w:rPr>
          <w:noProof/>
          <w:color w:val="000000"/>
          <w:szCs w:val="24"/>
          <w:u w:color="000000"/>
          <w:bdr w:val="nil"/>
        </w:rPr>
        <w:t xml:space="preserve"> Fö</w:t>
      </w:r>
      <w:r>
        <w:rPr>
          <w:noProof/>
          <w:color w:val="000000"/>
          <w:szCs w:val="24"/>
          <w:u w:color="000000"/>
          <w:bdr w:val="nil"/>
        </w:rPr>
        <w:t>rslagen bygger på följande:</w:t>
      </w:r>
    </w:p>
    <w:p w:rsidR="00B32DA9" w:rsidRDefault="008D43B3">
      <w:pPr>
        <w:pStyle w:val="ListParagraph"/>
        <w:numPr>
          <w:ilvl w:val="0"/>
          <w:numId w:val="30"/>
        </w:numPr>
        <w:pBdr>
          <w:top w:val="nil"/>
          <w:left w:val="nil"/>
          <w:bottom w:val="nil"/>
          <w:right w:val="nil"/>
          <w:between w:val="nil"/>
          <w:bar w:val="nil"/>
        </w:pBdr>
        <w:spacing w:before="120" w:after="120" w:line="240" w:lineRule="auto"/>
        <w:ind w:left="357" w:hanging="357"/>
        <w:contextualSpacing w:val="0"/>
        <w:rPr>
          <w:rFonts w:eastAsia="Arial Unicode MS"/>
          <w:noProof/>
          <w:color w:val="000000"/>
          <w:szCs w:val="24"/>
          <w:u w:color="000000"/>
          <w:bdr w:val="nil"/>
        </w:rPr>
      </w:pPr>
      <w:r>
        <w:rPr>
          <w:rFonts w:ascii="Times New Roman" w:hAnsi="Times New Roman"/>
          <w:noProof/>
          <w:color w:val="000000"/>
          <w:sz w:val="24"/>
          <w:szCs w:val="24"/>
          <w:u w:color="000000"/>
          <w:bdr w:val="nil"/>
        </w:rPr>
        <w:t xml:space="preserve">Ett extraordinärt </w:t>
      </w:r>
      <w:r>
        <w:rPr>
          <w:rFonts w:ascii="Times New Roman" w:hAnsi="Times New Roman"/>
          <w:b/>
          <w:noProof/>
          <w:color w:val="000000"/>
          <w:sz w:val="24"/>
          <w:szCs w:val="24"/>
          <w:u w:color="000000"/>
          <w:bdr w:val="nil"/>
        </w:rPr>
        <w:t xml:space="preserve">europeiskt </w:t>
      </w:r>
      <w:r>
        <w:rPr>
          <w:rFonts w:ascii="Times New Roman" w:hAnsi="Times New Roman"/>
          <w:noProof/>
          <w:color w:val="000000"/>
          <w:sz w:val="24"/>
          <w:szCs w:val="24"/>
          <w:u w:color="000000"/>
          <w:bdr w:val="nil"/>
        </w:rPr>
        <w:t xml:space="preserve"> </w:t>
      </w:r>
      <w:r>
        <w:rPr>
          <w:rFonts w:ascii="Times New Roman" w:hAnsi="Times New Roman"/>
          <w:b/>
          <w:noProof/>
          <w:color w:val="000000"/>
          <w:sz w:val="24"/>
          <w:szCs w:val="24"/>
          <w:u w:color="000000"/>
          <w:bdr w:val="nil"/>
        </w:rPr>
        <w:t>återhämtningsinstrument (NextGenerationEU)</w:t>
      </w:r>
      <w:r>
        <w:rPr>
          <w:rFonts w:ascii="Times New Roman" w:hAnsi="Times New Roman"/>
          <w:noProof/>
          <w:color w:val="000000"/>
          <w:sz w:val="24"/>
          <w:szCs w:val="24"/>
          <w:u w:color="000000"/>
          <w:bdr w:val="nil"/>
        </w:rPr>
        <w:t xml:space="preserve"> med anslag på 750 miljarder euro</w:t>
      </w:r>
      <w:r>
        <w:rPr>
          <w:rStyle w:val="FootnoteReference"/>
          <w:rFonts w:ascii="Times New Roman" w:eastAsia="Arial Unicode MS" w:hAnsi="Times New Roman" w:cs="Times New Roman"/>
          <w:noProof/>
          <w:color w:val="000000"/>
          <w:sz w:val="24"/>
          <w:szCs w:val="24"/>
          <w:u w:color="000000"/>
          <w:bdr w:val="nil"/>
          <w:lang w:eastAsia="fr-BE"/>
        </w:rPr>
        <w:footnoteReference w:id="4"/>
      </w:r>
      <w:r>
        <w:rPr>
          <w:rFonts w:ascii="Times New Roman" w:hAnsi="Times New Roman"/>
          <w:noProof/>
          <w:color w:val="000000"/>
          <w:sz w:val="24"/>
          <w:szCs w:val="24"/>
          <w:u w:color="000000"/>
          <w:bdr w:val="nil"/>
        </w:rPr>
        <w:t xml:space="preserve">. Det ska tillfälligt stärka EU-budgeten med nya medel anskaffade på finansmarknaderna. Dessa medel ska kanaliseras genom </w:t>
      </w:r>
      <w:r>
        <w:rPr>
          <w:rFonts w:ascii="Times New Roman" w:hAnsi="Times New Roman"/>
          <w:noProof/>
          <w:color w:val="000000"/>
          <w:sz w:val="24"/>
          <w:szCs w:val="24"/>
          <w:u w:color="000000"/>
          <w:bdr w:val="nil"/>
        </w:rPr>
        <w:t>EU-programmen till stöd för de omedelbara insatser som krävs för att skydda inkomster, få ekonomin på fötter igen och främja hållbar och resilient tillväxt.</w:t>
      </w:r>
    </w:p>
    <w:p w:rsidR="00B32DA9" w:rsidRDefault="008D43B3">
      <w:pPr>
        <w:pStyle w:val="ListParagraph"/>
        <w:numPr>
          <w:ilvl w:val="0"/>
          <w:numId w:val="30"/>
        </w:numPr>
        <w:pBdr>
          <w:top w:val="nil"/>
          <w:left w:val="nil"/>
          <w:bottom w:val="nil"/>
          <w:right w:val="nil"/>
          <w:between w:val="nil"/>
          <w:bar w:val="nil"/>
        </w:pBdr>
        <w:spacing w:before="120" w:after="120" w:line="240" w:lineRule="auto"/>
        <w:ind w:left="357" w:hanging="357"/>
        <w:contextualSpacing w:val="0"/>
        <w:rPr>
          <w:b/>
          <w:noProof/>
          <w:szCs w:val="24"/>
        </w:rPr>
      </w:pPr>
      <w:r>
        <w:rPr>
          <w:rFonts w:ascii="Times New Roman" w:hAnsi="Times New Roman"/>
          <w:noProof/>
          <w:color w:val="000000"/>
          <w:sz w:val="24"/>
          <w:szCs w:val="24"/>
          <w:u w:color="000000"/>
          <w:bdr w:val="nil"/>
        </w:rPr>
        <w:t xml:space="preserve">En utökad </w:t>
      </w:r>
      <w:r>
        <w:rPr>
          <w:rFonts w:ascii="Times New Roman" w:hAnsi="Times New Roman"/>
          <w:b/>
          <w:noProof/>
          <w:color w:val="000000"/>
          <w:sz w:val="24"/>
          <w:szCs w:val="24"/>
          <w:u w:color="000000"/>
          <w:bdr w:val="nil"/>
        </w:rPr>
        <w:t>flerårig budgetram 2021–2027</w:t>
      </w:r>
      <w:r>
        <w:rPr>
          <w:rFonts w:ascii="Times New Roman" w:hAnsi="Times New Roman"/>
          <w:noProof/>
          <w:color w:val="000000"/>
          <w:sz w:val="24"/>
          <w:szCs w:val="24"/>
          <w:u w:color="000000"/>
          <w:bdr w:val="nil"/>
        </w:rPr>
        <w:t>. Kommissionen vill inrätta nya verktyg och stärka centrala p</w:t>
      </w:r>
      <w:r>
        <w:rPr>
          <w:rFonts w:ascii="Times New Roman" w:hAnsi="Times New Roman"/>
          <w:noProof/>
          <w:color w:val="000000"/>
          <w:sz w:val="24"/>
          <w:szCs w:val="24"/>
          <w:u w:color="000000"/>
          <w:bdr w:val="nil"/>
        </w:rPr>
        <w:t>rogram med hjälp av NextGenerationEU för att snabbt styra investeringarna dit de behövs bäst, stärka den inre marknaden, utöka samarbetet inom bl.a. hälsa och krishantering samt förse EU med en långtidsbudget som driver på den gröna och digitala omställnin</w:t>
      </w:r>
      <w:r>
        <w:rPr>
          <w:rFonts w:ascii="Times New Roman" w:hAnsi="Times New Roman"/>
          <w:noProof/>
          <w:color w:val="000000"/>
          <w:sz w:val="24"/>
          <w:szCs w:val="24"/>
          <w:u w:color="000000"/>
          <w:bdr w:val="nil"/>
        </w:rPr>
        <w:t xml:space="preserve">gen och bygger en rättvisare, mer motståndskraftig ekonomi. </w:t>
      </w:r>
    </w:p>
    <w:p w:rsidR="00B32DA9" w:rsidRDefault="008D43B3">
      <w:pPr>
        <w:spacing w:before="100" w:beforeAutospacing="1" w:after="100" w:afterAutospacing="1"/>
        <w:rPr>
          <w:b/>
          <w:noProof/>
        </w:rPr>
      </w:pPr>
      <w:r>
        <w:rPr>
          <w:b/>
          <w:noProof/>
        </w:rPr>
        <w:t>Tillsammans med de tre omfattande skyddsnät för arbetstagare, företag och stater som Europeiska rådet ställde sig bakom vid sitt möte den 23 april, som uppgår till 540 miljarder euro, skulle dess</w:t>
      </w:r>
      <w:r>
        <w:rPr>
          <w:b/>
          <w:noProof/>
        </w:rPr>
        <w:t xml:space="preserve">a extraordinära åtgärder på EU-nivå komma upp i över 1 290 </w:t>
      </w:r>
      <w:r>
        <w:rPr>
          <w:b/>
          <w:noProof/>
        </w:rPr>
        <w:lastRenderedPageBreak/>
        <w:t>miljarder euro i riktat, tidigarelagt stöd för den europeiska återhämtningen</w:t>
      </w:r>
      <w:r>
        <w:rPr>
          <w:rStyle w:val="FootnoteReference"/>
          <w:noProof/>
          <w:lang w:val="en-IE"/>
        </w:rPr>
        <w:footnoteReference w:id="5"/>
      </w:r>
      <w:r>
        <w:rPr>
          <w:noProof/>
        </w:rPr>
        <w:t>. Enligt en försiktig uppskattning av hävstångseffekten blir den totala investering som det här åtgärdspaketet leder til</w:t>
      </w:r>
      <w:r>
        <w:rPr>
          <w:noProof/>
        </w:rPr>
        <w:t>l 3,1 biljoner euro.</w:t>
      </w:r>
    </w:p>
    <w:p w:rsidR="00B32DA9" w:rsidRDefault="008D43B3">
      <w:pPr>
        <w:spacing w:before="100" w:beforeAutospacing="1" w:after="100" w:afterAutospacing="1"/>
        <w:rPr>
          <w:noProof/>
        </w:rPr>
      </w:pPr>
      <w:r>
        <w:rPr>
          <w:noProof/>
        </w:rPr>
        <w:t xml:space="preserve">De här åtgärderna är ett beslutsamt svar på Europaparlamentets uppmaning till ”ett massivt återhämtnings- och återuppbyggnadspaket för investeringar till stöd för den europeiska ekonomin efter krisen [...] som ett led i den nya </w:t>
      </w:r>
      <w:r>
        <w:rPr>
          <w:noProof/>
        </w:rPr>
        <w:t>fleråriga budgetramen”</w:t>
      </w:r>
      <w:r>
        <w:rPr>
          <w:rStyle w:val="FootnoteReference"/>
          <w:noProof/>
        </w:rPr>
        <w:footnoteReference w:id="6"/>
      </w:r>
      <w:r>
        <w:rPr>
          <w:noProof/>
        </w:rPr>
        <w:t xml:space="preserve"> och stats- och regeringschefernas efterlysning av en återhämtningsfond som ska vara ”tillräckligt stor, inriktas på de mest drabbade sektorerna och geografiska områdena i Europa och vara särskilt avsedd för att hantera denna aldrig </w:t>
      </w:r>
      <w:r>
        <w:rPr>
          <w:noProof/>
        </w:rPr>
        <w:t>tidigare skådade kris”</w:t>
      </w:r>
      <w:r>
        <w:rPr>
          <w:rStyle w:val="FootnoteReference"/>
          <w:noProof/>
        </w:rPr>
        <w:footnoteReference w:id="7"/>
      </w:r>
      <w:r>
        <w:rPr>
          <w:noProof/>
        </w:rPr>
        <w:t xml:space="preserve">. </w:t>
      </w:r>
    </w:p>
    <w:p w:rsidR="00B32DA9" w:rsidRDefault="008D43B3">
      <w:pPr>
        <w:spacing w:before="100" w:beforeAutospacing="1" w:after="100" w:afterAutospacing="1"/>
        <w:rPr>
          <w:rFonts w:eastAsia="Arial Unicode MS"/>
          <w:noProof/>
          <w:szCs w:val="24"/>
          <w:u w:color="000000"/>
          <w:bdr w:val="nil"/>
        </w:rPr>
      </w:pPr>
      <w:r>
        <w:rPr>
          <w:noProof/>
        </w:rPr>
        <w:t>Denna gemensamma uppfattning utgör grunden för en snabb och heltäckande överenskommelse mellan EU-institutionerna. Kommissionen efterlyser ett mycket nära samarbete mellan Europaparlamentet och rådet om alla delar av denna återhäm</w:t>
      </w:r>
      <w:r>
        <w:rPr>
          <w:noProof/>
        </w:rPr>
        <w:t xml:space="preserve">tningsplan och uppmanar dem att årligen se över de utgifter som finansieras med externa inkomster avsatta för särskilda ändamål inom NextGenerationEU. Principerna för en sådan översyn kan fastställas i en interinstitutionell förklaring. </w:t>
      </w:r>
      <w:r>
        <w:rPr>
          <w:noProof/>
          <w:szCs w:val="24"/>
        </w:rPr>
        <w:t>En snabb överenskom</w:t>
      </w:r>
      <w:r>
        <w:rPr>
          <w:noProof/>
          <w:szCs w:val="24"/>
        </w:rPr>
        <w:t>melse om NextGenerationEU och en ambitiös långtidsbudget är en kraftfull signal om europeisk solidaritet och beslutsamhet vid en tidpunkt då insatserna inte kunde vara högre.</w:t>
      </w:r>
      <w:r>
        <w:rPr>
          <w:noProof/>
          <w:szCs w:val="24"/>
          <w:u w:color="000000"/>
          <w:bdr w:val="nil"/>
        </w:rPr>
        <w:t xml:space="preserve"> </w:t>
      </w:r>
    </w:p>
    <w:p w:rsidR="00B32DA9" w:rsidRDefault="008D43B3">
      <w:pPr>
        <w:spacing w:before="100" w:beforeAutospacing="1" w:after="100" w:afterAutospacing="1"/>
        <w:rPr>
          <w:noProof/>
        </w:rPr>
      </w:pPr>
      <w:r>
        <w:rPr>
          <w:noProof/>
          <w:lang w:val="fr-BE" w:eastAsia="fr-BE"/>
        </w:rPr>
        <w:drawing>
          <wp:inline distT="0" distB="0" distL="0" distR="0">
            <wp:extent cx="5759450" cy="3230691"/>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3230691"/>
                    </a:xfrm>
                    <a:prstGeom prst="rect">
                      <a:avLst/>
                    </a:prstGeom>
                    <a:noFill/>
                    <a:ln>
                      <a:noFill/>
                    </a:ln>
                  </pic:spPr>
                </pic:pic>
              </a:graphicData>
            </a:graphic>
          </wp:inline>
        </w:drawing>
      </w:r>
    </w:p>
    <w:p w:rsidR="00B32DA9" w:rsidRDefault="00B32DA9">
      <w:pPr>
        <w:pBdr>
          <w:top w:val="nil"/>
          <w:left w:val="nil"/>
          <w:bottom w:val="nil"/>
          <w:right w:val="nil"/>
          <w:between w:val="nil"/>
          <w:bar w:val="nil"/>
        </w:pBdr>
        <w:spacing w:before="120" w:after="120"/>
        <w:jc w:val="left"/>
        <w:rPr>
          <w:rFonts w:eastAsia="Arial Unicode MS"/>
          <w:noProof/>
          <w:color w:val="000000"/>
          <w:szCs w:val="24"/>
          <w:u w:color="000000"/>
          <w:bdr w:val="nil"/>
          <w:lang w:eastAsia="fr-BE"/>
        </w:rPr>
      </w:pPr>
    </w:p>
    <w:p w:rsidR="00B32DA9" w:rsidRDefault="008D43B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EU:s långtidsbudget, med stöd av NextGenerationEU, har en unik möjlighet att </w:t>
      </w:r>
      <w:r>
        <w:rPr>
          <w:noProof/>
          <w:color w:val="000000"/>
          <w:szCs w:val="24"/>
          <w:u w:color="000000"/>
          <w:bdr w:val="nil"/>
        </w:rPr>
        <w:t xml:space="preserve">driva på den europeiska återhämtningen. EU-budgeten är en transparent och betrodd ram för det massiva investeringsprogram som vi har framför oss, förankrat i gemenskapsmodellen för styrning och </w:t>
      </w:r>
      <w:r>
        <w:rPr>
          <w:noProof/>
          <w:color w:val="000000"/>
          <w:szCs w:val="24"/>
          <w:u w:color="000000"/>
          <w:bdr w:val="nil"/>
        </w:rPr>
        <w:lastRenderedPageBreak/>
        <w:t>beslutsfattande. EU-budgeten är en beprövad motor för invester</w:t>
      </w:r>
      <w:r>
        <w:rPr>
          <w:noProof/>
          <w:color w:val="000000"/>
          <w:szCs w:val="24"/>
          <w:u w:color="000000"/>
          <w:bdr w:val="nil"/>
        </w:rPr>
        <w:t>ingar, sammanhållning och solidaritet, och stärker EU:s inre marknad.</w:t>
      </w:r>
    </w:p>
    <w:p w:rsidR="00B32DA9" w:rsidRDefault="008D43B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De senaste veckorna har kommissionen utnyttjat all kvarvarande flexibilitet i dagens EU-budget för att styra varje tillgänglig euro till att rädda liv och skydda försörjning. Dessa åtgär</w:t>
      </w:r>
      <w:r>
        <w:rPr>
          <w:noProof/>
          <w:color w:val="000000"/>
          <w:szCs w:val="24"/>
          <w:u w:color="000000"/>
          <w:bdr w:val="nil"/>
        </w:rPr>
        <w:t>der har bevisat att EU-budgeten har förmågan att tillhandahålla betydande stöd i rätt tid till medlemsstaterna under en kris. Åtgärderna har också uttömt all kvarvarande flexibilitet i dagens EU-budget, vilket visar på det akuta behovet av nya åtgärder för</w:t>
      </w:r>
      <w:r>
        <w:rPr>
          <w:noProof/>
          <w:color w:val="000000"/>
          <w:szCs w:val="24"/>
          <w:u w:color="000000"/>
          <w:bdr w:val="nil"/>
        </w:rPr>
        <w:t xml:space="preserve"> att driva på de nästa avgörande etapperna i återhämtningen.</w:t>
      </w:r>
    </w:p>
    <w:p w:rsidR="00B32DA9" w:rsidRDefault="008D43B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Grunderna i kommissionens förslag till en modern, flexibel långtidsbudget med nära kopplingar till EU:s prioriteringar är fortfarande giltiga. Kommissionen föreslår nu att dessa förslag ska anpas</w:t>
      </w:r>
      <w:r>
        <w:rPr>
          <w:noProof/>
          <w:color w:val="000000"/>
          <w:szCs w:val="24"/>
          <w:u w:color="000000"/>
          <w:bdr w:val="nil"/>
        </w:rPr>
        <w:t>sas och stärkas för att driva på den europeiska återhämtningen. Med avstamp i de avsevärda framsteg som redan gjorts i Europaparlamentet och rådet uppstår bästa tänkbara förutsättningar för en snabb överenskommelse.</w:t>
      </w:r>
    </w:p>
    <w:p w:rsidR="00B32DA9" w:rsidRDefault="008D43B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b/>
          <w:noProof/>
          <w:color w:val="000000"/>
          <w:szCs w:val="24"/>
          <w:u w:color="000000"/>
          <w:bdr w:val="nil"/>
        </w:rPr>
        <w:t>Omställningen till ett grönt och digital</w:t>
      </w:r>
      <w:r>
        <w:rPr>
          <w:b/>
          <w:noProof/>
          <w:color w:val="000000"/>
          <w:szCs w:val="24"/>
          <w:u w:color="000000"/>
          <w:bdr w:val="nil"/>
        </w:rPr>
        <w:t>t Europa</w:t>
      </w:r>
      <w:r>
        <w:rPr>
          <w:noProof/>
          <w:color w:val="000000"/>
          <w:szCs w:val="24"/>
          <w:u w:color="000000"/>
          <w:bdr w:val="nil"/>
        </w:rPr>
        <w:t xml:space="preserve"> förblir den här generationens kännetecknande utmaning. Det genomsyrar kommissionens förslag. Investeringar i en storskalig våg av renoveringar, förnybar energi, ren vätgas, rena transporter, hållbara livsmedel och en smart cirkulär ekonomi har eno</w:t>
      </w:r>
      <w:r>
        <w:rPr>
          <w:noProof/>
          <w:color w:val="000000"/>
          <w:szCs w:val="24"/>
          <w:u w:color="000000"/>
          <w:bdr w:val="nil"/>
        </w:rPr>
        <w:t>rm potential för att få den europeiska ekonomin att växa. Stödet bör vara förenligt med unionens klimat- och miljömål. Investeringar i digital infrastruktur och kompetens bidrar till att stärka konkurrenskraften och den tekniska självständigheten. Invester</w:t>
      </w:r>
      <w:r>
        <w:rPr>
          <w:noProof/>
          <w:color w:val="000000"/>
          <w:szCs w:val="24"/>
          <w:u w:color="000000"/>
          <w:bdr w:val="nil"/>
        </w:rPr>
        <w:t xml:space="preserve">ingar i motståndskraft mot morgondagens hälsoutmaningar och strategiskt oberoende gör unionen bättre rustad för kommande kriser. </w:t>
      </w:r>
    </w:p>
    <w:p w:rsidR="00B32DA9" w:rsidRDefault="008D43B3">
      <w:pPr>
        <w:spacing w:before="120" w:after="120"/>
        <w:rPr>
          <w:rFonts w:eastAsia="Arial Unicode MS" w:cs="Arial Unicode MS"/>
          <w:noProof/>
          <w:color w:val="000000"/>
          <w:szCs w:val="24"/>
          <w:u w:color="000000"/>
          <w:bdr w:val="nil"/>
        </w:rPr>
      </w:pPr>
      <w:r>
        <w:rPr>
          <w:noProof/>
          <w:color w:val="000000"/>
          <w:szCs w:val="24"/>
          <w:u w:color="000000"/>
          <w:bdr w:val="nil"/>
        </w:rPr>
        <w:t xml:space="preserve">Med </w:t>
      </w:r>
      <w:r>
        <w:rPr>
          <w:b/>
          <w:noProof/>
          <w:color w:val="000000"/>
          <w:szCs w:val="24"/>
          <w:u w:color="000000"/>
          <w:bdr w:val="nil"/>
        </w:rPr>
        <w:t>NextGenerationEU</w:t>
      </w:r>
      <w:r>
        <w:rPr>
          <w:noProof/>
          <w:color w:val="000000"/>
          <w:szCs w:val="24"/>
          <w:u w:color="000000"/>
          <w:bdr w:val="nil"/>
        </w:rPr>
        <w:t xml:space="preserve"> får EU-budgeten den ytterligare slagkraft som krävs för att kraftfullt möta de mest akuta utmaningarna. D</w:t>
      </w:r>
      <w:r>
        <w:rPr>
          <w:noProof/>
          <w:color w:val="000000"/>
          <w:szCs w:val="24"/>
          <w:u w:color="000000"/>
          <w:bdr w:val="nil"/>
        </w:rPr>
        <w:t xml:space="preserve">et är fråga om ett extraordinärt, tidsbegränsat engångsinstrument som enbart får sättas in för krishantering och återhämtningsåtgärder. </w:t>
      </w:r>
      <w:r>
        <w:rPr>
          <w:noProof/>
        </w:rPr>
        <w:t>Medlen kommer att ledas via EU-budgeten till medlemsstaterna till stöd för investerings-och reformprioriteringar, och sk</w:t>
      </w:r>
      <w:r>
        <w:rPr>
          <w:noProof/>
        </w:rPr>
        <w:t>a användas för att stärka de finansieringsprogram som är avgörande för återhämtningen med slutdatum den 31 december 2024.</w:t>
      </w:r>
      <w:r>
        <w:rPr>
          <w:noProof/>
          <w:color w:val="000000"/>
          <w:szCs w:val="24"/>
          <w:u w:color="000000"/>
          <w:bdr w:val="nil"/>
        </w:rPr>
        <w:t xml:space="preserve"> Att anskaffa medel på finansmarknaderna bidrar till att sprida ut finansieringskostnaderna över tiden, så att medlemsstaterna inte bli</w:t>
      </w:r>
      <w:r>
        <w:rPr>
          <w:noProof/>
          <w:color w:val="000000"/>
          <w:szCs w:val="24"/>
          <w:u w:color="000000"/>
          <w:bdr w:val="nil"/>
        </w:rPr>
        <w:t xml:space="preserve">r tvungna att göra några betydande tillskott till EU-budgeten åren 2021–2027. </w:t>
      </w:r>
      <w:r>
        <w:rPr>
          <w:noProof/>
        </w:rPr>
        <w:t>Kommissionen tänker också lägga fram förslag om nya egna medel som kan bidra till återbetalning av de medel som anskaffas på kapitalmarknaderna inom NextGenerationEU.</w:t>
      </w:r>
    </w:p>
    <w:p w:rsidR="00B32DA9" w:rsidRDefault="008D43B3">
      <w:pPr>
        <w:spacing w:before="120" w:after="120"/>
        <w:rPr>
          <w:rFonts w:eastAsia="Arial Unicode MS" w:cs="Arial Unicode MS"/>
          <w:noProof/>
          <w:color w:val="000000"/>
          <w:szCs w:val="24"/>
          <w:u w:color="000000"/>
          <w:bdr w:val="nil"/>
        </w:rPr>
      </w:pPr>
      <w:r>
        <w:rPr>
          <w:noProof/>
          <w:color w:val="000000"/>
          <w:szCs w:val="24"/>
          <w:u w:color="000000"/>
          <w:bdr w:val="nil"/>
        </w:rPr>
        <w:t>Att sätta i</w:t>
      </w:r>
      <w:r>
        <w:rPr>
          <w:noProof/>
          <w:color w:val="000000"/>
          <w:szCs w:val="24"/>
          <w:u w:color="000000"/>
          <w:bdr w:val="nil"/>
        </w:rPr>
        <w:t xml:space="preserve">n NextGenerationEU snabbt blir avgörande för att vända utvecklingen i den ekonomiska krisen. För att göra medlen tillgängliga så snart som möjligt och tillgodose de mest akuta behoven föreslår kommissionen att den nuvarande fleråriga budgetramen 2014–2020 </w:t>
      </w:r>
      <w:r>
        <w:rPr>
          <w:noProof/>
          <w:color w:val="000000"/>
          <w:szCs w:val="24"/>
          <w:u w:color="000000"/>
          <w:bdr w:val="nil"/>
        </w:rPr>
        <w:t>ändras så att ytterligare 11,5 miljarder euro blir tillgängliga för finansiering redan 2020. Denna tilläggsfinansiering görs tillgängligt för React-EU, instrumentet för solvensstöd  samt Europeiska fonden för hållbar utveckling, med tanke på hur brådskande</w:t>
      </w:r>
      <w:r>
        <w:rPr>
          <w:noProof/>
          <w:color w:val="000000"/>
          <w:szCs w:val="24"/>
          <w:u w:color="000000"/>
          <w:bdr w:val="nil"/>
        </w:rPr>
        <w:t xml:space="preserve"> dessa behov är.</w:t>
      </w:r>
    </w:p>
    <w:p w:rsidR="00B32DA9" w:rsidRDefault="008D43B3">
      <w:pPr>
        <w:spacing w:before="120" w:after="120"/>
        <w:rPr>
          <w:rFonts w:eastAsia="Arial Unicode MS" w:cs="Arial Unicode MS"/>
          <w:noProof/>
          <w:color w:val="000000"/>
          <w:szCs w:val="24"/>
          <w:u w:color="000000"/>
          <w:bdr w:val="nil"/>
        </w:rPr>
      </w:pPr>
      <w:r>
        <w:rPr>
          <w:rFonts w:eastAsia="Arial Unicode MS"/>
          <w:noProof/>
          <w:lang w:val="fr-BE" w:eastAsia="fr-BE"/>
        </w:rPr>
        <w:lastRenderedPageBreak/>
        <w:drawing>
          <wp:inline distT="0" distB="0" distL="0" distR="0">
            <wp:extent cx="5759450" cy="3230691"/>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3230691"/>
                    </a:xfrm>
                    <a:prstGeom prst="rect">
                      <a:avLst/>
                    </a:prstGeom>
                    <a:noFill/>
                    <a:ln>
                      <a:noFill/>
                    </a:ln>
                  </pic:spPr>
                </pic:pic>
              </a:graphicData>
            </a:graphic>
          </wp:inline>
        </w:drawing>
      </w:r>
    </w:p>
    <w:p w:rsidR="00B32DA9" w:rsidRDefault="008D43B3">
      <w:pPr>
        <w:pStyle w:val="Heading2"/>
      </w:pPr>
      <w:r>
        <w:t>Hur ska NextGenerationEU användas?</w:t>
      </w:r>
    </w:p>
    <w:p w:rsidR="00B32DA9" w:rsidRDefault="008D43B3">
      <w:pPr>
        <w:keepLines/>
        <w:spacing w:before="120" w:after="120"/>
        <w:rPr>
          <w:rFonts w:eastAsia="Arial Unicode MS" w:cs="Arial Unicode MS"/>
          <w:noProof/>
          <w:color w:val="000000"/>
          <w:szCs w:val="24"/>
          <w:u w:color="000000"/>
          <w:bdr w:val="nil"/>
        </w:rPr>
      </w:pPr>
      <w:r>
        <w:rPr>
          <w:noProof/>
          <w:color w:val="000000"/>
          <w:szCs w:val="24"/>
          <w:u w:color="000000"/>
          <w:bdr w:val="nil"/>
        </w:rPr>
        <w:t>Varje program och varje euro i det här paketet ska sättas in för att täcka de mest akuta återhämtningsbehoven, i enlighet med kommissionens behovsbedömning. Förslagen fokuserar på de områden där EU-budg</w:t>
      </w:r>
      <w:r>
        <w:rPr>
          <w:noProof/>
          <w:color w:val="000000"/>
          <w:szCs w:val="24"/>
          <w:u w:color="000000"/>
          <w:bdr w:val="nil"/>
        </w:rPr>
        <w:t xml:space="preserve">eten kan göra mest nytta, genom att komplettera och förstärka det nödvändiga arbete som pågår i medlemsstaterna. </w:t>
      </w:r>
    </w:p>
    <w:p w:rsidR="00B32DA9" w:rsidRDefault="008D43B3">
      <w:pPr>
        <w:spacing w:before="120" w:after="120"/>
        <w:rPr>
          <w:rFonts w:eastAsia="Arial Unicode MS" w:cs="Arial Unicode MS"/>
          <w:noProof/>
          <w:color w:val="000000"/>
          <w:szCs w:val="24"/>
          <w:u w:color="000000"/>
          <w:bdr w:val="nil"/>
        </w:rPr>
      </w:pPr>
      <w:r>
        <w:rPr>
          <w:noProof/>
          <w:color w:val="000000"/>
          <w:szCs w:val="24"/>
          <w:u w:color="000000"/>
          <w:bdr w:val="nil"/>
        </w:rPr>
        <w:t>Paketet är uppbyggt kring tre pelare: Verktyg till stöd för medlemsstaternas satsningar på att återhämta sig, reparera och gå stärkta ur krisen. Åtgärder för att stärka privata investeringar och stödja företag i svårigheter. Förstärkning av centrala EU-pro</w:t>
      </w:r>
      <w:r>
        <w:rPr>
          <w:noProof/>
          <w:color w:val="000000"/>
          <w:szCs w:val="24"/>
          <w:u w:color="000000"/>
          <w:bdr w:val="nil"/>
        </w:rPr>
        <w:t xml:space="preserve">gram för att dra lärdom av krisen och göra den inre marknaden starkare och mer motståndskraftig. </w:t>
      </w:r>
    </w:p>
    <w:p w:rsidR="00B32DA9" w:rsidRDefault="008D43B3">
      <w:pPr>
        <w:pStyle w:val="ListParagraph"/>
        <w:keepNext/>
        <w:numPr>
          <w:ilvl w:val="0"/>
          <w:numId w:val="40"/>
        </w:numPr>
        <w:spacing w:before="120" w:after="120"/>
        <w:ind w:left="357" w:hanging="357"/>
        <w:rPr>
          <w:rFonts w:ascii="Times New Roman Bold" w:eastAsia="Arial Unicode MS" w:hAnsi="Times New Roman Bold" w:cs="Times New Roman"/>
          <w:b/>
          <w:noProof/>
          <w:color w:val="000000"/>
          <w:sz w:val="24"/>
          <w:szCs w:val="24"/>
          <w:u w:val="single"/>
          <w:bdr w:val="nil"/>
        </w:rPr>
      </w:pPr>
      <w:r>
        <w:rPr>
          <w:rFonts w:ascii="Times New Roman Bold" w:hAnsi="Times New Roman Bold"/>
          <w:b/>
          <w:noProof/>
          <w:color w:val="000000"/>
          <w:sz w:val="24"/>
          <w:szCs w:val="24"/>
          <w:u w:val="single"/>
          <w:bdr w:val="nil"/>
        </w:rPr>
        <w:t>Stöd för medlemsstaterna att återhämta sig, reparera och gå stärkta ur krisen.</w:t>
      </w:r>
    </w:p>
    <w:p w:rsidR="00B32DA9" w:rsidRDefault="008D43B3">
      <w:pPr>
        <w:pBdr>
          <w:top w:val="single" w:sz="18" w:space="1" w:color="93C5B9" w:themeColor="accent4"/>
          <w:left w:val="single" w:sz="18" w:space="4" w:color="93C5B9" w:themeColor="accent4"/>
          <w:bottom w:val="single" w:sz="18" w:space="1" w:color="93C5B9" w:themeColor="accent4"/>
          <w:right w:val="single" w:sz="18" w:space="4" w:color="93C5B9" w:themeColor="accent4"/>
        </w:pBdr>
        <w:spacing w:before="120" w:after="120"/>
        <w:rPr>
          <w:rFonts w:eastAsia="Arial Unicode MS"/>
          <w:i/>
          <w:noProof/>
          <w:color w:val="000000"/>
          <w:szCs w:val="24"/>
          <w:u w:color="000000"/>
          <w:bdr w:val="nil"/>
        </w:rPr>
      </w:pPr>
      <w:r>
        <w:rPr>
          <w:i/>
          <w:noProof/>
          <w:color w:val="000000"/>
          <w:szCs w:val="24"/>
          <w:u w:color="000000"/>
          <w:bdr w:val="nil"/>
          <w:lang w:val="fr-BE" w:eastAsia="fr-BE"/>
        </w:rPr>
        <w:drawing>
          <wp:anchor distT="0" distB="0" distL="114300" distR="114300" simplePos="0" relativeHeight="251658240" behindDoc="0" locked="0" layoutInCell="1" allowOverlap="1">
            <wp:simplePos x="0" y="0"/>
            <wp:positionH relativeFrom="column">
              <wp:posOffset>5112971</wp:posOffset>
            </wp:positionH>
            <wp:positionV relativeFrom="paragraph">
              <wp:posOffset>119380</wp:posOffset>
            </wp:positionV>
            <wp:extent cx="723265" cy="723265"/>
            <wp:effectExtent l="0" t="0" r="0"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14:sizeRelH relativeFrom="page">
              <wp14:pctWidth>0</wp14:pctWidth>
            </wp14:sizeRelH>
            <wp14:sizeRelV relativeFrom="page">
              <wp14:pctHeight>0</wp14:pctHeight>
            </wp14:sizeRelV>
          </wp:anchor>
        </w:drawing>
      </w:r>
      <w:r>
        <w:rPr>
          <w:i/>
          <w:noProof/>
        </w:rPr>
        <w:t xml:space="preserve">De offentliga investeringarna har stor betydelse för en balanserad och hållbar återhämtning. </w:t>
      </w:r>
      <w:r>
        <w:rPr>
          <w:i/>
          <w:noProof/>
          <w:color w:val="000000"/>
          <w:szCs w:val="24"/>
          <w:u w:color="000000"/>
          <w:bdr w:val="nil"/>
        </w:rPr>
        <w:t>Merparten av medlen från NextGenerationEU (över 80 %) kommer därför att användas till att stödja investeringar och reformer i medlemsstaterna, och koncentreras där</w:t>
      </w:r>
      <w:r>
        <w:rPr>
          <w:i/>
          <w:noProof/>
          <w:color w:val="000000"/>
          <w:szCs w:val="24"/>
          <w:u w:color="000000"/>
          <w:bdr w:val="nil"/>
        </w:rPr>
        <w:t xml:space="preserve"> behoven av krishantering och motståndskraft är störst. Det viktigaste instrumentet för återhämtningen blir en </w:t>
      </w:r>
      <w:r>
        <w:rPr>
          <w:b/>
          <w:i/>
          <w:noProof/>
          <w:color w:val="000000"/>
          <w:szCs w:val="24"/>
          <w:u w:color="000000"/>
          <w:bdr w:val="nil"/>
        </w:rPr>
        <w:t>ny facilitet för återhämtning och resiliens</w:t>
      </w:r>
      <w:r>
        <w:rPr>
          <w:i/>
          <w:noProof/>
          <w:color w:val="000000"/>
          <w:szCs w:val="24"/>
          <w:u w:color="000000"/>
          <w:bdr w:val="nil"/>
        </w:rPr>
        <w:t xml:space="preserve"> som är särskilt utformad för att finansiera investeringar och reformer i enlighet med EU:s prioriteri</w:t>
      </w:r>
      <w:r>
        <w:rPr>
          <w:i/>
          <w:noProof/>
          <w:color w:val="000000"/>
          <w:szCs w:val="24"/>
          <w:u w:color="000000"/>
          <w:bdr w:val="nil"/>
        </w:rPr>
        <w:t xml:space="preserve">ngar. Sammanhållningspolitiken ska dra sitt strå till stacken för en balanserad och hållbar återhämtning genom det </w:t>
      </w:r>
      <w:r>
        <w:rPr>
          <w:b/>
          <w:i/>
          <w:noProof/>
          <w:color w:val="000000"/>
          <w:szCs w:val="24"/>
          <w:u w:color="000000"/>
          <w:bdr w:val="nil"/>
        </w:rPr>
        <w:t>nya initiativet React-EU</w:t>
      </w:r>
      <w:r>
        <w:rPr>
          <w:i/>
          <w:noProof/>
          <w:color w:val="000000"/>
          <w:szCs w:val="24"/>
          <w:u w:color="000000"/>
          <w:bdr w:val="nil"/>
        </w:rPr>
        <w:t xml:space="preserve"> som ska ta itu med de mest akuta ekonomiska och sociala behoven, samt anpassningar av </w:t>
      </w:r>
      <w:r>
        <w:rPr>
          <w:b/>
          <w:i/>
          <w:noProof/>
          <w:color w:val="000000"/>
          <w:szCs w:val="24"/>
          <w:u w:color="000000"/>
          <w:bdr w:val="nil"/>
        </w:rPr>
        <w:t>nästa omgång sammanhållningspo</w:t>
      </w:r>
      <w:r>
        <w:rPr>
          <w:b/>
          <w:i/>
          <w:noProof/>
          <w:color w:val="000000"/>
          <w:szCs w:val="24"/>
          <w:u w:color="000000"/>
          <w:bdr w:val="nil"/>
        </w:rPr>
        <w:t>litiska program</w:t>
      </w:r>
      <w:r>
        <w:rPr>
          <w:i/>
          <w:noProof/>
          <w:color w:val="000000"/>
          <w:szCs w:val="24"/>
          <w:u w:color="000000"/>
          <w:bdr w:val="nil"/>
        </w:rPr>
        <w:t xml:space="preserve"> så att dessa blir mer flexibla och helt följer prioriteringarna för återhämtningen. </w:t>
      </w:r>
      <w:r>
        <w:rPr>
          <w:b/>
          <w:i/>
          <w:noProof/>
        </w:rPr>
        <w:t>Europeiska jordbruksfonden för landsbygdsutveckling</w:t>
      </w:r>
      <w:r>
        <w:rPr>
          <w:i/>
          <w:noProof/>
        </w:rPr>
        <w:t xml:space="preserve"> ska hjälpa jordbrukarna och landsbygden att nå resultat med den gröna omställningen och stödja de invest</w:t>
      </w:r>
      <w:r>
        <w:rPr>
          <w:i/>
          <w:noProof/>
        </w:rPr>
        <w:t>eringar och reformer som är nödvändiga för</w:t>
      </w:r>
      <w:r>
        <w:rPr>
          <w:noProof/>
        </w:rPr>
        <w:t xml:space="preserve"> </w:t>
      </w:r>
      <w:r>
        <w:rPr>
          <w:i/>
          <w:noProof/>
        </w:rPr>
        <w:t>EU:s högt satta miljömål</w:t>
      </w:r>
      <w:r>
        <w:rPr>
          <w:noProof/>
        </w:rPr>
        <w:t>.</w:t>
      </w:r>
      <w:r>
        <w:rPr>
          <w:i/>
          <w:noProof/>
          <w:color w:val="000000"/>
          <w:szCs w:val="24"/>
          <w:u w:color="000000"/>
          <w:bdr w:val="nil"/>
        </w:rPr>
        <w:t xml:space="preserve"> Slutligen ska en avsevärt förstärkt </w:t>
      </w:r>
      <w:r>
        <w:rPr>
          <w:b/>
          <w:i/>
          <w:noProof/>
          <w:color w:val="000000"/>
          <w:szCs w:val="24"/>
          <w:u w:color="000000"/>
          <w:bdr w:val="nil"/>
        </w:rPr>
        <w:t>mekanism för rättvis omställning</w:t>
      </w:r>
      <w:r>
        <w:rPr>
          <w:i/>
          <w:noProof/>
          <w:color w:val="000000"/>
          <w:szCs w:val="24"/>
          <w:u w:color="000000"/>
          <w:bdr w:val="nil"/>
        </w:rPr>
        <w:t xml:space="preserve"> hjälpa medlemsstaterna att påskynda omställningen till en grön ekonomi och därigenom stärka deras ekonomier. </w:t>
      </w:r>
    </w:p>
    <w:p w:rsidR="00B32DA9" w:rsidRDefault="008D43B3">
      <w:pPr>
        <w:pStyle w:val="ListParagraph"/>
        <w:keepNext/>
        <w:numPr>
          <w:ilvl w:val="0"/>
          <w:numId w:val="31"/>
        </w:numPr>
        <w:spacing w:before="120" w:after="120"/>
        <w:ind w:hanging="357"/>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lastRenderedPageBreak/>
        <w:t xml:space="preserve">En ny </w:t>
      </w:r>
      <w:r>
        <w:rPr>
          <w:rFonts w:ascii="Times New Roman" w:hAnsi="Times New Roman"/>
          <w:b/>
          <w:i/>
          <w:noProof/>
          <w:color w:val="000000"/>
          <w:sz w:val="24"/>
          <w:szCs w:val="24"/>
          <w:u w:color="000000"/>
          <w:bdr w:val="nil"/>
        </w:rPr>
        <w:t>facilitet för återhämtning och resiliens</w:t>
      </w:r>
    </w:p>
    <w:p w:rsidR="00B32DA9" w:rsidRDefault="008D43B3">
      <w:pPr>
        <w:spacing w:before="120" w:after="120"/>
        <w:rPr>
          <w:noProof/>
        </w:rPr>
      </w:pPr>
      <w:r>
        <w:rPr>
          <w:noProof/>
        </w:rPr>
        <w:t>EU-budgeten kan ge kraftfullt stöd till de prioriteringar för investeringar och reformer som sållats fram under den europeiska planeringsterminen, desto viktigare vid en tidpunkt när de nationella budgeterna är anst</w:t>
      </w:r>
      <w:r>
        <w:rPr>
          <w:noProof/>
        </w:rPr>
        <w:t xml:space="preserve">rängda. </w:t>
      </w:r>
    </w:p>
    <w:p w:rsidR="00B32DA9" w:rsidRDefault="008D43B3">
      <w:pPr>
        <w:spacing w:before="120" w:after="120"/>
        <w:rPr>
          <w:rFonts w:eastAsia="DengXian"/>
          <w:noProof/>
          <w:szCs w:val="24"/>
        </w:rPr>
      </w:pPr>
      <w:r>
        <w:rPr>
          <w:noProof/>
        </w:rPr>
        <w:t xml:space="preserve">Kärnstycket i återhämtningsplanen blir en ny </w:t>
      </w:r>
      <w:r>
        <w:rPr>
          <w:b/>
          <w:noProof/>
        </w:rPr>
        <w:t>facilitet för återhämtning och resiliens</w:t>
      </w:r>
      <w:r>
        <w:rPr>
          <w:noProof/>
        </w:rPr>
        <w:t>. Facilitetens mål blir att stödja de investeringar och reformer som är nödvändiga för en varaktig återhämtning,  förbättra medlemsstaternas ekonomiska och social</w:t>
      </w:r>
      <w:r>
        <w:rPr>
          <w:noProof/>
        </w:rPr>
        <w:t xml:space="preserve">a resiliens samt stödja den gröna och digitala omställningen. Faciliteten står öppen för alla medlemsstater, men stödet ska koncentreras till de hårdast drabbade delarna av unionen och där resiliensbehoven är störst. Detta bidrar till att motverka växande </w:t>
      </w:r>
      <w:r>
        <w:rPr>
          <w:noProof/>
        </w:rPr>
        <w:t>skillnader mellan medlemsstaterna och rusta våra ekonomier inför framtiden.</w:t>
      </w:r>
    </w:p>
    <w:p w:rsidR="00B32DA9" w:rsidRDefault="008D43B3">
      <w:pPr>
        <w:spacing w:before="120" w:after="120"/>
        <w:rPr>
          <w:rFonts w:ascii="EC Square Sans Pro" w:eastAsia="Arial Unicode MS" w:hAnsi="EC Square Sans Pro"/>
          <w:noProof/>
          <w:color w:val="000000"/>
          <w:szCs w:val="24"/>
          <w:bdr w:val="none" w:sz="0" w:space="0" w:color="auto" w:frame="1"/>
        </w:rPr>
      </w:pPr>
      <w:r>
        <w:rPr>
          <w:noProof/>
        </w:rPr>
        <w:t>Faciliteten ska erbjuda storskaligt ekonomiskt stöd till investeringar och reformer som gör medlemsstaternas ekonomier mer resilienta. Det är särskilt viktigt att dessa investering</w:t>
      </w:r>
      <w:r>
        <w:rPr>
          <w:noProof/>
        </w:rPr>
        <w:t>ar och reformer inriktas på de utmaningar och investeringsbehov som hänger samman med den gröna och digitala omställningen. Det ska hjälpa medlemsstaterna att ta itu med ekonomiska och sociala utmaningar som är ännu viktigare under efterdyningarna av krise</w:t>
      </w:r>
      <w:r>
        <w:rPr>
          <w:noProof/>
        </w:rPr>
        <w:t>n, på olika områden som socialpolitik, sysselsättning, kompetens, utbildning, forskning, innovation och hälsa, men också på områden med anknytning till företagsklimat, inbegripet offentlig förvaltning och finanssektor. Kommissionen tänker erbjuda omfattand</w:t>
      </w:r>
      <w:r>
        <w:rPr>
          <w:noProof/>
        </w:rPr>
        <w:t xml:space="preserve">e tekniskt stöd så att medlen används på bästa tänkbara sätt. </w:t>
      </w:r>
    </w:p>
    <w:p w:rsidR="00B32DA9" w:rsidRDefault="008D43B3">
      <w:pPr>
        <w:spacing w:before="120" w:after="120"/>
        <w:rPr>
          <w:noProof/>
        </w:rPr>
      </w:pPr>
      <w:r>
        <w:rPr>
          <w:noProof/>
        </w:rPr>
        <w:t xml:space="preserve">Faciliteten föreslås få en budget på 560 miljarder euro för att bidra till finansieringen av medlemsstaternas återhämtnings- och resiliensplaner. Faciliteten ska få en bidragsdel med en budget </w:t>
      </w:r>
      <w:r>
        <w:rPr>
          <w:noProof/>
        </w:rPr>
        <w:t>på upp till 310 miljarder euro och ska kunna bevilja lån på upp till 250 miljarder euro.</w:t>
      </w:r>
      <w:r>
        <w:rPr>
          <w:i/>
          <w:noProof/>
        </w:rPr>
        <w:t xml:space="preserve"> </w:t>
      </w:r>
    </w:p>
    <w:p w:rsidR="00B32DA9" w:rsidRDefault="008D43B3">
      <w:pPr>
        <w:rPr>
          <w:noProof/>
          <w:szCs w:val="24"/>
        </w:rPr>
      </w:pPr>
      <w:r>
        <w:rPr>
          <w:noProof/>
          <w:color w:val="000000"/>
          <w:szCs w:val="24"/>
          <w:u w:color="000000"/>
          <w:bdr w:val="nil"/>
        </w:rPr>
        <w:t xml:space="preserve">Faciliteten för återhämtning och resiliens ska förankras ordentligt i den europeiska planeringsterminen. </w:t>
      </w:r>
      <w:r>
        <w:rPr>
          <w:noProof/>
        </w:rPr>
        <w:t>Medlemsstaterna förväntas upprätta återhämtnings- och resilie</w:t>
      </w:r>
      <w:r>
        <w:rPr>
          <w:noProof/>
        </w:rPr>
        <w:t>nsplaner som en del av sina nationella reformprogram. I planerna ska de ange prioriteringar för investeringar och reformer och de investeringspaket som ska finansieras med hjälp av faciliteten. Stödet ges i delbetalningar beroende på gjorda framsteg och fö</w:t>
      </w:r>
      <w:r>
        <w:rPr>
          <w:noProof/>
        </w:rPr>
        <w:t xml:space="preserve">rutbestämda riktmärken. </w:t>
      </w:r>
    </w:p>
    <w:p w:rsidR="00B32DA9" w:rsidRDefault="008D43B3">
      <w:pPr>
        <w:pStyle w:val="ListParagraph"/>
        <w:keepNext/>
        <w:numPr>
          <w:ilvl w:val="0"/>
          <w:numId w:val="31"/>
        </w:numPr>
        <w:pBdr>
          <w:top w:val="nil"/>
          <w:left w:val="nil"/>
          <w:bottom w:val="nil"/>
          <w:right w:val="nil"/>
          <w:between w:val="nil"/>
          <w:bar w:val="nil"/>
        </w:pBdr>
        <w:spacing w:before="120" w:after="120"/>
        <w:ind w:hanging="357"/>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React-EU - ökat sammanhållningsstöd till medlemsstaterna</w:t>
      </w:r>
    </w:p>
    <w:p w:rsidR="00B32DA9" w:rsidRDefault="008D43B3">
      <w:pPr>
        <w:spacing w:before="120" w:after="120"/>
        <w:rPr>
          <w:noProof/>
        </w:rPr>
      </w:pPr>
      <w:r>
        <w:rPr>
          <w:noProof/>
          <w:color w:val="000000"/>
          <w:szCs w:val="24"/>
        </w:rPr>
        <w:t xml:space="preserve">Kommissionen föreslår det nya </w:t>
      </w:r>
      <w:r>
        <w:rPr>
          <w:b/>
          <w:noProof/>
          <w:color w:val="000000"/>
          <w:szCs w:val="24"/>
        </w:rPr>
        <w:t>initiativet React-EU</w:t>
      </w:r>
      <w:r>
        <w:rPr>
          <w:noProof/>
          <w:color w:val="000000"/>
          <w:szCs w:val="24"/>
        </w:rPr>
        <w:t xml:space="preserve"> för att öka sammanhållningsstödet till medlemsstaterna och göra deras ekonomier mer resilienta och hållbara när skadorna ef</w:t>
      </w:r>
      <w:r>
        <w:rPr>
          <w:noProof/>
          <w:color w:val="000000"/>
          <w:szCs w:val="24"/>
        </w:rPr>
        <w:t>ter krisen ska repareras.</w:t>
      </w:r>
      <w:r>
        <w:rPr>
          <w:noProof/>
          <w:color w:val="000000"/>
          <w:szCs w:val="24"/>
          <w:bdr w:val="none" w:sz="0" w:space="0" w:color="auto" w:frame="1"/>
        </w:rPr>
        <w:t xml:space="preserve"> Detta ska bidra till att överbrygga skarven mellan de omedelbara nödåtgärderna och den långsiktiga återhämtningen.</w:t>
      </w:r>
      <w:r>
        <w:rPr>
          <w:noProof/>
        </w:rPr>
        <w:t xml:space="preserve"> </w:t>
      </w:r>
    </w:p>
    <w:p w:rsidR="00B32DA9" w:rsidRDefault="008D43B3">
      <w:pPr>
        <w:spacing w:before="120" w:after="120"/>
        <w:rPr>
          <w:rFonts w:eastAsia="Arial Unicode MS" w:cs="Arial Unicode MS"/>
          <w:noProof/>
          <w:color w:val="000000"/>
          <w:szCs w:val="24"/>
          <w:u w:color="000000"/>
          <w:bdr w:val="nil"/>
        </w:rPr>
      </w:pPr>
      <w:r>
        <w:rPr>
          <w:noProof/>
        </w:rPr>
        <w:t>Genom React-EU vill kommissionen anslå 55 miljarder euro i ytterligare sammanhållningspolitiska medel till och med</w:t>
      </w:r>
      <w:r>
        <w:rPr>
          <w:noProof/>
        </w:rPr>
        <w:t xml:space="preserve"> 2022, 50 miljarder euro från NextGenerationEU under 2021 och 2022 samt 5 miljarder euro redan 2020 genom ändringar av den nuvarande budgetramen. Detta ska bygga på de gällande sammanhållningsreglerna, bl.a. den exceptionella flexibilitet som infördes geno</w:t>
      </w:r>
      <w:r>
        <w:rPr>
          <w:noProof/>
        </w:rPr>
        <w:t>m investeringsinitiativen mot coronaeffekter. Enligt dessa förslag kommer ytterligare finansiering att tillhandahållas under 2020–2022 för de nuvarande sammanhållningsprogrammen och Fonden för europeiskt bistånd till dem som har det sämst ställt, vilket gö</w:t>
      </w:r>
      <w:r>
        <w:rPr>
          <w:noProof/>
        </w:rPr>
        <w:t>r det möjligt att utan avbrott finansiera centrala krisreparationsåtgärder och stöd till dem som har det sämst ställt.</w:t>
      </w:r>
      <w:r>
        <w:rPr>
          <w:noProof/>
          <w:color w:val="000000"/>
          <w:szCs w:val="24"/>
          <w:u w:color="000000"/>
          <w:bdr w:val="nil"/>
        </w:rPr>
        <w:t xml:space="preserve"> </w:t>
      </w:r>
    </w:p>
    <w:p w:rsidR="00B32DA9" w:rsidRDefault="008D43B3">
      <w:pPr>
        <w:spacing w:before="120" w:after="120"/>
        <w:rPr>
          <w:rFonts w:eastAsia="Arial Unicode MS" w:cs="Arial Unicode MS"/>
          <w:noProof/>
          <w:color w:val="000000"/>
          <w:szCs w:val="24"/>
          <w:u w:color="000000"/>
          <w:bdr w:val="nil"/>
        </w:rPr>
      </w:pPr>
      <w:r>
        <w:rPr>
          <w:noProof/>
        </w:rPr>
        <w:lastRenderedPageBreak/>
        <w:t xml:space="preserve">De ytterligare medlen ska allokeras på grundval av hur allvarliga krisens ekonomiska och sociala konsekvenser är, bland annat med </w:t>
      </w:r>
      <w:r>
        <w:rPr>
          <w:noProof/>
        </w:rPr>
        <w:t>avseende på ungdomsarbetslöshet och medlemsstaternas relativa välstånd.</w:t>
      </w:r>
      <w:r>
        <w:rPr>
          <w:noProof/>
          <w:color w:val="000000"/>
          <w:szCs w:val="24"/>
          <w:u w:color="000000"/>
          <w:bdr w:val="nil"/>
        </w:rPr>
        <w:t xml:space="preserve"> </w:t>
      </w:r>
      <w:r>
        <w:rPr>
          <w:noProof/>
          <w:color w:val="000000"/>
          <w:szCs w:val="24"/>
          <w:bdr w:val="none" w:sz="0" w:space="0" w:color="auto" w:frame="1"/>
        </w:rPr>
        <w:t>De ytterligare åtagandena ska genomföras genom programändringar eller genom nya särskilda program som läggs fram av medlemsstaterna och antas av kommissionen. Kommissionen kommer att s</w:t>
      </w:r>
      <w:r>
        <w:rPr>
          <w:noProof/>
          <w:color w:val="000000"/>
          <w:szCs w:val="24"/>
          <w:bdr w:val="none" w:sz="0" w:space="0" w:color="auto" w:frame="1"/>
        </w:rPr>
        <w:t>amarbeta nära med medlemsstaterna för att hantera processen så snabbt och effektivt som möjligt.</w:t>
      </w:r>
    </w:p>
    <w:p w:rsidR="00B32DA9" w:rsidRDefault="008D43B3">
      <w:pPr>
        <w:spacing w:before="120" w:after="120"/>
        <w:rPr>
          <w:rFonts w:eastAsia="DengXian"/>
          <w:noProof/>
          <w:szCs w:val="24"/>
        </w:rPr>
      </w:pPr>
      <w:r>
        <w:rPr>
          <w:noProof/>
        </w:rPr>
        <w:t>Finansieringen ska stödja centrala krisreparationsåtgärder inom de viktigaste sektorerna för en grön, digital och resilient återhämtning. Här ingår investering</w:t>
      </w:r>
      <w:r>
        <w:rPr>
          <w:noProof/>
        </w:rPr>
        <w:t>ar i reparation av arbetsmarknader, bl.a. genom anställningsstöd, system för korttidsarbete och sysselsättningsåtgärder för unga, stöd till hälso- och sjukvårdssystemen och tillhandahållande av rörelsekapital för små och medelstora företag. Stöd ska ges ti</w:t>
      </w:r>
      <w:r>
        <w:rPr>
          <w:noProof/>
        </w:rPr>
        <w:t>ll flera branscher, däribland turism och kultur, och till nödvändiga investeringar i den gröna och digitala omställningen genom ökningar av de investeringar som redan planerats i nästa omgång sammanhållningsprogram. En del av detta tillskott kan också anvä</w:t>
      </w:r>
      <w:r>
        <w:rPr>
          <w:noProof/>
        </w:rPr>
        <w:t>ndas för att hjälpa människor som drabbats av livsmedelsfattigdom och materiell fattigdom.</w:t>
      </w:r>
    </w:p>
    <w:p w:rsidR="00B32DA9" w:rsidRDefault="008D43B3">
      <w:pPr>
        <w:pStyle w:val="ListParagraph"/>
        <w:keepNext/>
        <w:numPr>
          <w:ilvl w:val="0"/>
          <w:numId w:val="31"/>
        </w:numPr>
        <w:spacing w:before="120" w:after="120"/>
        <w:ind w:hanging="357"/>
        <w:contextualSpacing w:val="0"/>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Sammanhållningspolitik för ekonomisk återhämtning för alla</w:t>
      </w:r>
    </w:p>
    <w:p w:rsidR="00B32DA9" w:rsidRDefault="008D43B3">
      <w:pPr>
        <w:spacing w:before="120" w:after="120"/>
        <w:rPr>
          <w:rFonts w:eastAsia="Arial Unicode MS"/>
          <w:noProof/>
          <w:color w:val="000000"/>
          <w:szCs w:val="24"/>
          <w:bdr w:val="none" w:sz="0" w:space="0" w:color="auto" w:frame="1"/>
        </w:rPr>
      </w:pPr>
      <w:r>
        <w:rPr>
          <w:noProof/>
          <w:color w:val="000000"/>
          <w:szCs w:val="24"/>
        </w:rPr>
        <w:t xml:space="preserve">Förutom den omedelbara krishanteringen blir </w:t>
      </w:r>
      <w:r>
        <w:rPr>
          <w:b/>
          <w:noProof/>
          <w:color w:val="000000"/>
          <w:szCs w:val="24"/>
        </w:rPr>
        <w:t>sammanhållningspolitiken</w:t>
      </w:r>
      <w:r>
        <w:rPr>
          <w:noProof/>
          <w:color w:val="000000"/>
          <w:szCs w:val="24"/>
        </w:rPr>
        <w:t xml:space="preserve"> avgörande för en balanserad återhämtn</w:t>
      </w:r>
      <w:r>
        <w:rPr>
          <w:noProof/>
          <w:color w:val="000000"/>
          <w:szCs w:val="24"/>
        </w:rPr>
        <w:t>ing på längre sikt, samtidigt som asymmetri och skillnader i tillväxt mellan och inom medlemsstaterna undviks.</w:t>
      </w:r>
      <w:r>
        <w:rPr>
          <w:noProof/>
          <w:color w:val="000000"/>
          <w:szCs w:val="24"/>
          <w:bdr w:val="none" w:sz="0" w:space="0" w:color="auto" w:frame="1"/>
        </w:rPr>
        <w:t xml:space="preserve"> </w:t>
      </w:r>
    </w:p>
    <w:p w:rsidR="00B32DA9" w:rsidRDefault="008D43B3">
      <w:pPr>
        <w:spacing w:before="120" w:after="120"/>
        <w:rPr>
          <w:rFonts w:eastAsia="Arial Unicode MS" w:cs="Arial Unicode MS"/>
          <w:noProof/>
          <w:color w:val="000000"/>
          <w:szCs w:val="24"/>
          <w:u w:color="000000"/>
          <w:bdr w:val="nil"/>
        </w:rPr>
      </w:pPr>
      <w:r>
        <w:rPr>
          <w:noProof/>
          <w:color w:val="000000"/>
          <w:szCs w:val="24"/>
          <w:u w:color="000000"/>
          <w:bdr w:val="nil"/>
        </w:rPr>
        <w:t>Det är därför av avgörande betydelse för unionens strategiska prioriteringar att de nya sammanhållningspolitiska programmen inleds den 1 januari</w:t>
      </w:r>
      <w:r>
        <w:rPr>
          <w:noProof/>
          <w:color w:val="000000"/>
          <w:szCs w:val="24"/>
          <w:u w:color="000000"/>
          <w:bdr w:val="nil"/>
        </w:rPr>
        <w:t xml:space="preserve"> 2021, samtidigt som extra anslag görs tillgängliga för de nuvarande programmen fram till slutet av 2022. De här förslagen har utformats för att ge maximalt stöd till dagens prioriteringar. </w:t>
      </w:r>
    </w:p>
    <w:p w:rsidR="00B32DA9" w:rsidRDefault="008D43B3">
      <w:pPr>
        <w:spacing w:before="120" w:after="120"/>
        <w:rPr>
          <w:rFonts w:eastAsia="Arial Unicode MS"/>
          <w:noProof/>
          <w:color w:val="000000"/>
          <w:szCs w:val="24"/>
          <w:u w:color="000000"/>
          <w:bdr w:val="nil"/>
        </w:rPr>
      </w:pPr>
      <w:r>
        <w:rPr>
          <w:noProof/>
        </w:rPr>
        <w:t xml:space="preserve">Kommissionen håller nu på att anpassa sina förslag till nästa </w:t>
      </w:r>
      <w:r>
        <w:rPr>
          <w:noProof/>
        </w:rPr>
        <w:t>omgång sammanhållningspolitiska program för att ge ännu större stöd till investeringar i återhämtningen, t.ex. för att öka de nationella hälso- och sjukvårdssystemens resiliens, för branscher som turism och kultur, för stöd till små och medelstora företag,</w:t>
      </w:r>
      <w:r>
        <w:rPr>
          <w:noProof/>
        </w:rPr>
        <w:t xml:space="preserve"> för åtgärder för ungdomssysselsättning, utbildning och kompetens samt för åtgärder mot barnfattigdom.</w:t>
      </w:r>
    </w:p>
    <w:p w:rsidR="00B32DA9" w:rsidRDefault="008D43B3">
      <w:pPr>
        <w:spacing w:before="120" w:after="120"/>
        <w:rPr>
          <w:rFonts w:eastAsia="Arial Unicode MS" w:cs="Arial Unicode MS"/>
          <w:noProof/>
          <w:color w:val="000000"/>
          <w:szCs w:val="24"/>
          <w:u w:color="000000"/>
          <w:bdr w:val="nil"/>
        </w:rPr>
      </w:pPr>
      <w:r>
        <w:rPr>
          <w:noProof/>
        </w:rPr>
        <w:t>Unga människor kommer sannolikt att drabbas särskilt hårt av krisen, varför medlemsstater med ungdomsarbetslöshet över EU-genomsnittet bör sätta av minst</w:t>
      </w:r>
      <w:r>
        <w:rPr>
          <w:noProof/>
        </w:rPr>
        <w:t xml:space="preserve"> 15 % av sina medel från Europeiska socialfonden+ med delad förvaltning för att stödja unga. </w:t>
      </w:r>
      <w:r>
        <w:rPr>
          <w:noProof/>
          <w:color w:val="000000"/>
          <w:szCs w:val="24"/>
          <w:u w:color="000000"/>
          <w:bdr w:val="nil"/>
        </w:rPr>
        <w:t>Med tanke på krisens sannolika konsekvenser för de mest utsatta i samhället föreslår kommissionen också att minst 5 % av de totala medlen i Europeiska socialfonden</w:t>
      </w:r>
      <w:r>
        <w:rPr>
          <w:noProof/>
          <w:color w:val="000000"/>
          <w:szCs w:val="24"/>
          <w:u w:color="000000"/>
          <w:bdr w:val="nil"/>
        </w:rPr>
        <w:t>+ bör användas för att hjälpa barn att ta sig ur fattigdom.</w:t>
      </w:r>
    </w:p>
    <w:p w:rsidR="00B32DA9" w:rsidRDefault="008D43B3">
      <w:pPr>
        <w:spacing w:before="120" w:after="120"/>
        <w:rPr>
          <w:rFonts w:eastAsia="Arial Unicode MS" w:cs="Arial Unicode MS"/>
          <w:noProof/>
          <w:color w:val="000000"/>
          <w:szCs w:val="24"/>
          <w:u w:color="000000"/>
          <w:bdr w:val="nil"/>
        </w:rPr>
      </w:pPr>
      <w:r>
        <w:rPr>
          <w:noProof/>
          <w:color w:val="000000"/>
          <w:szCs w:val="24"/>
          <w:u w:color="000000"/>
          <w:bdr w:val="nil"/>
        </w:rPr>
        <w:t>Tekniskt stöd kommer att ges för att hjälpa medlemsstaterna att maximera de kombinerade fördelarna med de nya sammanhållningspolitiska programmen och de nuvarande programmen inom React-EU.</w:t>
      </w:r>
    </w:p>
    <w:p w:rsidR="00B32DA9" w:rsidRDefault="008D43B3">
      <w:pPr>
        <w:spacing w:before="120" w:after="120"/>
        <w:rPr>
          <w:noProof/>
        </w:rPr>
      </w:pPr>
      <w:r>
        <w:rPr>
          <w:noProof/>
          <w:color w:val="000000"/>
          <w:szCs w:val="24"/>
          <w:u w:color="000000"/>
          <w:bdr w:val="nil"/>
        </w:rPr>
        <w:t>De revi</w:t>
      </w:r>
      <w:r>
        <w:rPr>
          <w:noProof/>
          <w:color w:val="000000"/>
          <w:szCs w:val="24"/>
          <w:u w:color="000000"/>
          <w:bdr w:val="nil"/>
        </w:rPr>
        <w:t xml:space="preserve">derade förslagen ger också större flexibilitet vid överföringar mellan fonder och innehåller nya bestämmelser som träder in i nödsituationer. </w:t>
      </w:r>
      <w:r>
        <w:rPr>
          <w:noProof/>
        </w:rPr>
        <w:t>För att de medlemsstater och regioner som har störst behov ska få tillräckligt stöd ska enligt kommissionens revid</w:t>
      </w:r>
      <w:r>
        <w:rPr>
          <w:noProof/>
        </w:rPr>
        <w:t>erade förslag också de nationella sammanhållningsanslagen ses över 2024 med beaktande av den senaste tillgängliga statistiken. Den här översynen kan endast leda till justeringar uppåt av upp till 10 miljarder euro för alla medlemsstater.</w:t>
      </w:r>
    </w:p>
    <w:p w:rsidR="00B32DA9" w:rsidRDefault="008D43B3">
      <w:pPr>
        <w:pStyle w:val="ListParagraph"/>
        <w:keepNext/>
        <w:numPr>
          <w:ilvl w:val="0"/>
          <w:numId w:val="31"/>
        </w:numPr>
        <w:spacing w:before="120" w:after="120"/>
        <w:ind w:hanging="357"/>
        <w:contextualSpacing w:val="0"/>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lastRenderedPageBreak/>
        <w:t xml:space="preserve">Stödja en rättvis </w:t>
      </w:r>
      <w:r>
        <w:rPr>
          <w:rFonts w:ascii="Times New Roman" w:hAnsi="Times New Roman"/>
          <w:b/>
          <w:i/>
          <w:noProof/>
          <w:color w:val="000000"/>
          <w:sz w:val="24"/>
          <w:szCs w:val="24"/>
          <w:u w:color="000000"/>
          <w:bdr w:val="nil"/>
        </w:rPr>
        <w:t>omställning.</w:t>
      </w:r>
    </w:p>
    <w:p w:rsidR="00B32DA9" w:rsidRDefault="008D43B3">
      <w:pPr>
        <w:spacing w:before="100" w:beforeAutospacing="1" w:after="100" w:afterAutospacing="1"/>
        <w:rPr>
          <w:noProof/>
          <w:color w:val="000000"/>
          <w:szCs w:val="24"/>
        </w:rPr>
      </w:pPr>
      <w:r>
        <w:rPr>
          <w:noProof/>
          <w:color w:val="000000"/>
          <w:szCs w:val="24"/>
        </w:rPr>
        <w:t>EU:s återhämtning och framtida välstånd beror på vilka åtgärder som vi vidtar nu för att förbereda omställningen till en klimatneutral, resurseffektiv och cirkulär ekonomi. Dessa förändringar kommer att påverka alla i EU, men anpassningen komm</w:t>
      </w:r>
      <w:r>
        <w:rPr>
          <w:noProof/>
          <w:color w:val="000000"/>
          <w:szCs w:val="24"/>
        </w:rPr>
        <w:t>er att bli mer betungande för vissa sektorer och regioner än andra. Som en del av återhämtningspaketet föreslår kommissionen att NextGenerationEU sätts in för att ge ekonomiskt stöd till omställningen av den europeiska ekonomin, så att ingen hamnar utanför</w:t>
      </w:r>
      <w:r>
        <w:rPr>
          <w:noProof/>
          <w:color w:val="000000"/>
          <w:szCs w:val="24"/>
        </w:rPr>
        <w:t xml:space="preserve">. </w:t>
      </w:r>
    </w:p>
    <w:p w:rsidR="00B32DA9" w:rsidRDefault="008D43B3">
      <w:pPr>
        <w:spacing w:before="100" w:beforeAutospacing="1" w:after="100" w:afterAutospacing="1"/>
        <w:rPr>
          <w:noProof/>
          <w:color w:val="000000"/>
          <w:szCs w:val="24"/>
        </w:rPr>
      </w:pPr>
      <w:r>
        <w:rPr>
          <w:noProof/>
          <w:color w:val="000000"/>
          <w:szCs w:val="24"/>
        </w:rPr>
        <w:t xml:space="preserve">Kommissionen föreslår särskilt ett väsentligt tillskott på 30 miljarder euro till </w:t>
      </w:r>
      <w:r>
        <w:rPr>
          <w:b/>
          <w:noProof/>
          <w:color w:val="000000"/>
          <w:szCs w:val="24"/>
        </w:rPr>
        <w:t>Fonden för en rättvis omställning</w:t>
      </w:r>
      <w:r>
        <w:rPr>
          <w:noProof/>
          <w:color w:val="000000"/>
          <w:szCs w:val="24"/>
        </w:rPr>
        <w:t xml:space="preserve">, så att det totala beloppet blir 40 miljarder euro. Anslagen ska användas för att lindra klimatomställningens socioekonomiska effekter i </w:t>
      </w:r>
      <w:r>
        <w:rPr>
          <w:noProof/>
          <w:color w:val="000000"/>
          <w:szCs w:val="24"/>
        </w:rPr>
        <w:t>de regioner som påverkas mest, t.ex. genom stöd till omskolning av arbetstagare, hjälp till små och medelstora företag att skapa nya ekonomiska möjligheter samt investeringar i omställningen till ren energi och cirkulär ekonomi.</w:t>
      </w:r>
      <w:r>
        <w:rPr>
          <w:noProof/>
          <w:color w:val="000000"/>
          <w:szCs w:val="24"/>
          <w:u w:color="000000"/>
          <w:bdr w:val="nil"/>
        </w:rPr>
        <w:t xml:space="preserve"> Ökade medel till InvestEU i</w:t>
      </w:r>
      <w:r>
        <w:rPr>
          <w:noProof/>
          <w:color w:val="000000"/>
          <w:szCs w:val="24"/>
          <w:u w:color="000000"/>
          <w:bdr w:val="nil"/>
        </w:rPr>
        <w:t>nnebär också att den andra pelaren i mekanismen för en rättvis omställning förstärks. Kommissionen lägger också fram förslag om en ny lånefacilitet för den offentliga sektorn som utgör den tredje pelaren i mekanismen för en rättvis omställning. Detta ska f</w:t>
      </w:r>
      <w:r>
        <w:rPr>
          <w:noProof/>
          <w:color w:val="000000"/>
          <w:szCs w:val="24"/>
          <w:u w:color="000000"/>
          <w:bdr w:val="nil"/>
        </w:rPr>
        <w:t>å stöd på 1,5 miljarder euro från EU-budgeten</w:t>
      </w:r>
      <w:r>
        <w:rPr>
          <w:rStyle w:val="FootnoteReference"/>
          <w:noProof/>
          <w:szCs w:val="24"/>
        </w:rPr>
        <w:footnoteReference w:id="8"/>
      </w:r>
      <w:r>
        <w:rPr>
          <w:noProof/>
          <w:color w:val="000000"/>
          <w:szCs w:val="24"/>
          <w:u w:color="000000"/>
          <w:bdr w:val="nil"/>
        </w:rPr>
        <w:t xml:space="preserve"> och 10 miljarder euro i lån från Europeiska investeringsbanken. Sammantaget förväntas de tre pelarna i mekanismen för en rättvis omställning mobilisera upp till 150 miljarder euro i investeringar så att ingen </w:t>
      </w:r>
      <w:r>
        <w:rPr>
          <w:noProof/>
          <w:color w:val="000000"/>
          <w:szCs w:val="24"/>
          <w:u w:color="000000"/>
          <w:bdr w:val="nil"/>
        </w:rPr>
        <w:t>hamnar utanför under den gröna omställningen.</w:t>
      </w:r>
    </w:p>
    <w:p w:rsidR="00B32DA9" w:rsidRDefault="008D43B3">
      <w:pPr>
        <w:spacing w:before="100" w:beforeAutospacing="1" w:after="100" w:afterAutospacing="1"/>
        <w:rPr>
          <w:noProof/>
          <w:color w:val="000000"/>
        </w:rPr>
      </w:pPr>
      <w:r>
        <w:rPr>
          <w:noProof/>
          <w:color w:val="000000"/>
          <w:szCs w:val="24"/>
        </w:rPr>
        <w:t xml:space="preserve">Landsbygden har en avgörande roll i den gröna omställningen och för EU:s ambitiösa klimat- och miljömål. Kommissionen föreslår ett tillskott till budgeten för </w:t>
      </w:r>
      <w:r>
        <w:rPr>
          <w:b/>
          <w:bCs/>
          <w:noProof/>
          <w:color w:val="000000"/>
          <w:szCs w:val="24"/>
        </w:rPr>
        <w:t>Europeiska jordbruksfonden för landsbygdsutveckling</w:t>
      </w:r>
      <w:r>
        <w:rPr>
          <w:noProof/>
          <w:color w:val="000000"/>
          <w:szCs w:val="24"/>
        </w:rPr>
        <w:t xml:space="preserve"> med 15 miljarder euro för att stödja jordbrukarna och landsbygdsområdena i de strukturomvandlingar som krävs för den europeiska gröna given, i synnerhet stöd till uppfyllelsen av de ambitiösa målen i den nya strategin för biologisk mångfald och strategin </w:t>
      </w:r>
      <w:r>
        <w:rPr>
          <w:noProof/>
          <w:color w:val="000000"/>
          <w:szCs w:val="24"/>
        </w:rPr>
        <w:t xml:space="preserve">från jord till bord. </w:t>
      </w:r>
      <w:r>
        <w:rPr>
          <w:noProof/>
          <w:color w:val="000000"/>
        </w:rPr>
        <w:t xml:space="preserve"> </w:t>
      </w:r>
    </w:p>
    <w:p w:rsidR="00B32DA9" w:rsidRDefault="008D43B3">
      <w:pPr>
        <w:pStyle w:val="ListParagraph"/>
        <w:keepNext/>
        <w:numPr>
          <w:ilvl w:val="0"/>
          <w:numId w:val="40"/>
        </w:numPr>
        <w:spacing w:before="120" w:after="120"/>
        <w:ind w:left="363" w:hanging="357"/>
        <w:rPr>
          <w:rFonts w:ascii="Times New Roman" w:eastAsia="Arial Unicode MS" w:hAnsi="Times New Roman" w:cs="Times New Roman"/>
          <w:b/>
          <w:noProof/>
          <w:color w:val="000000"/>
          <w:sz w:val="24"/>
          <w:szCs w:val="24"/>
          <w:u w:val="single" w:color="000000"/>
          <w:bdr w:val="nil"/>
        </w:rPr>
      </w:pPr>
      <w:r>
        <w:rPr>
          <w:rFonts w:ascii="Times New Roman" w:hAnsi="Times New Roman"/>
          <w:b/>
          <w:noProof/>
          <w:color w:val="000000"/>
          <w:sz w:val="24"/>
          <w:szCs w:val="24"/>
          <w:u w:val="single" w:color="000000"/>
          <w:bdr w:val="nil"/>
        </w:rPr>
        <w:t>Rivstart för ekonomin och de privata investeringarna</w:t>
      </w:r>
    </w:p>
    <w:p w:rsidR="00B32DA9" w:rsidRDefault="008D43B3">
      <w:pPr>
        <w:pBdr>
          <w:top w:val="single" w:sz="18" w:space="1" w:color="FEC00F" w:themeColor="accent2"/>
          <w:left w:val="single" w:sz="18" w:space="4" w:color="FEC00F" w:themeColor="accent2"/>
          <w:bottom w:val="single" w:sz="18" w:space="1" w:color="FEC00F" w:themeColor="accent2"/>
          <w:right w:val="single" w:sz="18" w:space="4" w:color="FEC00F" w:themeColor="accent2"/>
        </w:pBdr>
        <w:spacing w:before="120" w:after="120"/>
        <w:rPr>
          <w:rFonts w:eastAsia="Arial Unicode MS" w:cs="Arial Unicode MS"/>
          <w:b/>
          <w:i/>
          <w:noProof/>
          <w:color w:val="000000"/>
          <w:szCs w:val="24"/>
          <w:u w:val="single" w:color="000000"/>
          <w:bdr w:val="nil"/>
        </w:rPr>
      </w:pPr>
      <w:r>
        <w:rPr>
          <w:i/>
          <w:noProof/>
          <w:color w:val="000000"/>
          <w:szCs w:val="24"/>
          <w:u w:color="000000"/>
          <w:bdr w:val="nil"/>
          <w:lang w:val="fr-BE" w:eastAsia="fr-BE"/>
        </w:rPr>
        <w:drawing>
          <wp:anchor distT="0" distB="0" distL="114300" distR="114300" simplePos="0" relativeHeight="251656704" behindDoc="0" locked="0" layoutInCell="1" allowOverlap="1">
            <wp:simplePos x="0" y="0"/>
            <wp:positionH relativeFrom="column">
              <wp:posOffset>5113557</wp:posOffset>
            </wp:positionH>
            <wp:positionV relativeFrom="paragraph">
              <wp:posOffset>166468</wp:posOffset>
            </wp:positionV>
            <wp:extent cx="723600" cy="723600"/>
            <wp:effectExtent l="0" t="0" r="635" b="0"/>
            <wp:wrapSquare wrapText="bothSides"/>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3600" cy="723600"/>
                    </a:xfrm>
                    <a:prstGeom prst="rect">
                      <a:avLst/>
                    </a:prstGeom>
                  </pic:spPr>
                </pic:pic>
              </a:graphicData>
            </a:graphic>
            <wp14:sizeRelH relativeFrom="page">
              <wp14:pctWidth>0</wp14:pctWidth>
            </wp14:sizeRelH>
            <wp14:sizeRelV relativeFrom="page">
              <wp14:pctHeight>0</wp14:pctHeight>
            </wp14:sizeRelV>
          </wp:anchor>
        </w:drawing>
      </w:r>
      <w:r>
        <w:rPr>
          <w:i/>
          <w:noProof/>
          <w:color w:val="000000"/>
          <w:szCs w:val="24"/>
          <w:u w:color="000000"/>
          <w:bdr w:val="nil"/>
        </w:rPr>
        <w:t>Det krävs brådskande åtgärder för att ge ekonomin en rivstart och skapa förutsättningarna för en återhämtning som bygger på privata investeringar i viktiga sektorer och viktig tek</w:t>
      </w:r>
      <w:r>
        <w:rPr>
          <w:i/>
          <w:noProof/>
          <w:color w:val="000000"/>
          <w:szCs w:val="24"/>
          <w:u w:color="000000"/>
          <w:bdr w:val="nil"/>
        </w:rPr>
        <w:t xml:space="preserve">nik. Kommissionen föreslår därför ett </w:t>
      </w:r>
      <w:r>
        <w:rPr>
          <w:b/>
          <w:i/>
          <w:noProof/>
          <w:color w:val="000000"/>
          <w:szCs w:val="24"/>
          <w:u w:color="000000"/>
          <w:bdr w:val="nil"/>
        </w:rPr>
        <w:t>tillskott till InvestEU</w:t>
      </w:r>
      <w:r>
        <w:rPr>
          <w:i/>
          <w:noProof/>
          <w:color w:val="000000"/>
          <w:szCs w:val="24"/>
          <w:u w:color="000000"/>
          <w:bdr w:val="nil"/>
        </w:rPr>
        <w:t xml:space="preserve">, EU:s stora investeringsprogram, för att mobilisera privata investeringar i strategiska projekt i hela unionen. Som ett led i detta vill kommissionen inrätta en </w:t>
      </w:r>
      <w:r>
        <w:rPr>
          <w:b/>
          <w:i/>
          <w:noProof/>
          <w:color w:val="000000"/>
          <w:szCs w:val="24"/>
          <w:u w:color="000000"/>
          <w:bdr w:val="nil"/>
        </w:rPr>
        <w:t>ny facilitet för strategiska inve</w:t>
      </w:r>
      <w:r>
        <w:rPr>
          <w:b/>
          <w:i/>
          <w:noProof/>
          <w:color w:val="000000"/>
          <w:szCs w:val="24"/>
          <w:u w:color="000000"/>
          <w:bdr w:val="nil"/>
        </w:rPr>
        <w:t>steringar</w:t>
      </w:r>
      <w:r>
        <w:rPr>
          <w:i/>
          <w:noProof/>
          <w:color w:val="000000"/>
          <w:szCs w:val="24"/>
          <w:u w:color="000000"/>
          <w:bdr w:val="nil"/>
        </w:rPr>
        <w:t xml:space="preserve"> för att investera i centrala värdekedjor som är avgörande för EU:s framtida resiliens och strategiska självständighet. Livskraftiga företag att investera i är en förutsättning för att denna investeringssatsning ska lyckas, men hundratusentals för</w:t>
      </w:r>
      <w:r>
        <w:rPr>
          <w:i/>
          <w:noProof/>
          <w:color w:val="000000"/>
          <w:szCs w:val="24"/>
          <w:u w:color="000000"/>
          <w:bdr w:val="nil"/>
        </w:rPr>
        <w:t xml:space="preserve">etag kommer sannolikt att ställas under ett hårt finansieringstryck mot årsslutet. Kommissionen föreslår därför ett nytt </w:t>
      </w:r>
      <w:r>
        <w:rPr>
          <w:b/>
          <w:i/>
          <w:noProof/>
          <w:color w:val="000000"/>
          <w:szCs w:val="24"/>
          <w:u w:color="000000"/>
          <w:bdr w:val="nil"/>
        </w:rPr>
        <w:t>instrument för solvensstöd</w:t>
      </w:r>
      <w:r>
        <w:rPr>
          <w:i/>
          <w:noProof/>
          <w:color w:val="000000"/>
          <w:szCs w:val="24"/>
          <w:u w:color="000000"/>
          <w:bdr w:val="nil"/>
        </w:rPr>
        <w:t xml:space="preserve"> för att ge akut stöd till lönsamma företag som hotas av krisen och hjälpa dem att rida ut stormen. Detta instrument torde bli operativt redan i år. </w:t>
      </w:r>
    </w:p>
    <w:p w:rsidR="00B32DA9" w:rsidRDefault="008D43B3">
      <w:pPr>
        <w:pStyle w:val="ListParagraph"/>
        <w:keepNext/>
        <w:numPr>
          <w:ilvl w:val="0"/>
          <w:numId w:val="31"/>
        </w:numPr>
        <w:pBdr>
          <w:top w:val="nil"/>
          <w:left w:val="nil"/>
          <w:bottom w:val="nil"/>
          <w:right w:val="nil"/>
          <w:between w:val="nil"/>
          <w:bar w:val="nil"/>
        </w:pBdr>
        <w:spacing w:before="120" w:after="120"/>
        <w:ind w:hanging="357"/>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En livboj med likviditet och solvens för företag under press</w:t>
      </w:r>
    </w:p>
    <w:p w:rsidR="00B32DA9" w:rsidRDefault="008D43B3">
      <w:pPr>
        <w:pBdr>
          <w:top w:val="nil"/>
          <w:left w:val="nil"/>
          <w:bottom w:val="nil"/>
          <w:right w:val="nil"/>
          <w:between w:val="nil"/>
          <w:bar w:val="nil"/>
        </w:pBdr>
        <w:spacing w:before="120" w:after="120"/>
        <w:rPr>
          <w:rFonts w:eastAsia="DengXian"/>
          <w:noProof/>
        </w:rPr>
      </w:pPr>
      <w:r>
        <w:rPr>
          <w:noProof/>
        </w:rPr>
        <w:t xml:space="preserve">De europeiska ekonomiernas förmåga att hitta </w:t>
      </w:r>
      <w:r>
        <w:rPr>
          <w:noProof/>
        </w:rPr>
        <w:t>tillbaka till tillväxten är beroende av det privata näringslivets resiliens och anpassningsförmåga. Till följd av krisen har många egentligen lönsamma företag drabbats av allvarliga likviditets- och solvensproblem. Kommissionens beräkningar visar att i ett</w:t>
      </w:r>
      <w:r>
        <w:rPr>
          <w:noProof/>
        </w:rPr>
        <w:t xml:space="preserve"> negativt scenario kan 35–50 % av företag med över 20 anställda få brist på finansiering före årsslutet. Endast i år kan behovet av eget kapital uppgå till mellan 720 miljarder euro och 1,2 biljoner euro. Inför en kris av denna omfattning är det stöd som m</w:t>
      </w:r>
      <w:r>
        <w:rPr>
          <w:noProof/>
        </w:rPr>
        <w:t>edlemsstaterna för närvarande ger inte tillräckligt. Medlemsstaternas möjligheter att stödja sina företag skiljer sig dessutom kraftigt åt. Det finns därför ett akut behov av åtgärder för att hjälpa dessa företag att ta sig igenom krisen, undvika en ond ci</w:t>
      </w:r>
      <w:r>
        <w:rPr>
          <w:noProof/>
        </w:rPr>
        <w:t>rkel av ekonomisk skada och företagskonkurser och bana väg för en sund återhämtning på den inre marknaden.</w:t>
      </w:r>
    </w:p>
    <w:p w:rsidR="00B32DA9" w:rsidRDefault="008D43B3">
      <w:pPr>
        <w:spacing w:before="120" w:after="120"/>
        <w:rPr>
          <w:rFonts w:eastAsia="Arial Unicode MS"/>
          <w:noProof/>
          <w:color w:val="000000"/>
          <w:szCs w:val="24"/>
          <w:bdr w:val="none" w:sz="0" w:space="0" w:color="auto" w:frame="1"/>
        </w:rPr>
      </w:pPr>
      <w:r>
        <w:rPr>
          <w:noProof/>
          <w:color w:val="000000"/>
          <w:szCs w:val="24"/>
          <w:bdr w:val="none" w:sz="0" w:space="0" w:color="auto" w:frame="1"/>
        </w:rPr>
        <w:t xml:space="preserve">Kommissionen föreslår därför ett nytt </w:t>
      </w:r>
      <w:r>
        <w:rPr>
          <w:b/>
          <w:noProof/>
          <w:color w:val="000000"/>
          <w:szCs w:val="24"/>
          <w:bdr w:val="none" w:sz="0" w:space="0" w:color="auto" w:frame="1"/>
        </w:rPr>
        <w:t>instrument för solvensstöd</w:t>
      </w:r>
      <w:r>
        <w:rPr>
          <w:noProof/>
          <w:color w:val="000000"/>
          <w:szCs w:val="24"/>
          <w:bdr w:val="none" w:sz="0" w:space="0" w:color="auto" w:frame="1"/>
        </w:rPr>
        <w:t xml:space="preserve"> för att hjälpa till att mobilisera privata medel för akut stöd till egentligen lönsa</w:t>
      </w:r>
      <w:r>
        <w:rPr>
          <w:noProof/>
          <w:color w:val="000000"/>
          <w:szCs w:val="24"/>
          <w:bdr w:val="none" w:sz="0" w:space="0" w:color="auto" w:frame="1"/>
        </w:rPr>
        <w:t>mma företag i EU för att hantera omedelbara likviditets- och solvensproblem. Instrumentet ska vara tillfälligt och riktat och enbart syfta till att hantera pandemins ekonomiska konsekvenser. Det ska bidra till att undvika omfattande kapitalunderskott och k</w:t>
      </w:r>
      <w:r>
        <w:rPr>
          <w:noProof/>
          <w:color w:val="000000"/>
          <w:szCs w:val="24"/>
          <w:bdr w:val="none" w:sz="0" w:space="0" w:color="auto" w:frame="1"/>
        </w:rPr>
        <w:t xml:space="preserve">onkurser i egentligen lönsamma företag och den allvarliga ekonomiska skada som detta skulle orsaka. Dessa närtidsåtgärder ska kompletteras med mer långsiktigt stöd från program som InvestEU, sammanhållningspolitiken och programmet för den inre marknaden. </w:t>
      </w:r>
    </w:p>
    <w:p w:rsidR="00B32DA9" w:rsidRDefault="008D43B3">
      <w:pPr>
        <w:spacing w:before="100" w:beforeAutospacing="1" w:after="100" w:afterAutospacing="1"/>
        <w:rPr>
          <w:noProof/>
          <w:szCs w:val="24"/>
        </w:rPr>
      </w:pPr>
      <w:r>
        <w:rPr>
          <w:noProof/>
        </w:rPr>
        <w:t>Det nya tillfälliga instrumentet ska inrättas inom Europeiska fonden för strategiska investeringar (Efsi). Det ska mobilisera privata investeringar i företag i svårigheter genom att ställa partiella garantier mot förluster. Med avsättningar i EU:s budget p</w:t>
      </w:r>
      <w:r>
        <w:rPr>
          <w:noProof/>
        </w:rPr>
        <w:t xml:space="preserve">å 5 miljarder euro inom den nuvarande budgetramen under 2020 för en snabb start och ytterligare 26 miljarder euro från NextGenerationEU kommer EU-budgeten att ställa en garanti på upp till 75 miljarder euro till Europeiska investeringsbanksgruppen, vilket </w:t>
      </w:r>
      <w:r>
        <w:rPr>
          <w:noProof/>
        </w:rPr>
        <w:t>torde leda till snabba resultat ute på fältet. Instrumentet ska sträva efter en investeringsnivå på 300 miljarder euro i solvensstöd.</w:t>
      </w:r>
    </w:p>
    <w:p w:rsidR="00B32DA9" w:rsidRDefault="008D43B3">
      <w:pPr>
        <w:spacing w:before="100" w:beforeAutospacing="1" w:after="100" w:afterAutospacing="1"/>
        <w:rPr>
          <w:noProof/>
        </w:rPr>
      </w:pPr>
      <w:r>
        <w:rPr>
          <w:noProof/>
        </w:rPr>
        <w:t>Garantin ska utformas så att investeringarna styrs till de företag som är i störst behov av kapital i alla medlemsstater o</w:t>
      </w:r>
      <w:r>
        <w:rPr>
          <w:noProof/>
        </w:rPr>
        <w:t>ch branscher, särskilt i medlemsstater som har mindre förmåga att ingripa genom statligt stöd och i medlemsstater och branscher där pandemins ekonomiska konsekvenser har varit särskilt allvarliga. Detta är nödvändigt för att upprätthålla lika villkor på de</w:t>
      </w:r>
      <w:r>
        <w:rPr>
          <w:noProof/>
        </w:rPr>
        <w:t>n inre marknaden och för att undvika en ytterligare ökning av de skadliga ekonomiska skillnaderna inom EU. Kapitalsituationen för de institutioner som genomför instrumentet för solvensstöd bör övervägas noga.</w:t>
      </w:r>
    </w:p>
    <w:p w:rsidR="00B32DA9" w:rsidRDefault="008D43B3">
      <w:pPr>
        <w:spacing w:before="120" w:after="120"/>
        <w:rPr>
          <w:noProof/>
        </w:rPr>
      </w:pPr>
      <w:r>
        <w:rPr>
          <w:noProof/>
        </w:rPr>
        <w:t>Som en kompletterande åtgärd kommer dessutom Eu</w:t>
      </w:r>
      <w:r>
        <w:rPr>
          <w:noProof/>
        </w:rPr>
        <w:t xml:space="preserve">ropeiska investeringsfondens kapital att höjas för att ge stöd till ett stort antal små och medelstora företag, bl.a. genom instrumentet för solvensstöd. Detta skulle bidra till att skapa ett heltäckande paket för europeisk återhämtning, i kombination med </w:t>
      </w:r>
      <w:r>
        <w:rPr>
          <w:noProof/>
        </w:rPr>
        <w:t>de åtgärder som Europeiska rådet enades om i april. Detta kapitaltillskott på 1,5 miljarder euro ska finansieras både enligt den innevarande och nästa fleråriga budgetram.</w:t>
      </w:r>
    </w:p>
    <w:p w:rsidR="00B32DA9" w:rsidRDefault="008D43B3">
      <w:pPr>
        <w:pStyle w:val="ListParagraph"/>
        <w:keepNext/>
        <w:numPr>
          <w:ilvl w:val="0"/>
          <w:numId w:val="31"/>
        </w:numPr>
        <w:spacing w:before="120" w:after="120"/>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Stärkt investeringskapacitet och strategisk självständighet</w:t>
      </w:r>
    </w:p>
    <w:p w:rsidR="00B32DA9" w:rsidRDefault="008D43B3">
      <w:pPr>
        <w:spacing w:before="100" w:beforeAutospacing="1" w:after="100" w:afterAutospacing="1"/>
        <w:rPr>
          <w:noProof/>
        </w:rPr>
      </w:pPr>
      <w:r>
        <w:rPr>
          <w:noProof/>
          <w:color w:val="000000"/>
          <w:szCs w:val="24"/>
          <w:u w:color="000000"/>
          <w:bdr w:val="nil"/>
        </w:rPr>
        <w:t>De privata investeringar</w:t>
      </w:r>
      <w:r>
        <w:rPr>
          <w:noProof/>
          <w:color w:val="000000"/>
          <w:szCs w:val="24"/>
          <w:u w:color="000000"/>
          <w:bdr w:val="nil"/>
        </w:rPr>
        <w:t>na drabbas hårt av krisen: enligt kommissionens analys kan den privata sektorns investeringar minska med över 1 biljon euro under 2020 och 2021. För att tillgodose den europeiska ekonomins investeringsbehov krävs brådskande åtgärder för att vända denna ten</w:t>
      </w:r>
      <w:r>
        <w:rPr>
          <w:noProof/>
          <w:color w:val="000000"/>
          <w:szCs w:val="24"/>
          <w:u w:color="000000"/>
          <w:bdr w:val="nil"/>
        </w:rPr>
        <w:t xml:space="preserve">dens och skapa förutsättningar för en investeringsledd återhämtning. </w:t>
      </w:r>
      <w:r>
        <w:rPr>
          <w:noProof/>
        </w:rPr>
        <w:t xml:space="preserve">Dessa investeringar är särskilt viktiga för att den gröna och digitala omställningen i EU ska lyckas, där det enligt kommissionens uppskattning finns investeringsbehov på minst 1.2 </w:t>
      </w:r>
      <w:r>
        <w:rPr>
          <w:noProof/>
        </w:rPr>
        <w:t>biljoner euro under samma period. Investeringar i viktiga sektorer och viktig teknik, t.ex. 5G, artificiell intelligens, ren vätgas och havsbaserad förnybar energi, är nyckeln till EU:s framtid.</w:t>
      </w:r>
    </w:p>
    <w:p w:rsidR="00B32DA9" w:rsidRDefault="008D43B3">
      <w:pPr>
        <w:spacing w:before="100" w:beforeAutospacing="1" w:after="100" w:afterAutospacing="1"/>
        <w:rPr>
          <w:noProof/>
        </w:rPr>
      </w:pPr>
      <w:r>
        <w:rPr>
          <w:noProof/>
        </w:rPr>
        <w:t xml:space="preserve">Programmet </w:t>
      </w:r>
      <w:r>
        <w:rPr>
          <w:b/>
          <w:noProof/>
        </w:rPr>
        <w:t>InvestEU</w:t>
      </w:r>
      <w:r>
        <w:rPr>
          <w:noProof/>
        </w:rPr>
        <w:t xml:space="preserve"> är unikt lämpat för att mobilisera invest</w:t>
      </w:r>
      <w:r>
        <w:rPr>
          <w:noProof/>
        </w:rPr>
        <w:t>eringar och stödja EU:s politik under återhämtningen från en djup ekonomisk kris. Detta framgår tydligt av erfarenheterna av Europeiska fonden för strategiska investeringar och olika finansieringsinstrument efter finanskrisen.</w:t>
      </w:r>
    </w:p>
    <w:p w:rsidR="00B32DA9" w:rsidRDefault="008D43B3">
      <w:pPr>
        <w:spacing w:before="100" w:beforeAutospacing="1" w:after="100" w:afterAutospacing="1"/>
        <w:rPr>
          <w:noProof/>
        </w:rPr>
      </w:pPr>
      <w:r>
        <w:rPr>
          <w:noProof/>
        </w:rPr>
        <w:t xml:space="preserve">Kommissionen föreslår därför </w:t>
      </w:r>
      <w:r>
        <w:rPr>
          <w:noProof/>
        </w:rPr>
        <w:t xml:space="preserve">att </w:t>
      </w:r>
      <w:r>
        <w:rPr>
          <w:b/>
          <w:bCs/>
          <w:noProof/>
        </w:rPr>
        <w:t>InvestEU</w:t>
      </w:r>
      <w:r>
        <w:rPr>
          <w:noProof/>
        </w:rPr>
        <w:t xml:space="preserve"> utökas till 15,3 miljarder euro för de fyra politikområden som parlamentet och rådet redan har enats om. Detta kan leda till investeringar på över 240 miljarder euro.</w:t>
      </w:r>
    </w:p>
    <w:p w:rsidR="00B32DA9" w:rsidRDefault="008D43B3">
      <w:pPr>
        <w:spacing w:before="120" w:after="120"/>
        <w:rPr>
          <w:rFonts w:eastAsia="DengXian"/>
          <w:noProof/>
          <w:szCs w:val="24"/>
        </w:rPr>
      </w:pPr>
      <w:r>
        <w:rPr>
          <w:noProof/>
        </w:rPr>
        <w:t>InvestEU ska ge viktigt stöd till företag under återhämtningen och leda till</w:t>
      </w:r>
      <w:r>
        <w:rPr>
          <w:noProof/>
        </w:rPr>
        <w:t xml:space="preserve"> att de privata investerarna fokuserar tydligt på EU:s politiska prioriteringar på medellång och lång sikt, särskilt den europeiska gröna given och digitaliseringen. Programmet ska öka Europeiska investeringsbanksgruppens de nationella utvecklingsbankernas</w:t>
      </w:r>
      <w:r>
        <w:rPr>
          <w:noProof/>
        </w:rPr>
        <w:t xml:space="preserve"> risktagningsförmåga för att stödja den ekonomiska återhämtningen. Genom att mobilisera betydande privata investeringar ska det komplettera det omedelbara stöd som tillhandahållits under krisreparationsfasen av instrumentet för solvensstöd och React-EU och</w:t>
      </w:r>
      <w:r>
        <w:rPr>
          <w:noProof/>
        </w:rPr>
        <w:t xml:space="preserve"> finansieringen enligt nästa ram för sammanhållningspolitiken och andra program.</w:t>
      </w:r>
    </w:p>
    <w:p w:rsidR="00B32DA9" w:rsidRDefault="008D43B3">
      <w:pPr>
        <w:keepNext/>
        <w:spacing w:before="100" w:beforeAutospacing="1" w:after="100" w:afterAutospacing="1"/>
        <w:rPr>
          <w:i/>
          <w:noProof/>
          <w:szCs w:val="24"/>
        </w:rPr>
      </w:pPr>
      <w:r>
        <w:rPr>
          <w:i/>
          <w:noProof/>
          <w:szCs w:val="24"/>
        </w:rPr>
        <w:t>Investeringar i strategisk självständighet: en ny facilitet för strategiska investeringar</w:t>
      </w:r>
    </w:p>
    <w:p w:rsidR="00B32DA9" w:rsidRDefault="008D43B3">
      <w:pPr>
        <w:spacing w:before="100" w:beforeAutospacing="1" w:after="100" w:afterAutospacing="1"/>
        <w:rPr>
          <w:noProof/>
        </w:rPr>
      </w:pPr>
      <w:r>
        <w:rPr>
          <w:noProof/>
        </w:rPr>
        <w:t xml:space="preserve">Ett viktigt inslag i InvestEU blir den nya faciliteten för att öka EU:s resiliens </w:t>
      </w:r>
      <w:r>
        <w:rPr>
          <w:noProof/>
        </w:rPr>
        <w:t>genom att bygga upp strategisk självständighet i vitala leveranskedjor på europeisk nivå.</w:t>
      </w:r>
    </w:p>
    <w:p w:rsidR="00B32DA9" w:rsidRDefault="008D43B3">
      <w:pPr>
        <w:spacing w:before="100" w:beforeAutospacing="1" w:after="100" w:afterAutospacing="1"/>
        <w:rPr>
          <w:noProof/>
          <w:szCs w:val="24"/>
        </w:rPr>
      </w:pPr>
      <w:r>
        <w:rPr>
          <w:noProof/>
        </w:rPr>
        <w:t xml:space="preserve">En </w:t>
      </w:r>
      <w:r>
        <w:rPr>
          <w:b/>
          <w:noProof/>
          <w:szCs w:val="24"/>
        </w:rPr>
        <w:t>facilitet för strategiska investeringar</w:t>
      </w:r>
      <w:r>
        <w:rPr>
          <w:noProof/>
        </w:rPr>
        <w:t xml:space="preserve"> ska inrättas som ytterligare en del av InvestEU. Denna facilitet ska stödja projekt som bidrar till starka och resilienta v</w:t>
      </w:r>
      <w:r>
        <w:rPr>
          <w:noProof/>
        </w:rPr>
        <w:t>ärdekedjor i hela EU och stärka den inre marknadens självständighet, utan att dess öppenhet för konkurrens och handel i enlighet med reglerna för den sätts i fråga. Detta ökar EU-ekonomins resiliens och tillhandahåller samtidigt resurser till strategiskt v</w:t>
      </w:r>
      <w:r>
        <w:rPr>
          <w:noProof/>
        </w:rPr>
        <w:t>iktiga företag som kan frodas och växa inom EU. Medlemsstaternas stöd till sådana projekt är sannolikt inte tillräckligt, och det starka gränsöverskridande inslaget innebär att en samordnad europeisk strategi är avgörande.</w:t>
      </w:r>
    </w:p>
    <w:p w:rsidR="00B32DA9" w:rsidRDefault="008D43B3">
      <w:pPr>
        <w:pBdr>
          <w:top w:val="nil"/>
          <w:left w:val="nil"/>
          <w:bottom w:val="nil"/>
          <w:right w:val="nil"/>
          <w:between w:val="nil"/>
          <w:bar w:val="nil"/>
        </w:pBdr>
        <w:spacing w:before="120" w:after="120"/>
        <w:rPr>
          <w:rFonts w:eastAsia="Arial Unicode MS"/>
          <w:b/>
          <w:i/>
          <w:noProof/>
          <w:color w:val="000000"/>
          <w:szCs w:val="24"/>
          <w:u w:color="000000"/>
          <w:bdr w:val="nil"/>
        </w:rPr>
      </w:pPr>
      <w:r>
        <w:rPr>
          <w:noProof/>
        </w:rPr>
        <w:t>Med anslag på 15 miljarder euro f</w:t>
      </w:r>
      <w:r>
        <w:rPr>
          <w:noProof/>
        </w:rPr>
        <w:t>rån NextGenerationEU kan den nya faciliteten tillhandahålla en garanti från EU-budgeten på 31,5 miljarder euro och kan leda till investeringar på upp till 150 miljarder euro för att uppmuntra europeiskt industriellt ledarskap i strategiska sektorer och vik</w:t>
      </w:r>
      <w:r>
        <w:rPr>
          <w:noProof/>
        </w:rPr>
        <w:t xml:space="preserve">tiga värdekedjor, t.ex. de som är avgörande för den gröna och digitala omställningen. Faciliteten ska säkerställa att sådana investeringar till fullo utnyttjar den inre marknadens potential, genom att EU-budgeten garanterar stöd till företag från hela den </w:t>
      </w:r>
      <w:r>
        <w:rPr>
          <w:noProof/>
        </w:rPr>
        <w:t>europeiska ekonomin och blir ett kraftfullt instrument för återhämtning.</w:t>
      </w:r>
    </w:p>
    <w:p w:rsidR="00B32DA9" w:rsidRDefault="008D43B3">
      <w:pPr>
        <w:pStyle w:val="ListParagraph"/>
        <w:keepNext/>
        <w:numPr>
          <w:ilvl w:val="0"/>
          <w:numId w:val="40"/>
        </w:numPr>
        <w:spacing w:before="120" w:after="120"/>
        <w:rPr>
          <w:rFonts w:ascii="Times New Roman" w:eastAsia="Arial Unicode MS" w:hAnsi="Times New Roman" w:cs="Times New Roman"/>
          <w:b/>
          <w:noProof/>
          <w:color w:val="000000"/>
          <w:sz w:val="24"/>
          <w:szCs w:val="24"/>
          <w:u w:val="single" w:color="000000"/>
          <w:bdr w:val="nil"/>
        </w:rPr>
      </w:pPr>
      <w:r>
        <w:rPr>
          <w:rFonts w:ascii="Times New Roman" w:hAnsi="Times New Roman"/>
          <w:b/>
          <w:noProof/>
          <w:color w:val="000000"/>
          <w:sz w:val="24"/>
          <w:szCs w:val="24"/>
          <w:u w:val="single" w:color="000000"/>
          <w:bdr w:val="nil"/>
        </w:rPr>
        <w:t>Lärdomar av krisen och EU:s strategiska utmaningar</w:t>
      </w:r>
    </w:p>
    <w:p w:rsidR="00B32DA9" w:rsidRDefault="008D43B3">
      <w:pPr>
        <w:pBdr>
          <w:top w:val="single" w:sz="18" w:space="1" w:color="5F68AB" w:themeColor="accent3"/>
          <w:left w:val="single" w:sz="18" w:space="4" w:color="5F68AB" w:themeColor="accent3"/>
          <w:bottom w:val="single" w:sz="18" w:space="1" w:color="5F68AB" w:themeColor="accent3"/>
          <w:right w:val="single" w:sz="18" w:space="4" w:color="5F68AB" w:themeColor="accent3"/>
        </w:pBdr>
        <w:spacing w:before="120" w:after="120"/>
        <w:rPr>
          <w:rFonts w:eastAsia="Arial Unicode MS" w:cs="Arial Unicode MS"/>
          <w:i/>
          <w:noProof/>
          <w:color w:val="000000"/>
          <w:szCs w:val="24"/>
          <w:u w:color="000000"/>
          <w:bdr w:val="nil"/>
        </w:rPr>
      </w:pPr>
      <w:r>
        <w:rPr>
          <w:i/>
          <w:noProof/>
          <w:color w:val="000000"/>
          <w:szCs w:val="24"/>
          <w:u w:color="000000"/>
          <w:bdr w:val="nil"/>
          <w:lang w:val="fr-BE" w:eastAsia="fr-BE"/>
        </w:rPr>
        <w:drawing>
          <wp:anchor distT="0" distB="0" distL="114300" distR="114300" simplePos="0" relativeHeight="251658752" behindDoc="0" locked="0" layoutInCell="1" allowOverlap="1">
            <wp:simplePos x="0" y="0"/>
            <wp:positionH relativeFrom="column">
              <wp:posOffset>5099490</wp:posOffset>
            </wp:positionH>
            <wp:positionV relativeFrom="paragraph">
              <wp:posOffset>119380</wp:posOffset>
            </wp:positionV>
            <wp:extent cx="722073" cy="723600"/>
            <wp:effectExtent l="0" t="0" r="0" b="0"/>
            <wp:wrapSquare wrapText="bothSides"/>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22073" cy="723600"/>
                    </a:xfrm>
                    <a:prstGeom prst="rect">
                      <a:avLst/>
                    </a:prstGeom>
                  </pic:spPr>
                </pic:pic>
              </a:graphicData>
            </a:graphic>
            <wp14:sizeRelH relativeFrom="page">
              <wp14:pctWidth>0</wp14:pctWidth>
            </wp14:sizeRelH>
            <wp14:sizeRelV relativeFrom="page">
              <wp14:pctHeight>0</wp14:pctHeight>
            </wp14:sizeRelV>
          </wp:anchor>
        </w:drawing>
      </w:r>
      <w:r>
        <w:rPr>
          <w:i/>
          <w:noProof/>
          <w:color w:val="000000"/>
          <w:szCs w:val="24"/>
          <w:u w:color="000000"/>
          <w:bdr w:val="nil"/>
        </w:rPr>
        <w:t xml:space="preserve">Krisen har både visat det europeiska samarbetets värde och tydligt demonstrerat att EU skyndsamt måste stärka sin krishanteringsförmåga och bygga upp resiliensen inför framtidens chocker. Kommissionen föreslår ett </w:t>
      </w:r>
      <w:r>
        <w:rPr>
          <w:b/>
          <w:i/>
          <w:noProof/>
          <w:color w:val="000000"/>
          <w:szCs w:val="24"/>
          <w:u w:color="000000"/>
          <w:bdr w:val="nil"/>
        </w:rPr>
        <w:t>nytt program, EU för hälsa,</w:t>
      </w:r>
      <w:r>
        <w:rPr>
          <w:i/>
          <w:noProof/>
          <w:color w:val="000000"/>
          <w:szCs w:val="24"/>
          <w:u w:color="000000"/>
          <w:bdr w:val="nil"/>
        </w:rPr>
        <w:t xml:space="preserve"> för att stärka</w:t>
      </w:r>
      <w:r>
        <w:rPr>
          <w:i/>
          <w:noProof/>
          <w:color w:val="000000"/>
          <w:szCs w:val="24"/>
          <w:u w:color="000000"/>
          <w:bdr w:val="nil"/>
        </w:rPr>
        <w:t xml:space="preserve"> hälsoskyddet och förbereda oss på framtidens hälsokriser. </w:t>
      </w:r>
      <w:r>
        <w:rPr>
          <w:b/>
          <w:i/>
          <w:noProof/>
          <w:color w:val="000000"/>
          <w:szCs w:val="24"/>
          <w:u w:color="000000"/>
          <w:bdr w:val="nil"/>
        </w:rPr>
        <w:t>RescEU, unionens civilskyddsmekanism</w:t>
      </w:r>
      <w:r>
        <w:rPr>
          <w:i/>
          <w:noProof/>
          <w:color w:val="000000"/>
          <w:szCs w:val="24"/>
          <w:u w:color="000000"/>
          <w:bdr w:val="nil"/>
        </w:rPr>
        <w:t xml:space="preserve">, ska utvidgas och stärkas för att ge EU möjlighet att förbereda sig och reagera på framtidens kriser. </w:t>
      </w:r>
      <w:r>
        <w:rPr>
          <w:b/>
          <w:i/>
          <w:noProof/>
          <w:color w:val="000000"/>
          <w:szCs w:val="24"/>
          <w:u w:color="000000"/>
          <w:bdr w:val="nil"/>
        </w:rPr>
        <w:t>Horisont Europa</w:t>
      </w:r>
      <w:r>
        <w:rPr>
          <w:i/>
          <w:noProof/>
          <w:color w:val="000000"/>
          <w:szCs w:val="24"/>
          <w:u w:color="000000"/>
          <w:bdr w:val="nil"/>
        </w:rPr>
        <w:t xml:space="preserve"> ska få tillskott för att finansiera viktig</w:t>
      </w:r>
      <w:r>
        <w:rPr>
          <w:i/>
          <w:noProof/>
          <w:color w:val="000000"/>
          <w:szCs w:val="24"/>
          <w:u w:color="000000"/>
          <w:bdr w:val="nil"/>
        </w:rPr>
        <w:t xml:space="preserve"> forskning om hälsa, resiliens och den gröna och digitala omställningen. Andra EU-program, bl.a. instrumenten för yttre åtgärder, ska stärkas för att fullt ut anpassa nästa budgetram till återhämtningens behov, medan särskilda instrument kommer att förstär</w:t>
      </w:r>
      <w:r>
        <w:rPr>
          <w:i/>
          <w:noProof/>
          <w:color w:val="000000"/>
          <w:szCs w:val="24"/>
          <w:u w:color="000000"/>
          <w:bdr w:val="nil"/>
        </w:rPr>
        <w:t xml:space="preserve">kas för att göra </w:t>
      </w:r>
      <w:r>
        <w:rPr>
          <w:b/>
          <w:i/>
          <w:noProof/>
          <w:color w:val="000000"/>
          <w:szCs w:val="24"/>
          <w:u w:color="000000"/>
          <w:bdr w:val="nil"/>
        </w:rPr>
        <w:t>EU-budgeten mer flexibel och anpassningsbar</w:t>
      </w:r>
      <w:r>
        <w:rPr>
          <w:i/>
          <w:noProof/>
          <w:color w:val="000000"/>
          <w:szCs w:val="24"/>
          <w:u w:color="000000"/>
          <w:bdr w:val="nil"/>
        </w:rPr>
        <w:t>.</w:t>
      </w:r>
    </w:p>
    <w:p w:rsidR="00B32DA9" w:rsidRDefault="008D43B3">
      <w:pPr>
        <w:pStyle w:val="ListParagraph"/>
        <w:keepNext/>
        <w:numPr>
          <w:ilvl w:val="0"/>
          <w:numId w:val="31"/>
        </w:numPr>
        <w:spacing w:before="120" w:after="120"/>
        <w:contextualSpacing w:val="0"/>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Nya och utökade program för resiliens och stärkt samarbete</w:t>
      </w:r>
    </w:p>
    <w:p w:rsidR="00B32DA9" w:rsidRDefault="008D43B3">
      <w:pPr>
        <w:spacing w:before="100" w:beforeAutospacing="1" w:after="100" w:afterAutospacing="1"/>
        <w:rPr>
          <w:noProof/>
        </w:rPr>
      </w:pPr>
      <w:r>
        <w:rPr>
          <w:noProof/>
        </w:rPr>
        <w:t>NextGenerationEU ska tillhandahålla riktade tillskott till viktiga program som driver på tillväxten och stärker EU:s förmåga att stå em</w:t>
      </w:r>
      <w:r>
        <w:rPr>
          <w:noProof/>
        </w:rPr>
        <w:t>ot och övervinna framtidens kriser. Dessa tillskott kommer utöver kommissionens ursprungliga förslag om nästa budgetram, som fortfarande är en rättvis och balanserad grund för en överenskommelse.</w:t>
      </w:r>
    </w:p>
    <w:p w:rsidR="00B32DA9" w:rsidRDefault="008D43B3">
      <w:pPr>
        <w:keepNext/>
        <w:spacing w:before="100" w:beforeAutospacing="1" w:after="100" w:afterAutospacing="1"/>
        <w:rPr>
          <w:i/>
          <w:noProof/>
          <w:szCs w:val="24"/>
        </w:rPr>
      </w:pPr>
      <w:r>
        <w:rPr>
          <w:i/>
          <w:noProof/>
          <w:szCs w:val="24"/>
        </w:rPr>
        <w:t>Ett nytt program för stärkt hälsoskydd och hälsosamarbete</w:t>
      </w:r>
    </w:p>
    <w:p w:rsidR="00B32DA9" w:rsidRDefault="008D43B3">
      <w:pPr>
        <w:spacing w:before="120" w:after="120"/>
        <w:rPr>
          <w:rFonts w:eastAsia="Calibri"/>
          <w:noProof/>
          <w:szCs w:val="24"/>
        </w:rPr>
      </w:pPr>
      <w:r>
        <w:rPr>
          <w:noProof/>
          <w:color w:val="000000"/>
          <w:szCs w:val="24"/>
          <w:bdr w:val="none" w:sz="0" w:space="0" w:color="auto" w:frame="1"/>
        </w:rPr>
        <w:t xml:space="preserve">Krisen har visat att finansieringen av hälsa måste prioriteras högre i nästa budgetram. </w:t>
      </w:r>
      <w:r>
        <w:rPr>
          <w:noProof/>
          <w:color w:val="000000"/>
          <w:szCs w:val="24"/>
        </w:rPr>
        <w:t xml:space="preserve">Kommissionen föreslår ett ambitiöst, fristående </w:t>
      </w:r>
      <w:r>
        <w:rPr>
          <w:b/>
          <w:noProof/>
          <w:color w:val="000000"/>
          <w:szCs w:val="24"/>
        </w:rPr>
        <w:t>program EU för hälsa</w:t>
      </w:r>
      <w:r>
        <w:rPr>
          <w:noProof/>
          <w:color w:val="000000"/>
          <w:szCs w:val="24"/>
        </w:rPr>
        <w:t xml:space="preserve"> för att ge särskilt stöd inför de hälsoutmaningar som framkommit i behovsbedömningen. </w:t>
      </w:r>
      <w:r>
        <w:rPr>
          <w:noProof/>
        </w:rPr>
        <w:t>Enligt försla</w:t>
      </w:r>
      <w:r>
        <w:rPr>
          <w:noProof/>
        </w:rPr>
        <w:t>get ska det nya programmet få 9,4 miljarder euro i anslag, en betydande ökning jämfört med tidigare förslag inom Europeiska socialfonden+.</w:t>
      </w:r>
    </w:p>
    <w:p w:rsidR="00B32DA9" w:rsidRDefault="008D43B3">
      <w:pPr>
        <w:spacing w:before="120" w:after="120"/>
        <w:rPr>
          <w:rFonts w:eastAsia="Calibri"/>
          <w:noProof/>
          <w:color w:val="000000"/>
          <w:szCs w:val="24"/>
        </w:rPr>
      </w:pPr>
      <w:r>
        <w:rPr>
          <w:noProof/>
          <w:color w:val="000000"/>
          <w:szCs w:val="24"/>
        </w:rPr>
        <w:t>Det nya programmet ska bidra till att ge unionen den kritiska kapacitet som krävs för att reagera på framtidens hälso</w:t>
      </w:r>
      <w:r>
        <w:rPr>
          <w:noProof/>
          <w:color w:val="000000"/>
          <w:szCs w:val="24"/>
        </w:rPr>
        <w:t xml:space="preserve">kriser snabbt och i nödvändig omfattning. </w:t>
      </w:r>
      <w:r>
        <w:rPr>
          <w:noProof/>
        </w:rPr>
        <w:t>Programmet syftar till att skapa en heltäckande ram för EU:s förebyggande, beredskap och insatser i fråga om hälsokriser, och kompletterar och förstärker de nationella insatserna samt regionalt stöd från sammanhåll</w:t>
      </w:r>
      <w:r>
        <w:rPr>
          <w:noProof/>
        </w:rPr>
        <w:t>ningspolitiken till vårdsystemen.</w:t>
      </w:r>
      <w:r>
        <w:rPr>
          <w:noProof/>
          <w:color w:val="000000"/>
          <w:szCs w:val="24"/>
        </w:rPr>
        <w:t xml:space="preserve"> </w:t>
      </w:r>
    </w:p>
    <w:p w:rsidR="00B32DA9" w:rsidRDefault="008D43B3">
      <w:pPr>
        <w:spacing w:before="120" w:after="120"/>
        <w:rPr>
          <w:noProof/>
          <w:szCs w:val="24"/>
        </w:rPr>
      </w:pPr>
      <w:r>
        <w:rPr>
          <w:noProof/>
        </w:rPr>
        <w:t>Den första delen av programmet behandlar hälsoskydd och krisberedskap. Den ska stödja investeringar i kritisk hälsoinfrastruktur, verktyg, strukturer, processer och laboratoriekapacitet, bl.a. verktyg för övervakning, mod</w:t>
      </w:r>
      <w:r>
        <w:rPr>
          <w:noProof/>
        </w:rPr>
        <w:t>ellering, prognoser, förebyggande och hantering av utbrott. Den ska även stödja en ny mekanism för utveckling, upphandling och förvaltning av hälsokrisrelaterade produkter, t.ex. läkemedel (inbegripet vaccin), behandlingar, mellanprodukter, aktiva farmaceu</w:t>
      </w:r>
      <w:r>
        <w:rPr>
          <w:noProof/>
        </w:rPr>
        <w:t>tiska substanser, råvaror, medicintekniska produkter och medicinsk utrustning som respiratorer, skyddskläder och skyddsutrustning samt diagnosmaterial och diagnosverktyg. Den ska bidra till en ny EU-omfattande ram för riskkommunikation som täcker alla fase</w:t>
      </w:r>
      <w:r>
        <w:rPr>
          <w:noProof/>
        </w:rPr>
        <w:t>r av en kris.</w:t>
      </w:r>
    </w:p>
    <w:p w:rsidR="00B32DA9" w:rsidRDefault="008D43B3">
      <w:pPr>
        <w:spacing w:before="120" w:after="120"/>
        <w:rPr>
          <w:rFonts w:eastAsia="Calibri"/>
          <w:noProof/>
          <w:szCs w:val="24"/>
        </w:rPr>
      </w:pPr>
      <w:r>
        <w:rPr>
          <w:noProof/>
        </w:rPr>
        <w:t xml:space="preserve">Den andra delen stöder en mer långsiktig vision om bättre hälsoresultat genom resurseffektiva och inkluderande hälso- och sjukvårdssystem i alla medlemsstater, bättre förebyggande och övervakning av sjukdomar, hälsofrämjande, tillgång, </w:t>
      </w:r>
      <w:r>
        <w:rPr>
          <w:noProof/>
        </w:rPr>
        <w:t>diagnos och behandling samt gränsöverskridande samarbete på hälsoområdet. Programmet ska t.ex. stödja kapacitetsuppbyggnad i medlemsstaterna, finansiera utbildningsprogram för hälso- och sjukvårdspersonal samt investera i den digitala omställningen av häls</w:t>
      </w:r>
      <w:r>
        <w:rPr>
          <w:noProof/>
        </w:rPr>
        <w:t>o- och sjukvårdssektorn och utbyggnad av kompatibel digital infrastruktur för bl.a. forskning och datautbyte.</w:t>
      </w:r>
    </w:p>
    <w:p w:rsidR="00B32DA9" w:rsidRDefault="008D43B3">
      <w:pPr>
        <w:spacing w:before="120" w:after="120"/>
        <w:rPr>
          <w:rFonts w:eastAsia="Calibri"/>
          <w:i/>
          <w:noProof/>
          <w:szCs w:val="24"/>
        </w:rPr>
      </w:pPr>
      <w:r>
        <w:rPr>
          <w:noProof/>
          <w:color w:val="000000"/>
          <w:szCs w:val="24"/>
        </w:rPr>
        <w:t>Programmet ska utformas och genomföras med full respekt för ansvarsfördelningen mellan EU och medlemsstaterna på detta område. Det ska kopplas sam</w:t>
      </w:r>
      <w:r>
        <w:rPr>
          <w:noProof/>
          <w:color w:val="000000"/>
          <w:szCs w:val="24"/>
        </w:rPr>
        <w:t xml:space="preserve">man med relevant stöd från andra EU-program och skapa nya sätt att vidta gemensamma åtgärder och garantera tillgång till medicinska motåtgärder och resurser i händelse av allvarliga hälsohot. </w:t>
      </w:r>
      <w:r>
        <w:rPr>
          <w:noProof/>
        </w:rPr>
        <w:t>Det ska samarbeta med ett utbyggt RescEU, som inriktas på direkt</w:t>
      </w:r>
      <w:r>
        <w:rPr>
          <w:noProof/>
        </w:rPr>
        <w:t xml:space="preserve"> krishantering, lagring, utplacering och leverans av utrustning och personal i nödsituationer, genom att tillhandahålla de nödvändiga hälsoanslagen.</w:t>
      </w:r>
    </w:p>
    <w:p w:rsidR="00B32DA9" w:rsidRDefault="008D43B3">
      <w:pPr>
        <w:keepNext/>
        <w:spacing w:before="100" w:beforeAutospacing="1" w:after="100" w:afterAutospacing="1"/>
        <w:rPr>
          <w:i/>
          <w:noProof/>
          <w:szCs w:val="24"/>
        </w:rPr>
      </w:pPr>
      <w:r>
        <w:rPr>
          <w:i/>
          <w:noProof/>
          <w:szCs w:val="24"/>
        </w:rPr>
        <w:t>Förstärkning av EU:s civilskydd</w:t>
      </w:r>
    </w:p>
    <w:p w:rsidR="00B32DA9" w:rsidRDefault="008D43B3">
      <w:pPr>
        <w:spacing w:before="100" w:beforeAutospacing="1" w:after="100" w:afterAutospacing="1"/>
        <w:rPr>
          <w:rFonts w:eastAsia="DengXian"/>
          <w:noProof/>
        </w:rPr>
      </w:pPr>
      <w:r>
        <w:rPr>
          <w:noProof/>
        </w:rPr>
        <w:t>En tydlig lärdom av pandemin är att EU måste kunna reagera snabbare och mer</w:t>
      </w:r>
      <w:r>
        <w:rPr>
          <w:noProof/>
        </w:rPr>
        <w:t xml:space="preserve"> flexibelt vid allvarliga gränsöverskridande kriser, med tanke på hur stora störningarna av våra ekonomier och samhällen kan bli. Kommissionen föreslår därför att </w:t>
      </w:r>
      <w:r>
        <w:rPr>
          <w:b/>
          <w:noProof/>
        </w:rPr>
        <w:t>RescEU, EU:s civilskyddsmekanism</w:t>
      </w:r>
      <w:r>
        <w:rPr>
          <w:noProof/>
        </w:rPr>
        <w:t xml:space="preserve"> ska förstärkas. På så sätt blir RescEU mer flexibelt och öka</w:t>
      </w:r>
      <w:r>
        <w:rPr>
          <w:noProof/>
        </w:rPr>
        <w:t>r EU:s förmåga att agera gemensamt på EU-nivå.</w:t>
      </w:r>
    </w:p>
    <w:p w:rsidR="00B32DA9" w:rsidRDefault="008D43B3">
      <w:pPr>
        <w:spacing w:before="100" w:beforeAutospacing="1" w:after="100" w:afterAutospacing="1"/>
        <w:rPr>
          <w:rFonts w:eastAsia="DengXian"/>
          <w:noProof/>
        </w:rPr>
      </w:pPr>
      <w:r>
        <w:rPr>
          <w:noProof/>
        </w:rPr>
        <w:t>Anslagen höjs till 3,1 miljarder euro för finansiering av investeringar i infrastruktur för nödinsatser, transportkapacitet och räddningsstyrkor. Detta utökade RescEU ger EU den kapacitet och den logistiska in</w:t>
      </w:r>
      <w:r>
        <w:rPr>
          <w:noProof/>
        </w:rPr>
        <w:t>frastruktur som behövs för att hantera olika typer av nödsituationer, t.ex. med medicinska inslag, som komplement till det nya programmet EU för hälsa. Förslaget rationaliserar också den operativa kapaciteten och ökar dess flexibilitet. Detta leder till et</w:t>
      </w:r>
      <w:r>
        <w:rPr>
          <w:noProof/>
        </w:rPr>
        <w:t>t snabbare och mer effektivt agerande från EU:s sida i framtida storskaliga nödsituationer.</w:t>
      </w:r>
    </w:p>
    <w:p w:rsidR="00B32DA9" w:rsidRDefault="008D43B3">
      <w:pPr>
        <w:keepNext/>
        <w:spacing w:before="100" w:beforeAutospacing="1" w:after="100" w:afterAutospacing="1"/>
        <w:rPr>
          <w:i/>
          <w:noProof/>
        </w:rPr>
      </w:pPr>
      <w:r>
        <w:rPr>
          <w:i/>
          <w:noProof/>
        </w:rPr>
        <w:t>Horisont Europa – investeringar i innovation och framtidssäkring</w:t>
      </w:r>
    </w:p>
    <w:p w:rsidR="00B32DA9" w:rsidRDefault="008D43B3">
      <w:pPr>
        <w:spacing w:before="100" w:beforeAutospacing="1" w:after="100" w:afterAutospacing="1"/>
        <w:rPr>
          <w:noProof/>
        </w:rPr>
      </w:pPr>
      <w:r>
        <w:rPr>
          <w:noProof/>
        </w:rPr>
        <w:t xml:space="preserve">Budgeten för </w:t>
      </w:r>
      <w:r>
        <w:rPr>
          <w:b/>
          <w:noProof/>
        </w:rPr>
        <w:t>Horisont Europa</w:t>
      </w:r>
      <w:r>
        <w:rPr>
          <w:noProof/>
        </w:rPr>
        <w:t xml:space="preserve"> ska höjas till 94,4 miljarder euro för att öka det europeiska stödet t</w:t>
      </w:r>
      <w:r>
        <w:rPr>
          <w:noProof/>
        </w:rPr>
        <w:t>ill forskning och innovation inom hälso- och klimatpolitik. Detta bidrar till ökad beredskap att snabbt och effektivt reagera på nödsituationer samt till investeringar i vetenskapligt grundade lösningar som komplement till driftsfinansieringen från det nya</w:t>
      </w:r>
      <w:r>
        <w:rPr>
          <w:noProof/>
        </w:rPr>
        <w:t xml:space="preserve"> programmet EU för hälsa och RescEU. </w:t>
      </w:r>
    </w:p>
    <w:p w:rsidR="00B32DA9" w:rsidRDefault="008D43B3">
      <w:pPr>
        <w:spacing w:before="100" w:beforeAutospacing="1" w:after="100" w:afterAutospacing="1"/>
        <w:rPr>
          <w:noProof/>
        </w:rPr>
      </w:pPr>
      <w:r>
        <w:rPr>
          <w:noProof/>
        </w:rPr>
        <w:t>På hälsoområdet ska tillskottet användas för att öka forskningen om utmaningar som coronaviruspandemin, fler kliniska prövningar, innovativa skyddsåtgärder, virologi, vaccin, behandling och diagnostik samt omsättning a</w:t>
      </w:r>
      <w:r>
        <w:rPr>
          <w:noProof/>
        </w:rPr>
        <w:t xml:space="preserve">v forskningsresultat i folkhälsopolitiska åtgärder.  </w:t>
      </w:r>
    </w:p>
    <w:p w:rsidR="00B32DA9" w:rsidRDefault="008D43B3">
      <w:pPr>
        <w:spacing w:before="100" w:beforeAutospacing="1" w:after="100" w:afterAutospacing="1"/>
        <w:rPr>
          <w:noProof/>
        </w:rPr>
      </w:pPr>
      <w:r>
        <w:rPr>
          <w:noProof/>
        </w:rPr>
        <w:t>Kommissionen vill också öka resurserna för forskning och innovation på klimatrelaterade områden. Detta stärker stödet till EU-industrins konkurrenskraft i relaterade branscher och främjar en återhämtnin</w:t>
      </w:r>
      <w:r>
        <w:rPr>
          <w:noProof/>
        </w:rPr>
        <w:t>g som är förenlig med målen för den europeiska gröna given. Tillskottet innebär ytterligare medel för nya och banbrytande innovationer från små och medelstora företag, uppstartsföretag och medelstora börsnoterade företag.</w:t>
      </w:r>
    </w:p>
    <w:p w:rsidR="00B32DA9" w:rsidRDefault="008D43B3">
      <w:pPr>
        <w:keepNext/>
        <w:spacing w:before="100" w:beforeAutospacing="1" w:after="100" w:afterAutospacing="1"/>
        <w:rPr>
          <w:i/>
          <w:noProof/>
        </w:rPr>
      </w:pPr>
      <w:r>
        <w:rPr>
          <w:i/>
          <w:noProof/>
        </w:rPr>
        <w:t>Tillsammans med våra globala partn</w:t>
      </w:r>
      <w:r>
        <w:rPr>
          <w:i/>
          <w:noProof/>
        </w:rPr>
        <w:t>er i kristider</w:t>
      </w:r>
    </w:p>
    <w:p w:rsidR="00B32DA9" w:rsidRDefault="008D43B3">
      <w:pPr>
        <w:spacing w:before="100" w:beforeAutospacing="1" w:after="100" w:afterAutospacing="1"/>
        <w:rPr>
          <w:noProof/>
        </w:rPr>
      </w:pPr>
      <w:r>
        <w:rPr>
          <w:noProof/>
        </w:rPr>
        <w:t xml:space="preserve">Pandemin är en global utmaning. </w:t>
      </w:r>
      <w:r>
        <w:rPr>
          <w:noProof/>
          <w:color w:val="000000"/>
        </w:rPr>
        <w:t>Utan ett globalt svar förblir alla länder och regioner i världen, inklusive EU, sårbara.</w:t>
      </w:r>
      <w:r>
        <w:rPr>
          <w:noProof/>
        </w:rPr>
        <w:t xml:space="preserve"> EU måste fortsätta att visa solidaritet med sina partner runt om i världen i kampen mot covid-19. </w:t>
      </w:r>
    </w:p>
    <w:p w:rsidR="00B32DA9" w:rsidRDefault="008D43B3">
      <w:pPr>
        <w:spacing w:before="100" w:beforeAutospacing="1" w:after="100" w:afterAutospacing="1"/>
        <w:rPr>
          <w:noProof/>
        </w:rPr>
      </w:pPr>
      <w:r>
        <w:rPr>
          <w:noProof/>
        </w:rPr>
        <w:t xml:space="preserve">Kommissionen föreslår att 86 miljarder euro anslås till </w:t>
      </w:r>
      <w:r>
        <w:rPr>
          <w:b/>
          <w:bCs/>
          <w:noProof/>
        </w:rPr>
        <w:t>instrumentet för grannskapspolitik, utvecklingssamarbete och internationellt samarbete</w:t>
      </w:r>
      <w:r>
        <w:rPr>
          <w:noProof/>
        </w:rPr>
        <w:t xml:space="preserve"> via en ny garanti för yttre åtgärder, och till Europeiska fonden för hållbar utveckling för att stödja partnerlän</w:t>
      </w:r>
      <w:r>
        <w:rPr>
          <w:noProof/>
        </w:rPr>
        <w:t>derna, särskilt på västra Balkan, i EU:s grannskap och i övriga Afrika, i deras insatser för att bekämpa och återhämta sig från pandemins konsekvenser, i samarbete med internationella partner som de internationella finansinstituten, FN och Världshälsoorgan</w:t>
      </w:r>
      <w:r>
        <w:rPr>
          <w:noProof/>
        </w:rPr>
        <w:t>isationen.</w:t>
      </w:r>
      <w:r>
        <w:rPr>
          <w:noProof/>
          <w:color w:val="000000"/>
        </w:rPr>
        <w:t xml:space="preserve"> </w:t>
      </w:r>
      <w:r>
        <w:rPr>
          <w:noProof/>
        </w:rPr>
        <w:t>En riktad anpassning av den gällande budgetramen gör att 1 miljard euro kan tillhandahållas i ytterligare stöd redan under 2020.</w:t>
      </w:r>
    </w:p>
    <w:p w:rsidR="00B32DA9" w:rsidRDefault="008D43B3">
      <w:pPr>
        <w:spacing w:before="100" w:beforeAutospacing="1" w:after="100" w:afterAutospacing="1"/>
        <w:rPr>
          <w:noProof/>
          <w:color w:val="000000"/>
        </w:rPr>
      </w:pPr>
      <w:r>
        <w:rPr>
          <w:noProof/>
        </w:rPr>
        <w:t>Stödet ska gå till likviditet i små och medelstora företag , bevara investeringar i projekt för förnybar energi samt</w:t>
      </w:r>
      <w:r>
        <w:rPr>
          <w:noProof/>
        </w:rPr>
        <w:t xml:space="preserve"> öka finansieringskapaciteten i lokal valuta i partnerländerna för att stärka hälso- och sjukvårdssystemen, inbegripet beredskap, och för att bygga upp kapacitet att producera vaccin, behandlingar och diagnoser för covid-19.</w:t>
      </w:r>
      <w:r>
        <w:rPr>
          <w:noProof/>
          <w:color w:val="000000"/>
        </w:rPr>
        <w:t xml:space="preserve"> Detta ökade stöd ska också inri</w:t>
      </w:r>
      <w:r>
        <w:rPr>
          <w:noProof/>
          <w:color w:val="000000"/>
        </w:rPr>
        <w:t xml:space="preserve">ktas på de mest utsatta länderna och regionerna, och sättas in mot pandemins allvarliga sociala och ekonomiska konsekvenser. </w:t>
      </w:r>
    </w:p>
    <w:p w:rsidR="00B32DA9" w:rsidRDefault="008D43B3">
      <w:pPr>
        <w:spacing w:before="100" w:beforeAutospacing="1" w:after="100" w:afterAutospacing="1"/>
        <w:rPr>
          <w:noProof/>
          <w:color w:val="000000"/>
          <w:szCs w:val="24"/>
        </w:rPr>
      </w:pPr>
      <w:r>
        <w:rPr>
          <w:noProof/>
          <w:color w:val="000000"/>
        </w:rPr>
        <w:t xml:space="preserve">Kommissionen föreslår vidare att ytterligare 5 miljarder euro anslås till </w:t>
      </w:r>
      <w:r>
        <w:rPr>
          <w:b/>
          <w:noProof/>
          <w:color w:val="000000"/>
        </w:rPr>
        <w:t>instrumentet för humanitärt bistånd</w:t>
      </w:r>
      <w:r>
        <w:rPr>
          <w:noProof/>
          <w:color w:val="000000"/>
        </w:rPr>
        <w:t>, på grund av de växa</w:t>
      </w:r>
      <w:r>
        <w:rPr>
          <w:noProof/>
          <w:color w:val="000000"/>
        </w:rPr>
        <w:t>nde humanitära behoven i de mest utsatta delarna av världen. Pandemins konsekvenser och de ekonomiska effekterna, t.ex. inkomstbortfallet på grund av sjunkande olje- och råvarupriser och en drastisk minskning av penningöverföringar, förvärrar befintliga be</w:t>
      </w:r>
      <w:r>
        <w:rPr>
          <w:noProof/>
          <w:color w:val="000000"/>
        </w:rPr>
        <w:t>hov, vilket gör det ännu viktigare att unionen är rustad för att visa solidaritet med omvärlden.</w:t>
      </w:r>
    </w:p>
    <w:p w:rsidR="00B32DA9" w:rsidRDefault="008D43B3">
      <w:pPr>
        <w:pStyle w:val="ListParagraph"/>
        <w:keepNext/>
        <w:numPr>
          <w:ilvl w:val="0"/>
          <w:numId w:val="31"/>
        </w:numPr>
        <w:spacing w:before="120" w:after="120"/>
        <w:ind w:left="777" w:hanging="357"/>
        <w:rPr>
          <w:rFonts w:eastAsia="Arial Unicode MS"/>
          <w:b/>
          <w:i/>
          <w:noProof/>
          <w:color w:val="000000"/>
          <w:szCs w:val="24"/>
          <w:u w:color="000000"/>
          <w:bdr w:val="nil"/>
        </w:rPr>
      </w:pPr>
      <w:r>
        <w:rPr>
          <w:rFonts w:ascii="Times New Roman" w:hAnsi="Times New Roman"/>
          <w:b/>
          <w:i/>
          <w:noProof/>
          <w:color w:val="000000"/>
          <w:sz w:val="24"/>
          <w:szCs w:val="24"/>
          <w:u w:color="000000"/>
          <w:bdr w:val="nil"/>
        </w:rPr>
        <w:t>Göra andra program lämpade att bygga upp resiliens och nå resultat i fråga om de strategiska prioriteringarna</w:t>
      </w:r>
    </w:p>
    <w:p w:rsidR="00B32DA9" w:rsidRDefault="008D43B3">
      <w:pPr>
        <w:pBdr>
          <w:top w:val="nil"/>
          <w:left w:val="nil"/>
          <w:bottom w:val="nil"/>
          <w:right w:val="nil"/>
          <w:between w:val="nil"/>
          <w:bar w:val="nil"/>
        </w:pBdr>
        <w:spacing w:before="120" w:after="120"/>
        <w:rPr>
          <w:rFonts w:eastAsia="Arial Unicode MS" w:cs="Arial Unicode MS"/>
          <w:noProof/>
          <w:color w:val="000000"/>
          <w:szCs w:val="24"/>
          <w:bdr w:val="nil"/>
        </w:rPr>
      </w:pPr>
      <w:r>
        <w:rPr>
          <w:noProof/>
          <w:color w:val="000000"/>
          <w:szCs w:val="24"/>
          <w:u w:color="000000"/>
          <w:bdr w:val="nil"/>
        </w:rPr>
        <w:t>Den budgetram för 2021–2027 som kommissionen före</w:t>
      </w:r>
      <w:r>
        <w:rPr>
          <w:noProof/>
          <w:color w:val="000000"/>
          <w:szCs w:val="24"/>
          <w:u w:color="000000"/>
          <w:bdr w:val="nil"/>
        </w:rPr>
        <w:t>slog 2018, förstärkt av mekanismen för en rättvis omställning och de ändringar som läggs fram i dag, är fortfarande den viktigaste utgångspunkten för slutfasen av förhandlingarna. Den föreslagna uppbyggnaden, stödnivån, avvägningen mellan prioriteringarna,</w:t>
      </w:r>
      <w:r>
        <w:rPr>
          <w:noProof/>
          <w:color w:val="000000"/>
          <w:szCs w:val="24"/>
          <w:u w:color="000000"/>
          <w:bdr w:val="nil"/>
        </w:rPr>
        <w:t xml:space="preserve"> viktiga egenskaper som målet att minst 25 % av utgifterna ska bidra till klimatåtgärder samt åtgärder till stöd för jämställdhet och icke-diskriminering är alla nödvändiga för ett väl avvägt återhämtningspaket. </w:t>
      </w:r>
      <w:r>
        <w:rPr>
          <w:noProof/>
        </w:rPr>
        <w:t>Kommissionens förslag till förordning om sky</w:t>
      </w:r>
      <w:r>
        <w:rPr>
          <w:noProof/>
        </w:rPr>
        <w:t>dd av EU:s budget mot utbredda brister i rättsstatsprincipen är ett annat viktigt inslag. Kraftfulla åtgärder för att skydda budgeten mot bedrägerier och oriktigheter har dessutom vidtagits, och kommissionen kommer att stärka dem ytterligare. Europeiska by</w:t>
      </w:r>
      <w:r>
        <w:rPr>
          <w:noProof/>
        </w:rPr>
        <w:t>rån för bedrägeribekämpning (Olaf) och Europeiska åklagarmyndigheten kommer att utöva sina befogenheter i fråga om kontroll och utredning.</w:t>
      </w:r>
    </w:p>
    <w:p w:rsidR="00B32DA9" w:rsidRDefault="008D43B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Krisen har tydligt visat att stöd i den omfattning som stats- och regeringscheferna diskuterade i februari inte räcke</w:t>
      </w:r>
      <w:r>
        <w:rPr>
          <w:noProof/>
          <w:color w:val="000000"/>
          <w:szCs w:val="24"/>
          <w:u w:color="000000"/>
          <w:bdr w:val="nil"/>
        </w:rPr>
        <w:t>r till på flera viktiga områden. Utöver de tillskott som finansieras inom NextGenerationEU är det därför nödvändigt att andra program också byggs ut så att de verkligen kan bidra till att göra EU mer resilient och åtgärda de utmaningar som har förstärkts a</w:t>
      </w:r>
      <w:r>
        <w:rPr>
          <w:noProof/>
          <w:color w:val="000000"/>
          <w:szCs w:val="24"/>
          <w:u w:color="000000"/>
          <w:bdr w:val="nil"/>
        </w:rPr>
        <w:t xml:space="preserve">v pandemin och dess följdverkningar. </w:t>
      </w:r>
    </w:p>
    <w:p w:rsidR="00B32DA9" w:rsidRDefault="008D43B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Det rör sig om bl.a. följande: </w:t>
      </w:r>
    </w:p>
    <w:p w:rsidR="00B32DA9" w:rsidRDefault="008D43B3">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u w:color="000000"/>
          <w:bdr w:val="nil"/>
        </w:rPr>
        <w:t xml:space="preserve">Stärka unionens cyberförsvar och stödja den digitala omställningen genom att </w:t>
      </w:r>
      <w:r>
        <w:rPr>
          <w:rFonts w:ascii="Times New Roman" w:hAnsi="Times New Roman"/>
          <w:b/>
          <w:noProof/>
          <w:color w:val="000000"/>
          <w:sz w:val="24"/>
          <w:szCs w:val="24"/>
          <w:u w:color="000000"/>
          <w:bdr w:val="nil"/>
        </w:rPr>
        <w:t>programmet för ett digitalt Europa</w:t>
      </w:r>
      <w:r>
        <w:rPr>
          <w:rFonts w:ascii="Times New Roman" w:hAnsi="Times New Roman"/>
          <w:noProof/>
          <w:color w:val="000000"/>
          <w:sz w:val="24"/>
          <w:szCs w:val="24"/>
          <w:u w:color="000000"/>
          <w:bdr w:val="nil"/>
        </w:rPr>
        <w:t xml:space="preserve"> får en total budget på 8,2 miljarder euro.</w:t>
      </w:r>
    </w:p>
    <w:p w:rsidR="00B32DA9" w:rsidRDefault="008D43B3">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u w:color="000000"/>
          <w:bdr w:val="nil"/>
        </w:rPr>
        <w:t xml:space="preserve">Investera i modern, högeffektiv transportinfrastruktur för att underlätta gränsöverskridande förbindelser, t.ex. Rail Baltica, genom tillskott på 1,5 miljarder euro till </w:t>
      </w:r>
      <w:r>
        <w:rPr>
          <w:rFonts w:ascii="Times New Roman" w:hAnsi="Times New Roman"/>
          <w:b/>
          <w:noProof/>
          <w:color w:val="000000"/>
          <w:sz w:val="24"/>
          <w:szCs w:val="24"/>
          <w:u w:color="000000"/>
          <w:bdr w:val="nil"/>
        </w:rPr>
        <w:t>Fonden för ett sammanlänkat Europa</w:t>
      </w:r>
      <w:r>
        <w:rPr>
          <w:rFonts w:ascii="Times New Roman" w:hAnsi="Times New Roman"/>
          <w:noProof/>
          <w:color w:val="000000"/>
          <w:sz w:val="24"/>
          <w:szCs w:val="24"/>
          <w:u w:color="000000"/>
          <w:bdr w:val="nil"/>
        </w:rPr>
        <w:t>.</w:t>
      </w:r>
    </w:p>
    <w:p w:rsidR="00B32DA9" w:rsidRDefault="008D43B3">
      <w:pPr>
        <w:pStyle w:val="ListParagraph"/>
        <w:numPr>
          <w:ilvl w:val="0"/>
          <w:numId w:val="41"/>
        </w:numPr>
        <w:pBdr>
          <w:top w:val="nil"/>
          <w:left w:val="nil"/>
          <w:bottom w:val="nil"/>
          <w:right w:val="nil"/>
          <w:between w:val="nil"/>
          <w:bar w:val="nil"/>
        </w:pBdr>
        <w:spacing w:before="120" w:after="120" w:line="240" w:lineRule="auto"/>
        <w:contextualSpacing w:val="0"/>
        <w:rPr>
          <w:rFonts w:eastAsia="Arial Unicode MS" w:cs="Arial Unicode MS"/>
          <w:noProof/>
          <w:color w:val="000000"/>
          <w:szCs w:val="24"/>
          <w:u w:color="000000"/>
          <w:bdr w:val="nil"/>
        </w:rPr>
      </w:pPr>
      <w:r>
        <w:rPr>
          <w:rFonts w:ascii="Times New Roman" w:hAnsi="Times New Roman"/>
          <w:noProof/>
          <w:color w:val="000000"/>
          <w:sz w:val="24"/>
          <w:szCs w:val="24"/>
          <w:u w:color="000000"/>
          <w:bdr w:val="nil"/>
        </w:rPr>
        <w:t>Skapa förutsättningar för en välfungerande inre ma</w:t>
      </w:r>
      <w:r>
        <w:rPr>
          <w:rFonts w:ascii="Times New Roman" w:hAnsi="Times New Roman"/>
          <w:noProof/>
          <w:color w:val="000000"/>
          <w:sz w:val="24"/>
          <w:szCs w:val="24"/>
          <w:u w:color="000000"/>
          <w:bdr w:val="nil"/>
        </w:rPr>
        <w:t xml:space="preserve">rknad som motor i återhämtningen genom att behålla de föreslagna budgetarna för </w:t>
      </w:r>
      <w:r>
        <w:rPr>
          <w:rFonts w:ascii="Times New Roman" w:hAnsi="Times New Roman"/>
          <w:b/>
          <w:noProof/>
          <w:color w:val="000000"/>
          <w:sz w:val="24"/>
          <w:szCs w:val="24"/>
          <w:u w:color="000000"/>
          <w:bdr w:val="nil"/>
        </w:rPr>
        <w:t>programmet för den inre marknaden</w:t>
      </w:r>
      <w:r>
        <w:rPr>
          <w:rFonts w:ascii="Times New Roman" w:hAnsi="Times New Roman"/>
          <w:noProof/>
          <w:color w:val="000000"/>
          <w:sz w:val="24"/>
          <w:szCs w:val="24"/>
          <w:u w:color="000000"/>
          <w:bdr w:val="nil"/>
        </w:rPr>
        <w:t xml:space="preserve"> och programmen till stöd för </w:t>
      </w:r>
      <w:r>
        <w:rPr>
          <w:rFonts w:ascii="Times New Roman" w:hAnsi="Times New Roman"/>
          <w:b/>
          <w:noProof/>
          <w:color w:val="000000"/>
          <w:sz w:val="24"/>
          <w:szCs w:val="24"/>
          <w:u w:color="000000"/>
          <w:bdr w:val="nil"/>
        </w:rPr>
        <w:t>samarbete på skatte- och tullområdet</w:t>
      </w:r>
      <w:r>
        <w:rPr>
          <w:rFonts w:ascii="Times New Roman" w:hAnsi="Times New Roman"/>
          <w:noProof/>
          <w:color w:val="000000"/>
          <w:sz w:val="24"/>
          <w:szCs w:val="24"/>
          <w:u w:color="000000"/>
          <w:bdr w:val="nil"/>
        </w:rPr>
        <w:t xml:space="preserve"> med 3,7 miljarder euro, 239 miljoner euro respektive 843 miljoner euro.</w:t>
      </w:r>
    </w:p>
    <w:p w:rsidR="00B32DA9" w:rsidRDefault="008D43B3">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u w:color="000000"/>
          <w:bdr w:val="nil"/>
        </w:rPr>
        <w:t>Inve</w:t>
      </w:r>
      <w:r>
        <w:rPr>
          <w:rFonts w:ascii="Times New Roman" w:hAnsi="Times New Roman"/>
          <w:noProof/>
          <w:color w:val="000000"/>
          <w:sz w:val="24"/>
          <w:szCs w:val="24"/>
          <w:u w:color="000000"/>
          <w:bdr w:val="nil"/>
        </w:rPr>
        <w:t xml:space="preserve">stera i ungdomar genom ytterligare 3,4 miljarder euro till </w:t>
      </w:r>
      <w:r>
        <w:rPr>
          <w:rFonts w:ascii="Times New Roman" w:hAnsi="Times New Roman"/>
          <w:b/>
          <w:bCs/>
          <w:noProof/>
          <w:color w:val="000000"/>
          <w:sz w:val="24"/>
          <w:szCs w:val="24"/>
          <w:u w:color="000000"/>
          <w:bdr w:val="nil"/>
        </w:rPr>
        <w:t>Erasmus+</w:t>
      </w:r>
      <w:r>
        <w:rPr>
          <w:rFonts w:ascii="Times New Roman" w:hAnsi="Times New Roman"/>
          <w:noProof/>
          <w:color w:val="000000"/>
          <w:sz w:val="24"/>
          <w:szCs w:val="24"/>
          <w:u w:color="000000"/>
          <w:bdr w:val="nil"/>
        </w:rPr>
        <w:t xml:space="preserve">, vilket totalt blir 24,6 miljarder euro, och i de kulturella och kreativa branscherna genom tillskott till </w:t>
      </w:r>
      <w:r>
        <w:rPr>
          <w:rFonts w:ascii="Times New Roman" w:hAnsi="Times New Roman"/>
          <w:b/>
          <w:bCs/>
          <w:noProof/>
          <w:color w:val="000000"/>
          <w:sz w:val="24"/>
          <w:szCs w:val="24"/>
          <w:u w:color="000000"/>
          <w:bdr w:val="nil"/>
        </w:rPr>
        <w:t>Kreativa Europa</w:t>
      </w:r>
      <w:r>
        <w:rPr>
          <w:rFonts w:ascii="Times New Roman" w:hAnsi="Times New Roman"/>
          <w:noProof/>
          <w:color w:val="000000"/>
          <w:sz w:val="24"/>
          <w:szCs w:val="24"/>
          <w:u w:color="000000"/>
          <w:bdr w:val="nil"/>
        </w:rPr>
        <w:t xml:space="preserve"> så att budgeten blir 1,5 miljarder euro.</w:t>
      </w:r>
    </w:p>
    <w:p w:rsidR="00B32DA9" w:rsidRDefault="008D43B3">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u w:color="000000"/>
          <w:bdr w:val="nil"/>
        </w:rPr>
        <w:t>Stärka jordbrukets och f</w:t>
      </w:r>
      <w:r>
        <w:rPr>
          <w:rFonts w:ascii="Times New Roman" w:hAnsi="Times New Roman"/>
          <w:noProof/>
          <w:color w:val="000000"/>
          <w:sz w:val="24"/>
          <w:szCs w:val="24"/>
          <w:u w:color="000000"/>
          <w:bdr w:val="nil"/>
        </w:rPr>
        <w:t xml:space="preserve">iskets resiliens och ge krishanteringen inom jordbruket den kapacitet som behövs genom ytterligare 4 miljarder euro till den </w:t>
      </w:r>
      <w:r>
        <w:rPr>
          <w:rFonts w:ascii="Times New Roman" w:hAnsi="Times New Roman"/>
          <w:b/>
          <w:bCs/>
          <w:noProof/>
          <w:color w:val="000000"/>
          <w:sz w:val="24"/>
          <w:szCs w:val="24"/>
          <w:u w:color="000000"/>
          <w:bdr w:val="nil"/>
        </w:rPr>
        <w:t>gemensamma jordbrukspolitiken</w:t>
      </w:r>
      <w:r>
        <w:rPr>
          <w:rFonts w:ascii="Times New Roman" w:hAnsi="Times New Roman"/>
          <w:noProof/>
          <w:color w:val="000000"/>
          <w:sz w:val="24"/>
          <w:szCs w:val="24"/>
          <w:u w:color="000000"/>
          <w:bdr w:val="nil"/>
        </w:rPr>
        <w:t xml:space="preserve"> och 500 miljoner euro till </w:t>
      </w:r>
      <w:r>
        <w:rPr>
          <w:rFonts w:ascii="Times New Roman" w:hAnsi="Times New Roman"/>
          <w:b/>
          <w:bCs/>
          <w:noProof/>
          <w:color w:val="000000"/>
          <w:sz w:val="24"/>
          <w:szCs w:val="24"/>
          <w:u w:color="000000"/>
          <w:bdr w:val="nil"/>
        </w:rPr>
        <w:t>Europeiska havs- och fiskerifonden</w:t>
      </w:r>
      <w:r>
        <w:rPr>
          <w:rFonts w:ascii="Times New Roman" w:hAnsi="Times New Roman"/>
          <w:noProof/>
          <w:color w:val="000000"/>
          <w:sz w:val="24"/>
          <w:szCs w:val="24"/>
          <w:u w:color="000000"/>
          <w:bdr w:val="nil"/>
        </w:rPr>
        <w:t>.</w:t>
      </w:r>
    </w:p>
    <w:p w:rsidR="00B32DA9" w:rsidRDefault="008D43B3">
      <w:pPr>
        <w:pStyle w:val="ListParagraph"/>
        <w:numPr>
          <w:ilvl w:val="0"/>
          <w:numId w:val="41"/>
        </w:numPr>
        <w:pBdr>
          <w:top w:val="nil"/>
          <w:left w:val="nil"/>
          <w:bottom w:val="nil"/>
          <w:right w:val="nil"/>
          <w:between w:val="nil"/>
          <w:bar w:val="nil"/>
        </w:pBdr>
        <w:spacing w:before="120" w:after="120" w:line="240" w:lineRule="auto"/>
        <w:contextualSpacing w:val="0"/>
        <w:rPr>
          <w:rFonts w:eastAsia="Arial Unicode MS" w:cs="Arial Unicode MS"/>
          <w:noProof/>
          <w:color w:val="000000"/>
          <w:szCs w:val="24"/>
          <w:u w:color="000000"/>
          <w:bdr w:val="nil"/>
        </w:rPr>
      </w:pPr>
      <w:r>
        <w:rPr>
          <w:rFonts w:ascii="Times New Roman" w:hAnsi="Times New Roman"/>
          <w:noProof/>
          <w:color w:val="000000"/>
          <w:sz w:val="24"/>
          <w:szCs w:val="24"/>
          <w:u w:color="000000"/>
          <w:bdr w:val="nil"/>
        </w:rPr>
        <w:t>Stärka samarbetet om de yttre gränsern</w:t>
      </w:r>
      <w:r>
        <w:rPr>
          <w:rFonts w:ascii="Times New Roman" w:hAnsi="Times New Roman"/>
          <w:noProof/>
          <w:color w:val="000000"/>
          <w:sz w:val="24"/>
          <w:szCs w:val="24"/>
          <w:u w:color="000000"/>
          <w:bdr w:val="nil"/>
        </w:rPr>
        <w:t xml:space="preserve">a samt migrations- och asylpolitiken genom tillskott till </w:t>
      </w:r>
      <w:r>
        <w:rPr>
          <w:rFonts w:ascii="Times New Roman" w:hAnsi="Times New Roman"/>
          <w:b/>
          <w:noProof/>
          <w:color w:val="000000"/>
          <w:sz w:val="24"/>
          <w:szCs w:val="24"/>
          <w:u w:color="000000"/>
          <w:bdr w:val="nil"/>
        </w:rPr>
        <w:t>asyl- och migrationsfonden</w:t>
      </w:r>
      <w:r>
        <w:rPr>
          <w:rFonts w:ascii="Times New Roman" w:hAnsi="Times New Roman"/>
          <w:noProof/>
          <w:color w:val="000000"/>
          <w:sz w:val="24"/>
          <w:szCs w:val="24"/>
          <w:u w:color="000000"/>
          <w:bdr w:val="nil"/>
        </w:rPr>
        <w:t xml:space="preserve"> och </w:t>
      </w:r>
      <w:r>
        <w:rPr>
          <w:rFonts w:ascii="Times New Roman" w:hAnsi="Times New Roman"/>
          <w:b/>
          <w:noProof/>
          <w:color w:val="000000"/>
          <w:sz w:val="24"/>
          <w:szCs w:val="24"/>
          <w:u w:color="000000"/>
          <w:bdr w:val="nil"/>
        </w:rPr>
        <w:t>fonden för integrerad gränsförvaltning</w:t>
      </w:r>
      <w:r>
        <w:rPr>
          <w:rFonts w:ascii="Times New Roman" w:hAnsi="Times New Roman"/>
          <w:noProof/>
          <w:color w:val="000000"/>
          <w:sz w:val="24"/>
          <w:szCs w:val="24"/>
          <w:u w:color="000000"/>
          <w:bdr w:val="nil"/>
        </w:rPr>
        <w:t xml:space="preserve"> så att anslagen totalt blir 22 miljarder euro.</w:t>
      </w:r>
    </w:p>
    <w:p w:rsidR="00B32DA9" w:rsidRDefault="008D43B3">
      <w:pPr>
        <w:pStyle w:val="ListParagraph"/>
        <w:numPr>
          <w:ilvl w:val="0"/>
          <w:numId w:val="41"/>
        </w:numPr>
        <w:pBdr>
          <w:top w:val="nil"/>
          <w:left w:val="nil"/>
          <w:bottom w:val="nil"/>
          <w:right w:val="nil"/>
          <w:between w:val="nil"/>
          <w:bar w:val="nil"/>
        </w:pBdr>
        <w:spacing w:before="120" w:after="120" w:line="240" w:lineRule="auto"/>
        <w:contextualSpacing w:val="0"/>
        <w:rPr>
          <w:rFonts w:ascii="Times New Roman" w:eastAsia="Arial Unicode MS" w:hAnsi="Times New Roman" w:cs="Times New Roman"/>
          <w:noProof/>
          <w:color w:val="000000"/>
          <w:sz w:val="24"/>
          <w:szCs w:val="24"/>
          <w:u w:color="000000"/>
          <w:bdr w:val="nil"/>
        </w:rPr>
      </w:pPr>
      <w:r>
        <w:rPr>
          <w:rFonts w:ascii="Times New Roman" w:hAnsi="Times New Roman"/>
          <w:noProof/>
          <w:color w:val="000000"/>
          <w:sz w:val="24"/>
          <w:szCs w:val="24"/>
        </w:rPr>
        <w:t>Säkerställa ett starkt stöd för europeisk strategisk självständighet och säkerhet</w:t>
      </w:r>
      <w:r>
        <w:rPr>
          <w:rFonts w:ascii="Times New Roman" w:hAnsi="Times New Roman"/>
          <w:noProof/>
          <w:color w:val="000000"/>
          <w:sz w:val="24"/>
          <w:szCs w:val="24"/>
        </w:rPr>
        <w:t xml:space="preserve"> genom att </w:t>
      </w:r>
      <w:r>
        <w:rPr>
          <w:rFonts w:ascii="Times New Roman" w:hAnsi="Times New Roman"/>
          <w:b/>
          <w:bCs/>
          <w:noProof/>
          <w:color w:val="000000"/>
          <w:sz w:val="24"/>
          <w:szCs w:val="24"/>
        </w:rPr>
        <w:t>Fonden för inre säkerhet</w:t>
      </w:r>
      <w:r>
        <w:rPr>
          <w:rFonts w:ascii="Times New Roman" w:hAnsi="Times New Roman"/>
          <w:noProof/>
          <w:color w:val="000000"/>
          <w:sz w:val="24"/>
          <w:szCs w:val="24"/>
        </w:rPr>
        <w:t xml:space="preserve"> ökas till 2,2 miljarder euro och </w:t>
      </w:r>
      <w:r>
        <w:rPr>
          <w:rFonts w:ascii="Times New Roman" w:hAnsi="Times New Roman"/>
          <w:b/>
          <w:bCs/>
          <w:noProof/>
          <w:color w:val="000000"/>
          <w:sz w:val="24"/>
          <w:szCs w:val="24"/>
        </w:rPr>
        <w:t>Europeiska försvarsfonden</w:t>
      </w:r>
      <w:r>
        <w:rPr>
          <w:rFonts w:ascii="Times New Roman" w:hAnsi="Times New Roman"/>
          <w:noProof/>
          <w:color w:val="000000"/>
          <w:sz w:val="24"/>
          <w:szCs w:val="24"/>
        </w:rPr>
        <w:t xml:space="preserve"> höjs till 8 miljarder euro.</w:t>
      </w:r>
    </w:p>
    <w:p w:rsidR="00B32DA9" w:rsidRDefault="008D43B3">
      <w:pPr>
        <w:pStyle w:val="ListParagraph"/>
        <w:numPr>
          <w:ilvl w:val="0"/>
          <w:numId w:val="41"/>
        </w:numPr>
        <w:pBdr>
          <w:top w:val="nil"/>
          <w:left w:val="nil"/>
          <w:bottom w:val="nil"/>
          <w:right w:val="nil"/>
          <w:between w:val="nil"/>
          <w:bar w:val="nil"/>
        </w:pBdr>
        <w:spacing w:before="120" w:after="120" w:line="240" w:lineRule="auto"/>
        <w:contextualSpacing w:val="0"/>
        <w:rPr>
          <w:rFonts w:eastAsia="Arial Unicode MS" w:cs="Arial Unicode MS"/>
          <w:noProof/>
          <w:color w:val="000000"/>
          <w:szCs w:val="24"/>
          <w:u w:color="000000"/>
          <w:bdr w:val="nil"/>
        </w:rPr>
      </w:pPr>
      <w:r>
        <w:rPr>
          <w:rFonts w:ascii="Times New Roman" w:hAnsi="Times New Roman"/>
          <w:noProof/>
          <w:color w:val="000000"/>
          <w:sz w:val="24"/>
          <w:szCs w:val="24"/>
          <w:u w:color="000000"/>
          <w:bdr w:val="nil"/>
        </w:rPr>
        <w:t xml:space="preserve">Stödja våra partner på västra Balkan genom att EU:s </w:t>
      </w:r>
      <w:r>
        <w:rPr>
          <w:rFonts w:ascii="Times New Roman" w:hAnsi="Times New Roman"/>
          <w:b/>
          <w:bCs/>
          <w:noProof/>
          <w:color w:val="000000"/>
          <w:sz w:val="24"/>
          <w:szCs w:val="24"/>
          <w:u w:color="000000"/>
          <w:bdr w:val="nil"/>
        </w:rPr>
        <w:t>föranslutningsstöd</w:t>
      </w:r>
      <w:r>
        <w:rPr>
          <w:rFonts w:ascii="Times New Roman" w:hAnsi="Times New Roman"/>
          <w:noProof/>
          <w:color w:val="000000"/>
          <w:sz w:val="24"/>
          <w:szCs w:val="24"/>
          <w:u w:color="000000"/>
          <w:bdr w:val="nil"/>
        </w:rPr>
        <w:t xml:space="preserve"> höjs till 12,9 miljarder euro.</w:t>
      </w:r>
    </w:p>
    <w:p w:rsidR="00B32DA9" w:rsidRDefault="008D43B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Med dessa riktade justeringar </w:t>
      </w:r>
      <w:r>
        <w:rPr>
          <w:noProof/>
          <w:color w:val="000000"/>
          <w:szCs w:val="24"/>
          <w:u w:color="000000"/>
          <w:bdr w:val="nil"/>
        </w:rPr>
        <w:t>får EU en långsiktig budgetram som är bättre anpassad till EU:s prioriteringar och ambitionsnivå och är skräddarsydd för att bygga upp EU:s resiliens och strategiska självständighet på medellång och lång sikt. Kommissionen föreslår därför riktade ändringar</w:t>
      </w:r>
      <w:r>
        <w:rPr>
          <w:noProof/>
          <w:color w:val="000000"/>
          <w:szCs w:val="24"/>
          <w:u w:color="000000"/>
          <w:bdr w:val="nil"/>
        </w:rPr>
        <w:t xml:space="preserve"> i förslaget från 2018 till nästa budgetram, där resultaten av förhandlingarna hittills ingår, liksom kommissionens förslag till en mekanism för rättvis omställning</w:t>
      </w:r>
      <w:r>
        <w:rPr>
          <w:rStyle w:val="FootnoteReference"/>
          <w:noProof/>
        </w:rPr>
        <w:footnoteReference w:id="9"/>
      </w:r>
      <w:r>
        <w:rPr>
          <w:noProof/>
        </w:rPr>
        <w:t xml:space="preserve"> </w:t>
      </w:r>
      <w:r>
        <w:rPr>
          <w:noProof/>
          <w:color w:val="000000"/>
          <w:szCs w:val="24"/>
          <w:u w:color="000000"/>
          <w:bdr w:val="nil"/>
        </w:rPr>
        <w:t>och de medelstillskott som nämns ovan</w:t>
      </w:r>
      <w:r>
        <w:rPr>
          <w:noProof/>
        </w:rPr>
        <w:t>.</w:t>
      </w:r>
      <w:r>
        <w:rPr>
          <w:noProof/>
          <w:color w:val="000000"/>
          <w:szCs w:val="24"/>
          <w:u w:color="000000"/>
          <w:bdr w:val="nil"/>
        </w:rPr>
        <w:t xml:space="preserve"> En fullständig översikt över den fleråriga budgetra</w:t>
      </w:r>
      <w:r>
        <w:rPr>
          <w:noProof/>
          <w:color w:val="000000"/>
          <w:szCs w:val="24"/>
          <w:u w:color="000000"/>
          <w:bdr w:val="nil"/>
        </w:rPr>
        <w:t>men, program för program, inklusive NextGenerationEU, finns i bilagan.</w:t>
      </w:r>
    </w:p>
    <w:p w:rsidR="00B32DA9" w:rsidRDefault="008D43B3">
      <w:pPr>
        <w:pStyle w:val="ListParagraph"/>
        <w:keepNext/>
        <w:numPr>
          <w:ilvl w:val="0"/>
          <w:numId w:val="31"/>
        </w:numPr>
        <w:spacing w:before="120" w:after="120"/>
        <w:ind w:left="777" w:hanging="357"/>
        <w:rPr>
          <w:rFonts w:ascii="Times New Roman" w:eastAsia="Arial Unicode MS" w:hAnsi="Times New Roman" w:cs="Times New Roman"/>
          <w:b/>
          <w:i/>
          <w:noProof/>
          <w:color w:val="000000"/>
          <w:sz w:val="24"/>
          <w:szCs w:val="24"/>
          <w:u w:color="000000"/>
          <w:bdr w:val="nil"/>
        </w:rPr>
      </w:pPr>
      <w:r>
        <w:rPr>
          <w:rFonts w:ascii="Times New Roman" w:hAnsi="Times New Roman"/>
          <w:b/>
          <w:i/>
          <w:noProof/>
          <w:color w:val="000000"/>
          <w:sz w:val="24"/>
          <w:szCs w:val="24"/>
          <w:u w:color="000000"/>
          <w:bdr w:val="nil"/>
        </w:rPr>
        <w:t>Mer flexibla verktyg för nödsituationer</w:t>
      </w:r>
    </w:p>
    <w:p w:rsidR="00B32DA9" w:rsidRDefault="008D43B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Utöver de enskilda programmen har krisen visat hur viktigt det är att EU kan reagera snabbt och flexibelt för att tillhandahålla ett samordnat eu</w:t>
      </w:r>
      <w:r>
        <w:rPr>
          <w:noProof/>
          <w:color w:val="000000"/>
          <w:szCs w:val="24"/>
          <w:u w:color="000000"/>
          <w:bdr w:val="nil"/>
        </w:rPr>
        <w:t xml:space="preserve">ropeiskt svar. Detta förutsätter i sin tur en mer flexibel EU-budget. De utbredda effekterna av hälsokrisen innebär att den nuvarande budgetens flexibilitet snabbt har uttömts. Det behövs en mer flexibel och smidig budget för framtiden, och det kan endast </w:t>
      </w:r>
      <w:r>
        <w:rPr>
          <w:noProof/>
          <w:color w:val="000000"/>
          <w:szCs w:val="24"/>
          <w:u w:color="000000"/>
          <w:bdr w:val="nil"/>
        </w:rPr>
        <w:t>uppnås genom väl utformade särskilda instrument.</w:t>
      </w:r>
    </w:p>
    <w:p w:rsidR="00B32DA9" w:rsidRDefault="008D43B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Kommissionen föreslår därför en förstärkning av sådana flexibilitets- och nödverktyg som kan mobilisera resurser i tillräcklig skala för att hantera oförutsedda utmaningar, t.ex. </w:t>
      </w:r>
      <w:r>
        <w:rPr>
          <w:b/>
          <w:noProof/>
          <w:color w:val="000000"/>
          <w:szCs w:val="24"/>
          <w:u w:color="000000"/>
          <w:bdr w:val="nil"/>
        </w:rPr>
        <w:t>EU:s solidaritetsfond</w:t>
      </w:r>
      <w:r>
        <w:rPr>
          <w:noProof/>
          <w:color w:val="000000"/>
          <w:szCs w:val="24"/>
          <w:u w:color="000000"/>
          <w:bdr w:val="nil"/>
        </w:rPr>
        <w:t xml:space="preserve"> som ger stöd till medlemsstater och regioner som drabbats av storskaliga katastrofer och </w:t>
      </w:r>
      <w:r>
        <w:rPr>
          <w:b/>
          <w:noProof/>
          <w:color w:val="000000"/>
          <w:szCs w:val="24"/>
          <w:u w:color="000000"/>
          <w:bdr w:val="nil"/>
        </w:rPr>
        <w:t>Europeiska fonden för justering för globaliseringseffekter</w:t>
      </w:r>
      <w:r>
        <w:rPr>
          <w:noProof/>
          <w:color w:val="000000"/>
          <w:szCs w:val="24"/>
          <w:u w:color="000000"/>
          <w:bdr w:val="nil"/>
        </w:rPr>
        <w:t xml:space="preserve"> som stöder arbetstagare som förlorar jobbet på grund av stora omstruktureringar.</w:t>
      </w:r>
    </w:p>
    <w:p w:rsidR="00B32DA9" w:rsidRDefault="008D43B3">
      <w:pPr>
        <w:pBdr>
          <w:top w:val="nil"/>
          <w:left w:val="nil"/>
          <w:bottom w:val="nil"/>
          <w:right w:val="nil"/>
          <w:between w:val="nil"/>
          <w:bar w:val="nil"/>
        </w:pBdr>
        <w:spacing w:before="120" w:after="120"/>
        <w:rPr>
          <w:rFonts w:eastAsia="Arial Unicode MS" w:cs="Arial Unicode MS"/>
          <w:noProof/>
          <w:color w:val="000000"/>
          <w:szCs w:val="24"/>
          <w:u w:color="000000"/>
          <w:bdr w:val="nil"/>
        </w:rPr>
      </w:pPr>
      <w:r>
        <w:rPr>
          <w:noProof/>
          <w:color w:val="000000"/>
          <w:szCs w:val="24"/>
          <w:u w:color="000000"/>
          <w:bdr w:val="nil"/>
        </w:rPr>
        <w:t xml:space="preserve">En betydligt utökad </w:t>
      </w:r>
      <w:r>
        <w:rPr>
          <w:b/>
          <w:noProof/>
          <w:color w:val="000000"/>
          <w:szCs w:val="24"/>
          <w:u w:color="000000"/>
          <w:bdr w:val="nil"/>
        </w:rPr>
        <w:t>reserv</w:t>
      </w:r>
      <w:r>
        <w:rPr>
          <w:b/>
          <w:noProof/>
          <w:color w:val="000000"/>
          <w:szCs w:val="24"/>
          <w:u w:color="000000"/>
          <w:bdr w:val="nil"/>
        </w:rPr>
        <w:t xml:space="preserve"> för solidaritet och katastrofbistånd</w:t>
      </w:r>
      <w:r>
        <w:rPr>
          <w:noProof/>
          <w:color w:val="000000"/>
          <w:szCs w:val="24"/>
          <w:u w:color="000000"/>
          <w:bdr w:val="nil"/>
        </w:rPr>
        <w:t xml:space="preserve"> stärker EU:s insatser för att hantera alla aspekter av hälsokrisen, liksom andra slags nödsituationer. Medlen kan kanaliseras för att tillhandahålla krisstöd när det behövs genom EU-instrument som humanitärt bistånd, i</w:t>
      </w:r>
      <w:r>
        <w:rPr>
          <w:noProof/>
          <w:color w:val="000000"/>
          <w:szCs w:val="24"/>
          <w:u w:color="000000"/>
          <w:bdr w:val="nil"/>
        </w:rPr>
        <w:t>nstrumentet för krisstöd, programmet för den inre marknaden med dess veterinära och fytosanitära åtgärder samt asyl- och migrationsfonden.</w:t>
      </w:r>
    </w:p>
    <w:p w:rsidR="00B32DA9" w:rsidRDefault="008D43B3">
      <w:pPr>
        <w:pBdr>
          <w:top w:val="nil"/>
          <w:left w:val="nil"/>
          <w:bottom w:val="nil"/>
          <w:right w:val="nil"/>
          <w:between w:val="nil"/>
          <w:bar w:val="nil"/>
        </w:pBdr>
        <w:spacing w:before="120" w:after="120"/>
        <w:rPr>
          <w:rFonts w:eastAsia="Arial Unicode MS"/>
          <w:noProof/>
          <w:szCs w:val="24"/>
          <w:u w:color="000000"/>
          <w:bdr w:val="nil"/>
        </w:rPr>
      </w:pPr>
      <w:r>
        <w:rPr>
          <w:noProof/>
          <w:szCs w:val="24"/>
          <w:u w:color="000000"/>
          <w:bdr w:val="nil"/>
        </w:rPr>
        <w:t>Tillsammans kan dessa instrument tillhandahålla upp till 21 miljarder euro i ytterligare nödfinansiering under period</w:t>
      </w:r>
      <w:r>
        <w:rPr>
          <w:noProof/>
          <w:szCs w:val="24"/>
          <w:u w:color="000000"/>
          <w:bdr w:val="nil"/>
        </w:rPr>
        <w:t>en 2021–2027, jämfört med kommissionens förslag från den 2 maj 2018.</w:t>
      </w:r>
    </w:p>
    <w:p w:rsidR="00B32DA9" w:rsidRDefault="00B32DA9">
      <w:pPr>
        <w:pBdr>
          <w:top w:val="nil"/>
          <w:left w:val="nil"/>
          <w:bottom w:val="nil"/>
          <w:right w:val="nil"/>
          <w:between w:val="nil"/>
          <w:bar w:val="nil"/>
        </w:pBdr>
        <w:spacing w:before="120" w:after="120"/>
        <w:rPr>
          <w:rFonts w:eastAsia="Arial Unicode MS"/>
          <w:noProof/>
          <w:szCs w:val="24"/>
          <w:u w:color="000000"/>
          <w:bdr w:val="nil"/>
          <w:lang w:eastAsia="fr-BE"/>
        </w:rPr>
      </w:pPr>
    </w:p>
    <w:p w:rsidR="00B32DA9" w:rsidRDefault="008D43B3">
      <w:pPr>
        <w:pBdr>
          <w:top w:val="nil"/>
          <w:left w:val="nil"/>
          <w:bottom w:val="nil"/>
          <w:right w:val="nil"/>
          <w:between w:val="nil"/>
          <w:bar w:val="nil"/>
        </w:pBdr>
        <w:spacing w:before="120" w:after="120"/>
        <w:rPr>
          <w:rFonts w:eastAsia="Arial Unicode MS"/>
          <w:noProof/>
          <w:szCs w:val="24"/>
          <w:u w:color="000000"/>
          <w:bdr w:val="nil"/>
        </w:rPr>
      </w:pPr>
      <w:r>
        <w:rPr>
          <w:rFonts w:eastAsia="Arial Unicode MS"/>
          <w:noProof/>
          <w:lang w:val="fr-BE" w:eastAsia="fr-BE"/>
        </w:rPr>
        <w:drawing>
          <wp:inline distT="0" distB="0" distL="0" distR="0">
            <wp:extent cx="5759450" cy="3230691"/>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0" cy="3230691"/>
                    </a:xfrm>
                    <a:prstGeom prst="rect">
                      <a:avLst/>
                    </a:prstGeom>
                    <a:noFill/>
                    <a:ln>
                      <a:noFill/>
                    </a:ln>
                  </pic:spPr>
                </pic:pic>
              </a:graphicData>
            </a:graphic>
          </wp:inline>
        </w:drawing>
      </w:r>
    </w:p>
    <w:p w:rsidR="00B32DA9" w:rsidRDefault="008D43B3">
      <w:pPr>
        <w:pStyle w:val="Heading2"/>
        <w:jc w:val="both"/>
      </w:pPr>
      <w:r>
        <w:t xml:space="preserve">Att sätta bollen i rullning: NextGenerationEU </w:t>
      </w:r>
    </w:p>
    <w:p w:rsidR="00B32DA9" w:rsidRDefault="008D43B3">
      <w:pPr>
        <w:pStyle w:val="Text2"/>
        <w:keepLines/>
        <w:spacing w:before="120" w:after="120"/>
        <w:ind w:left="0"/>
        <w:rPr>
          <w:noProof/>
          <w:szCs w:val="24"/>
        </w:rPr>
      </w:pPr>
      <w:r>
        <w:rPr>
          <w:noProof/>
          <w:color w:val="000000"/>
          <w:szCs w:val="24"/>
          <w:u w:color="000000"/>
          <w:bdr w:val="nil"/>
        </w:rPr>
        <w:t xml:space="preserve">Merparten av de föreslagna återhämtningsåtgärderna ska understödjas av ett nytt, tillfälligt återhämtningsinstrument, </w:t>
      </w:r>
      <w:r>
        <w:rPr>
          <w:b/>
          <w:bCs/>
          <w:noProof/>
          <w:color w:val="000000"/>
          <w:szCs w:val="24"/>
          <w:u w:color="000000"/>
          <w:bdr w:val="nil"/>
        </w:rPr>
        <w:t>NextGenerationEU</w:t>
      </w:r>
      <w:r>
        <w:rPr>
          <w:noProof/>
          <w:color w:val="000000"/>
          <w:szCs w:val="24"/>
          <w:u w:color="000000"/>
          <w:bdr w:val="nil"/>
        </w:rPr>
        <w:t xml:space="preserve"> me</w:t>
      </w:r>
      <w:r>
        <w:rPr>
          <w:noProof/>
          <w:color w:val="000000"/>
          <w:szCs w:val="24"/>
          <w:u w:color="000000"/>
          <w:bdr w:val="nil"/>
        </w:rPr>
        <w:t>d en kapacitet på 750 miljarder euro. Instrumentet är en exceptionell och tidsbegränsad nödmekanism. Finansieringen beviljas genom beslutet om egna medel</w:t>
      </w:r>
      <w:r>
        <w:rPr>
          <w:noProof/>
        </w:rPr>
        <w:t>, som låter kommissionen låna upp till 750 miljarder euro på unionens vägnar, för åtgärder under period</w:t>
      </w:r>
      <w:r>
        <w:rPr>
          <w:noProof/>
        </w:rPr>
        <w:t xml:space="preserve">en 2021–2024. </w:t>
      </w:r>
    </w:p>
    <w:p w:rsidR="00B32DA9" w:rsidRDefault="008D43B3">
      <w:pPr>
        <w:pStyle w:val="Text2"/>
        <w:spacing w:before="120" w:after="120"/>
        <w:ind w:left="0"/>
        <w:rPr>
          <w:rFonts w:eastAsia="Arial Unicode MS"/>
          <w:noProof/>
        </w:rPr>
      </w:pPr>
      <w:r>
        <w:rPr>
          <w:noProof/>
        </w:rPr>
        <w:t xml:space="preserve">För att tillhandahålla den budgetkapacitet som krävs för täcka de potentiella skulderna för finansieringen av NextGenerationEU och enligt budgetdisciplinens krav, ska det reviderade beslutet om egna medel innehålla en exceptionell och </w:t>
      </w:r>
      <w:r>
        <w:rPr>
          <w:noProof/>
        </w:rPr>
        <w:t xml:space="preserve">tillfällig höjning av taken för egna medel för åtaganden och betalningar med 0,6 % av EU:s bruttonationalinkomst. Höjningen av taken får endast användas för att tillgodose behoven under covid-19-krisen och är begränsad till den tid som krävs för att täcka </w:t>
      </w:r>
      <w:r>
        <w:rPr>
          <w:noProof/>
        </w:rPr>
        <w:t>dessa skulder.</w:t>
      </w:r>
    </w:p>
    <w:p w:rsidR="00B32DA9" w:rsidRDefault="008D43B3">
      <w:pPr>
        <w:pStyle w:val="Text2"/>
        <w:spacing w:before="120" w:after="120"/>
        <w:ind w:left="0"/>
        <w:rPr>
          <w:rFonts w:eastAsia="Arial Unicode MS" w:cs="Arial Unicode MS"/>
          <w:noProof/>
          <w:color w:val="000000"/>
          <w:szCs w:val="24"/>
          <w:u w:color="000000"/>
          <w:bdr w:val="nil"/>
        </w:rPr>
      </w:pPr>
      <w:r>
        <w:rPr>
          <w:noProof/>
          <w:color w:val="000000"/>
          <w:szCs w:val="24"/>
          <w:u w:color="000000"/>
          <w:bdr w:val="nil"/>
        </w:rPr>
        <w:t>Omfattningen på NextGenerationEU och dess konstruktion återspeglar hur omfattande och brådskande EU:s utmaningar är. Finansieringsbehoven för brådskande investeringar till följd av krisen är unika. Därför är det nödvändigt med ett beslutsamt</w:t>
      </w:r>
      <w:r>
        <w:rPr>
          <w:noProof/>
          <w:color w:val="000000"/>
          <w:szCs w:val="24"/>
          <w:u w:color="000000"/>
          <w:bdr w:val="nil"/>
        </w:rPr>
        <w:t xml:space="preserve"> och extraordinärt svar på EU-nivå. Den här insatsens unika karaktär och exceptionella storlek kräver att de förankras i systemet med egna medel, som godkänns av alla medlemsstater i enlighet med deras konstitutionella bestämmelser.</w:t>
      </w:r>
      <w:r>
        <w:rPr>
          <w:noProof/>
        </w:rPr>
        <w:t xml:space="preserve"> </w:t>
      </w:r>
    </w:p>
    <w:p w:rsidR="00B32DA9" w:rsidRDefault="008D43B3">
      <w:pPr>
        <w:pStyle w:val="Text2"/>
        <w:spacing w:before="120" w:after="120"/>
        <w:ind w:left="0"/>
        <w:rPr>
          <w:rFonts w:eastAsia="Arial Unicode MS" w:cs="Arial Unicode MS"/>
          <w:noProof/>
          <w:color w:val="000000"/>
          <w:szCs w:val="24"/>
          <w:u w:color="000000"/>
          <w:bdr w:val="nil"/>
        </w:rPr>
      </w:pPr>
      <w:r>
        <w:rPr>
          <w:noProof/>
          <w:color w:val="000000"/>
          <w:szCs w:val="24"/>
          <w:u w:color="000000"/>
          <w:bdr w:val="nil"/>
        </w:rPr>
        <w:t>Ytterligare stöd som f</w:t>
      </w:r>
      <w:r>
        <w:rPr>
          <w:noProof/>
          <w:color w:val="000000"/>
          <w:szCs w:val="24"/>
          <w:u w:color="000000"/>
          <w:bdr w:val="nil"/>
        </w:rPr>
        <w:t>inansieras genom ökade nationella bidrag under de omedelbara efterdyningarna av krisen skulle ytterligare öka trycket på de nationella budgetarna. I dessa extraordinära omständigheter är det fullt motiverat att använda en finansieringsmekanism som ger en b</w:t>
      </w:r>
      <w:r>
        <w:rPr>
          <w:noProof/>
          <w:color w:val="000000"/>
          <w:szCs w:val="24"/>
          <w:u w:color="000000"/>
          <w:bdr w:val="nil"/>
        </w:rPr>
        <w:t>etydande och snabb ökning av utgifterna utan att öka den nationella skuldsättningen, som ett uttryck för solidaritet i en omfattning som står i proportion till krisen.</w:t>
      </w:r>
    </w:p>
    <w:p w:rsidR="00B32DA9" w:rsidRDefault="008D43B3">
      <w:pPr>
        <w:pStyle w:val="Text2"/>
        <w:spacing w:before="120" w:after="120"/>
        <w:ind w:left="0"/>
        <w:rPr>
          <w:rFonts w:eastAsia="Arial Unicode MS" w:cs="Arial Unicode MS"/>
          <w:noProof/>
          <w:color w:val="000000"/>
          <w:szCs w:val="24"/>
          <w:u w:color="000000"/>
          <w:bdr w:val="nil"/>
        </w:rPr>
      </w:pPr>
      <w:r>
        <w:rPr>
          <w:noProof/>
          <w:color w:val="000000"/>
          <w:szCs w:val="24"/>
          <w:u w:color="000000"/>
          <w:bdr w:val="nil"/>
        </w:rPr>
        <w:t>Upplåningen bygger på unionens tidigare starka resultat med att använda marknadsbaserade</w:t>
      </w:r>
      <w:r>
        <w:rPr>
          <w:noProof/>
          <w:color w:val="000000"/>
          <w:szCs w:val="24"/>
          <w:u w:color="000000"/>
          <w:bdr w:val="nil"/>
        </w:rPr>
        <w:t xml:space="preserve"> instrument till stöd för investeringar och reformer i medlemsstaterna. </w:t>
      </w:r>
      <w:r>
        <w:rPr>
          <w:noProof/>
        </w:rPr>
        <w:t>Unionen kommer att låna på finansmarknaderna till villkor som återspeglar dess mycket höga kreditvärdighet, och kommer sedan att snabbt styra medlen dit där behövs bäst.</w:t>
      </w:r>
      <w:r>
        <w:rPr>
          <w:noProof/>
          <w:color w:val="000000"/>
          <w:szCs w:val="24"/>
          <w:u w:color="000000"/>
          <w:bdr w:val="nil"/>
        </w:rPr>
        <w:t xml:space="preserve"> </w:t>
      </w:r>
    </w:p>
    <w:p w:rsidR="00B32DA9" w:rsidRDefault="008D43B3">
      <w:pPr>
        <w:pStyle w:val="Text2"/>
        <w:spacing w:before="120" w:after="120"/>
        <w:ind w:left="0"/>
        <w:rPr>
          <w:rFonts w:eastAsia="Arial Unicode MS" w:cs="Arial Unicode MS"/>
          <w:noProof/>
          <w:color w:val="000000"/>
          <w:szCs w:val="24"/>
          <w:u w:color="000000"/>
          <w:bdr w:val="nil"/>
        </w:rPr>
      </w:pPr>
      <w:r>
        <w:rPr>
          <w:noProof/>
        </w:rPr>
        <w:t>Därför tänker</w:t>
      </w:r>
      <w:r>
        <w:rPr>
          <w:noProof/>
        </w:rPr>
        <w:t xml:space="preserve"> kommissionen emittera obligationer med olika löptid på kapitalmarknaderna och på bästa sätt utnyttja marknadernas kapacitet att absorbera sådana obligationer och samtidigt verka för lägsta möjliga genomsnittliga lånekostnad. En sådan diversifierad finansi</w:t>
      </w:r>
      <w:r>
        <w:rPr>
          <w:noProof/>
        </w:rPr>
        <w:t xml:space="preserve">eringsstrategi gör det möjligt för kommissionen att utföra upplåningen på det sätt som är bäst anpassat till insatsens omfattning och den rådande förhållandena på marknaden. </w:t>
      </w:r>
    </w:p>
    <w:p w:rsidR="00B32DA9" w:rsidRDefault="008D43B3">
      <w:pPr>
        <w:pStyle w:val="Text2"/>
        <w:spacing w:before="120" w:after="120"/>
        <w:ind w:left="0"/>
        <w:rPr>
          <w:rFonts w:eastAsia="Arial Unicode MS" w:cs="Arial Unicode MS"/>
          <w:noProof/>
          <w:color w:val="000000"/>
          <w:szCs w:val="24"/>
          <w:u w:color="000000"/>
          <w:bdr w:val="nil"/>
        </w:rPr>
      </w:pPr>
      <w:r>
        <w:rPr>
          <w:noProof/>
          <w:color w:val="000000"/>
          <w:szCs w:val="24"/>
          <w:u w:color="000000"/>
          <w:bdr w:val="nil"/>
        </w:rPr>
        <w:t>Av de medel som leds genom NextGenerationEU ska 500 miljarder euro användas för a</w:t>
      </w:r>
      <w:r>
        <w:rPr>
          <w:noProof/>
          <w:color w:val="000000"/>
          <w:szCs w:val="24"/>
          <w:u w:color="000000"/>
          <w:bdr w:val="nil"/>
        </w:rPr>
        <w:t>tt finansiera bidragsdelen i faciliteten för återhämtning och resiliens och stärka andra centrala kris- och återhämtningsprogram. Återstoden av den finansiering som mobiliserats via instrumentet, 250 miljarder euro, ska göras tillgänglig för medlemsstatern</w:t>
      </w:r>
      <w:r>
        <w:rPr>
          <w:noProof/>
          <w:color w:val="000000"/>
          <w:szCs w:val="24"/>
          <w:u w:color="000000"/>
          <w:bdr w:val="nil"/>
        </w:rPr>
        <w:t xml:space="preserve">a i form av lån inom faciliteten för återhämtning och resiliens. </w:t>
      </w:r>
    </w:p>
    <w:p w:rsidR="00B32DA9" w:rsidRDefault="008D43B3">
      <w:pPr>
        <w:pStyle w:val="Text2"/>
        <w:spacing w:before="120" w:after="120"/>
        <w:ind w:left="0"/>
        <w:rPr>
          <w:rFonts w:eastAsia="Arial Unicode MS"/>
          <w:noProof/>
        </w:rPr>
      </w:pPr>
      <w:r>
        <w:rPr>
          <w:noProof/>
          <w:color w:val="000000"/>
          <w:szCs w:val="24"/>
          <w:u w:color="000000"/>
          <w:bdr w:val="nil"/>
        </w:rPr>
        <w:t xml:space="preserve">De anskaffade medlen ska återbetalas efter 2027 och vara återbetalda senast 2058. </w:t>
      </w:r>
      <w:r>
        <w:rPr>
          <w:noProof/>
        </w:rPr>
        <w:t>Detta bidrar till att avlasta medlemsstaternas budgetar vid en tidpunkt då de offentliga finanserna står und</w:t>
      </w:r>
      <w:r>
        <w:rPr>
          <w:noProof/>
        </w:rPr>
        <w:t>er hård press, samtidigt som man ser till att alla skyldigheter som följer av emissionen fullgörs av framtidens EU-budgetar. För att underlätta återbetalningen av marknadsfinansieringen och ytterligare bidra till att avlasta de nationella budgetarna tänker</w:t>
      </w:r>
      <w:r>
        <w:rPr>
          <w:noProof/>
        </w:rPr>
        <w:t xml:space="preserve"> kommissionen föreslå ytterligare nya egna medel i ett senare skede av finansieringsperioden.</w:t>
      </w:r>
    </w:p>
    <w:p w:rsidR="00B32DA9" w:rsidRDefault="008D43B3">
      <w:pPr>
        <w:pStyle w:val="Text2"/>
        <w:keepNext/>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b/>
          <w:noProof/>
          <w:color w:val="2696D3" w:themeColor="accent1"/>
        </w:rPr>
      </w:pPr>
      <w:r>
        <w:rPr>
          <w:b/>
          <w:noProof/>
          <w:color w:val="2696D3" w:themeColor="accent1"/>
        </w:rPr>
        <w:t>Med blicken mot framtiden: reform av systemet för egna medel</w:t>
      </w:r>
    </w:p>
    <w:p w:rsidR="00B32DA9" w:rsidRDefault="008D43B3">
      <w:pPr>
        <w:pStyle w:val="Text2"/>
        <w:keepLines/>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De nya ekonomiska förhållandena och en hållbar förvaltning av återbetalningen av medel som anskaffats</w:t>
      </w:r>
      <w:r>
        <w:rPr>
          <w:noProof/>
        </w:rPr>
        <w:t xml:space="preserve"> inom NextGenerationEU stärker behovet av en grundlig reform av hur EU:s budget finansieras.</w:t>
      </w:r>
    </w:p>
    <w:p w:rsidR="00B32DA9" w:rsidRDefault="008D43B3">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Kommissionen anser fortfarande att en utfasning av alla rabatter skulle göra den fleråriga budgetramen mer balanserad. Med tanke på de ekonomiska konsekvenserna av</w:t>
      </w:r>
      <w:r>
        <w:rPr>
          <w:noProof/>
        </w:rPr>
        <w:t xml:space="preserve"> covid-19-pandemin skulle dock en utfasning av rabatterna i den aktuella situationen medföra orimliga höjningar av vissa medlemsstaters bidrag under åren 2021–2027. För att undvika detta kan dagens rabatter fasas ut under en mycket längre tid än i kommissi</w:t>
      </w:r>
      <w:r>
        <w:rPr>
          <w:noProof/>
        </w:rPr>
        <w:t xml:space="preserve">onen förslag från 2018. </w:t>
      </w:r>
    </w:p>
    <w:p w:rsidR="00B32DA9" w:rsidRDefault="008D43B3">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Nya egna medel kompletterar de traditionella egna medlen, ett förenklat momsbaserat eget medel och nationella bidrag, samt nya egna medel baserade på icke återvunnet plastförpackningsavfall. De är tänkta att bygga på EU:s prioriter</w:t>
      </w:r>
      <w:r>
        <w:rPr>
          <w:noProof/>
        </w:rPr>
        <w:t xml:space="preserve">ingar och politik mot klimatförändringarna, men också på rättvis beskattning i en globaliserad värld. </w:t>
      </w:r>
    </w:p>
    <w:p w:rsidR="00B32DA9" w:rsidRDefault="008D43B3">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Kommissionen är fast besluten att genomföra den gröna given. Här kan gröna egna medel kunna bidra till återhämtningen och samtidigt stödja den gröna omst</w:t>
      </w:r>
      <w:r>
        <w:rPr>
          <w:noProof/>
        </w:rPr>
        <w:t xml:space="preserve">ällningen i ekonomin och samhället i EU. Några alternativ är egna medel som bygger på systemet för handel med utsläppsrätter, eventuellt utvidgat till att omfatta sjöfart och luftfart, och en mekanism för koldioxidjustering vid gränserna.  </w:t>
      </w:r>
    </w:p>
    <w:p w:rsidR="00B32DA9" w:rsidRDefault="008D43B3">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 xml:space="preserve">Egna medel som </w:t>
      </w:r>
      <w:r>
        <w:rPr>
          <w:noProof/>
        </w:rPr>
        <w:t>bygger på utsläppsrätter, vilket diskuterades vid Europeiska rådets möte i februari 2020, skulle göra det möjligt för medlemsstaterna att behålla lika stora inkomster som de fick från auktioner under den senaste tiden. Alla inkomster från det europeiska sy</w:t>
      </w:r>
      <w:r>
        <w:rPr>
          <w:noProof/>
        </w:rPr>
        <w:t xml:space="preserve">stemet för handel med utsläppsrätter över det taket skulle gå till EU:s budget. Sådana egna medel skulle ge EU:s budget ett tillskott på cirka 10 miljarder euro, beroende på hur koldioxidpriset utvecklas och huruvida systemet utvidgas till andra sektorer. </w:t>
      </w:r>
    </w:p>
    <w:p w:rsidR="00B32DA9" w:rsidRDefault="008D43B3">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Samtidigt är det viktigt att EU-företag kan konkurrera med företag utanför EU på lika villkor. En mekanism för koldioxidjustering vid gränserna skulle bidra till att förebygga koldioxidläckage, vilket motverkar EU:s ansträngningar att ställa om till ett k</w:t>
      </w:r>
      <w:r>
        <w:rPr>
          <w:noProof/>
        </w:rPr>
        <w:t xml:space="preserve">oldioxidneutralt samhälle. En mekanism för koldioxidjustering vid gränserna kan ge ytterligare intäkter på uppskattningsvis 5–14 miljarder euro, beroende på dess tillämpningsområde och utformning. </w:t>
      </w:r>
    </w:p>
    <w:p w:rsidR="00B32DA9" w:rsidRDefault="008D43B3">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 xml:space="preserve">Företagen har enorm nytta av EU:s inre marknad och kommer </w:t>
      </w:r>
      <w:r>
        <w:rPr>
          <w:noProof/>
        </w:rPr>
        <w:t>att överleva krisen, bl.a. tack vare direkt och indirekt EU-stöd och nationellt stöd, och kan bidra till återuppbyggnaden av den inre marknaden under återhämtningen. Man kan här tänka sig egna medel som bygger på företagens verksamhet som beroende på utfor</w:t>
      </w:r>
      <w:r>
        <w:rPr>
          <w:noProof/>
        </w:rPr>
        <w:t xml:space="preserve">mningen kan ta in cirka 10 miljarder euro per år. </w:t>
      </w:r>
    </w:p>
    <w:p w:rsidR="00B32DA9" w:rsidRDefault="008D43B3">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noProof/>
        </w:rPr>
      </w:pPr>
      <w:r>
        <w:rPr>
          <w:noProof/>
        </w:rPr>
        <w:t>En digital skatt kan utgå från OECD:s arbete med bolagsbeskattning av en betydande digital närvaro, och kommissionen stöder aktivt diskussionerna inom OECD och G20 och är redo att agera om ingen global öve</w:t>
      </w:r>
      <w:r>
        <w:rPr>
          <w:noProof/>
        </w:rPr>
        <w:t>renskommelse nås. En digital skatt på företag med en omsättning på över 750 miljoner euro kan dra in upp till 1,3 miljarder euro per år till EU:s budget.</w:t>
      </w:r>
    </w:p>
    <w:p w:rsidR="00B32DA9" w:rsidRDefault="008D43B3">
      <w:pPr>
        <w:pStyle w:val="Text2"/>
        <w:pBdr>
          <w:top w:val="dashSmallGap" w:sz="12" w:space="1" w:color="2696D3" w:themeColor="accent1"/>
          <w:left w:val="dashSmallGap" w:sz="12" w:space="4" w:color="2696D3" w:themeColor="accent1"/>
          <w:bottom w:val="dashSmallGap" w:sz="12" w:space="1" w:color="2696D3" w:themeColor="accent1"/>
          <w:right w:val="dashSmallGap" w:sz="12" w:space="4" w:color="2696D3" w:themeColor="accent1"/>
        </w:pBdr>
        <w:spacing w:before="120" w:after="120"/>
        <w:ind w:left="0"/>
        <w:rPr>
          <w:rFonts w:eastAsia="Arial Unicode MS"/>
          <w:noProof/>
        </w:rPr>
      </w:pPr>
      <w:r>
        <w:rPr>
          <w:noProof/>
        </w:rPr>
        <w:t>Sådana nya egna medel kan bidra till amorteringar av och ränta på den marknadsfinansiering som anskaff</w:t>
      </w:r>
      <w:r>
        <w:rPr>
          <w:noProof/>
        </w:rPr>
        <w:t xml:space="preserve">ats inom NextGenerationEU. Om de införs 2024 kan medlemsstaternas nationella bidrag till den fleråriga budgetramen 2021–2027 minska, räknat som andel av deras ekonomi, jämfört med deras inbetalningar 2020. </w:t>
      </w:r>
    </w:p>
    <w:p w:rsidR="00B32DA9" w:rsidRDefault="008D43B3">
      <w:pPr>
        <w:pStyle w:val="Text2"/>
        <w:spacing w:before="120" w:after="120"/>
        <w:ind w:left="0"/>
        <w:rPr>
          <w:rFonts w:eastAsia="Arial Unicode MS"/>
          <w:noProof/>
        </w:rPr>
      </w:pPr>
      <w:r>
        <w:rPr>
          <w:noProof/>
        </w:rPr>
        <w:t xml:space="preserve">Alla inkomst- och betalningsflöden som bygger på </w:t>
      </w:r>
      <w:r>
        <w:rPr>
          <w:noProof/>
        </w:rPr>
        <w:t xml:space="preserve">NextGenerationEU tillkommer utöver de anslag som tilldelas under det årliga budgetförfarandet </w:t>
      </w:r>
      <w:r>
        <w:rPr>
          <w:noProof/>
          <w:color w:val="000000"/>
          <w:szCs w:val="24"/>
          <w:u w:color="000000"/>
          <w:bdr w:val="nil"/>
        </w:rPr>
        <w:t>och påverkar därför inte att saldot i de offentliga finanserna</w:t>
      </w:r>
      <w:r>
        <w:rPr>
          <w:noProof/>
        </w:rPr>
        <w:t>. Dessa flöden, inklusive ränta, kommer att redovisas tydligt i budgeten för att illustrera deras ti</w:t>
      </w:r>
      <w:r>
        <w:rPr>
          <w:noProof/>
        </w:rPr>
        <w:t>llfälliga och exceptionella karaktär och för att ge full insyn</w:t>
      </w:r>
      <w:r>
        <w:rPr>
          <w:rStyle w:val="FootnoteReference"/>
          <w:rFonts w:eastAsia="Arial Unicode MS"/>
          <w:noProof/>
        </w:rPr>
        <w:footnoteReference w:id="10"/>
      </w:r>
      <w:r>
        <w:rPr>
          <w:noProof/>
        </w:rPr>
        <w:t>.</w:t>
      </w:r>
    </w:p>
    <w:p w:rsidR="00B32DA9" w:rsidRDefault="008D43B3">
      <w:pPr>
        <w:spacing w:before="120" w:after="120"/>
        <w:rPr>
          <w:rFonts w:eastAsia="Arial Unicode MS"/>
          <w:noProof/>
        </w:rPr>
      </w:pPr>
      <w:r>
        <w:rPr>
          <w:noProof/>
        </w:rPr>
        <w:t>De ekonomiska konsekvenserna av coronaviruspandemin visar även hur viktigt det är med tillräckligt budgetutrymme för unionen vid ekonomiska chocker som leder till en minskning av bruttonation</w:t>
      </w:r>
      <w:r>
        <w:rPr>
          <w:noProof/>
        </w:rPr>
        <w:t>alinkomsten. För att bevara en tillräcklig marginal under taken för unionens egna medel för att täcka de ekonomiska skyldigheter och eventualförpliktelser som förfaller tillbetalning under ett givet år, även med den mest ogynnsamma ekonomiska utvecklingen,</w:t>
      </w:r>
      <w:r>
        <w:rPr>
          <w:noProof/>
        </w:rPr>
        <w:t xml:space="preserve"> föreslår kommissionen att taken för egna medel permanent höjs till 1,46 % av EU:s bruttonationalinkomst för åtaganden och till 1,40 % för betalningar. </w:t>
      </w:r>
    </w:p>
    <w:p w:rsidR="00B32DA9" w:rsidRDefault="008D43B3">
      <w:pPr>
        <w:pStyle w:val="Heading2"/>
        <w:ind w:left="357" w:hanging="357"/>
      </w:pPr>
      <w:r>
        <w:t>Slutsatser – vägen till en snabb överenskommelse om en ambitiös budget för den europeiska återhämtninge</w:t>
      </w:r>
      <w:r>
        <w:t>n</w:t>
      </w:r>
    </w:p>
    <w:p w:rsidR="00B32DA9" w:rsidRDefault="008D43B3">
      <w:pPr>
        <w:keepLines/>
        <w:pBdr>
          <w:top w:val="nil"/>
          <w:left w:val="nil"/>
          <w:bottom w:val="nil"/>
          <w:right w:val="nil"/>
          <w:between w:val="nil"/>
          <w:bar w:val="nil"/>
        </w:pBdr>
        <w:spacing w:before="120" w:after="120"/>
        <w:rPr>
          <w:noProof/>
        </w:rPr>
      </w:pPr>
      <w:r>
        <w:rPr>
          <w:noProof/>
        </w:rPr>
        <w:t xml:space="preserve">I denna tid av extraordinära svårigheter och osäkerhet behöver EU mer än någonsin visa sig berett att agera beslutsamt och staka ut vägen mot en bättre morgondag. En överenskommelse </w:t>
      </w:r>
      <w:r>
        <w:rPr>
          <w:b/>
          <w:noProof/>
        </w:rPr>
        <w:t>om en ambitiös återhämtningsplan med EU:s budget i centrum kommer att ge</w:t>
      </w:r>
      <w:r>
        <w:rPr>
          <w:b/>
          <w:noProof/>
        </w:rPr>
        <w:t xml:space="preserve"> EU bästa möjliga förutsättningar för framgång</w:t>
      </w:r>
      <w:r>
        <w:rPr>
          <w:noProof/>
        </w:rPr>
        <w:t>.</w:t>
      </w:r>
    </w:p>
    <w:p w:rsidR="00B32DA9" w:rsidRDefault="008D43B3">
      <w:pPr>
        <w:pBdr>
          <w:top w:val="nil"/>
          <w:left w:val="nil"/>
          <w:bottom w:val="nil"/>
          <w:right w:val="nil"/>
          <w:between w:val="nil"/>
          <w:bar w:val="nil"/>
        </w:pBdr>
        <w:spacing w:before="120" w:after="120"/>
        <w:rPr>
          <w:noProof/>
        </w:rPr>
      </w:pPr>
      <w:r>
        <w:rPr>
          <w:noProof/>
          <w:color w:val="000000"/>
          <w:szCs w:val="24"/>
          <w:u w:color="000000"/>
          <w:bdr w:val="nil"/>
        </w:rPr>
        <w:t>NextGenerationEU ska ta vara på EU-budgetens fulla potential att rivstarta ekonomin</w:t>
      </w:r>
      <w:r>
        <w:rPr>
          <w:noProof/>
        </w:rPr>
        <w:t xml:space="preserve"> och öka EU:s hållbarhet, resiliens och strategiska självständighet. Utgångspunkten är EU:s erfarenheter av att utnyttja mark</w:t>
      </w:r>
      <w:r>
        <w:rPr>
          <w:noProof/>
        </w:rPr>
        <w:t xml:space="preserve">nadsfinansiering, men utökat till den omfattning av stöd som det finns ett akut behov av i dagens situation.  </w:t>
      </w:r>
    </w:p>
    <w:p w:rsidR="00B32DA9" w:rsidRDefault="008D43B3">
      <w:pPr>
        <w:pBdr>
          <w:top w:val="nil"/>
          <w:left w:val="nil"/>
          <w:bottom w:val="nil"/>
          <w:right w:val="nil"/>
          <w:between w:val="nil"/>
          <w:bar w:val="nil"/>
        </w:pBdr>
        <w:spacing w:before="120" w:after="120"/>
        <w:rPr>
          <w:noProof/>
        </w:rPr>
      </w:pPr>
      <w:r>
        <w:rPr>
          <w:noProof/>
        </w:rPr>
        <w:t>En förstärkt flerårig budgetram 2021–2027 blir vägledande för ett EU som går ut ur krisen mot en långsiktig återhämtning, med den nödvändiga fina</w:t>
      </w:r>
      <w:r>
        <w:rPr>
          <w:noProof/>
        </w:rPr>
        <w:t>nsieringen för omedelbara behov och långsiktiga investeringar i den gröna och digitala omställningen.</w:t>
      </w:r>
    </w:p>
    <w:p w:rsidR="00B32DA9" w:rsidRDefault="008D43B3">
      <w:pPr>
        <w:spacing w:before="120" w:after="120"/>
        <w:rPr>
          <w:noProof/>
        </w:rPr>
      </w:pPr>
      <w:r>
        <w:rPr>
          <w:noProof/>
        </w:rPr>
        <w:t xml:space="preserve">För att återhämtningsplanen ska lyckas måste den inte bara vara stor och ha höga ambitioner, utan insatserna måste också ske snabbt och anpassas efter </w:t>
      </w:r>
      <w:r>
        <w:rPr>
          <w:noProof/>
        </w:rPr>
        <w:t xml:space="preserve">utvecklingen . Det finns ett akut behov av ekonomiskt stöd i många delar av unionen för att hålla företagen i gång och stödja dem som behöver det mest. Det är också ont om tid att komma överens om den långsiktiga ramen – men det är inte för sent. En snabb </w:t>
      </w:r>
      <w:r>
        <w:rPr>
          <w:noProof/>
        </w:rPr>
        <w:t>överenskommelse gör det möjligt att inleda de utökade programmen i tid.</w:t>
      </w:r>
    </w:p>
    <w:p w:rsidR="00B32DA9" w:rsidRDefault="008D43B3">
      <w:pPr>
        <w:spacing w:before="120" w:after="120"/>
        <w:rPr>
          <w:noProof/>
        </w:rPr>
      </w:pPr>
      <w:r>
        <w:rPr>
          <w:noProof/>
        </w:rPr>
        <w:t>Kommissionen ställer sig bakom Europaparlamentets fastavilja att säkerställa en smidig övergång till den nya budgetramen. Att förlänga den nuvarande budgetramen kan dock inte ersätta e</w:t>
      </w:r>
      <w:r>
        <w:rPr>
          <w:noProof/>
        </w:rPr>
        <w:t>n heltäckande överenskommelse om en ny, modern långtidsbudget. Det är det enda sättet att EU unionen med de nya program och verktyg som är avgörande för att sätta återhämtningsplanen i verket. Det interinstitutionella arbetets fulla och odelade fokus under</w:t>
      </w:r>
      <w:r>
        <w:rPr>
          <w:noProof/>
        </w:rPr>
        <w:t xml:space="preserve"> de närmaste veckorna bör därför vara att färdigställa NextGenerationEU och den nya budgetramen. </w:t>
      </w:r>
    </w:p>
    <w:p w:rsidR="00B32DA9" w:rsidRDefault="008D43B3">
      <w:pPr>
        <w:spacing w:before="120" w:after="120"/>
        <w:rPr>
          <w:b/>
          <w:noProof/>
        </w:rPr>
      </w:pPr>
      <w:r>
        <w:rPr>
          <w:b/>
          <w:noProof/>
        </w:rPr>
        <w:t>Europeiska kommissionen uppmanar Europeiska rådet och medlagstiftarna att skyndsamt behandla dessa förslag i syfte att nå en politisk överenskommelse i Europe</w:t>
      </w:r>
      <w:r>
        <w:rPr>
          <w:b/>
          <w:noProof/>
        </w:rPr>
        <w:t xml:space="preserve">iska rådet senast i juli. </w:t>
      </w:r>
    </w:p>
    <w:p w:rsidR="00B32DA9" w:rsidRDefault="008D43B3">
      <w:pPr>
        <w:spacing w:before="120" w:after="120"/>
        <w:rPr>
          <w:noProof/>
        </w:rPr>
      </w:pPr>
      <w:r>
        <w:rPr>
          <w:noProof/>
        </w:rPr>
        <w:t xml:space="preserve">Ett snabbt beslut om förslaget till ändring av den gällande budgetramen gör att tilläggsfinansiering omedelbart kan göras tillgängligt för React-EU, instrumentet för solvensstöd samt Europeiska fonden för hållbar utveckling, med </w:t>
      </w:r>
      <w:r>
        <w:rPr>
          <w:noProof/>
        </w:rPr>
        <w:t>tanke på hur brådskande dessa behov är.</w:t>
      </w:r>
    </w:p>
    <w:p w:rsidR="00B32DA9" w:rsidRDefault="008D43B3">
      <w:pPr>
        <w:spacing w:before="120" w:after="120"/>
        <w:rPr>
          <w:noProof/>
        </w:rPr>
      </w:pPr>
      <w:r>
        <w:rPr>
          <w:noProof/>
        </w:rPr>
        <w:t>Kommissionen kommer sedan att samarbeta nära med Europaparlamentet och rådet för att slutföra en överenskommelse om den framtida långsiktiga ramen och de tillhörande sektorsprogrammen. Att slutföra detta arbete i bör</w:t>
      </w:r>
      <w:r>
        <w:rPr>
          <w:noProof/>
        </w:rPr>
        <w:t>jan av hösten skulle innebära att den nya långtidsbudgeten kan vara på plats för att driva på den europeiska återhämtningen den 1 januari 2021.</w:t>
      </w:r>
    </w:p>
    <w:p w:rsidR="00B32DA9" w:rsidRDefault="008D43B3">
      <w:pPr>
        <w:spacing w:before="120" w:after="120"/>
        <w:rPr>
          <w:rFonts w:eastAsia="Arial Unicode MS"/>
          <w:b/>
          <w:noProof/>
          <w:szCs w:val="24"/>
          <w:u w:color="000000"/>
          <w:bdr w:val="nil"/>
        </w:rPr>
      </w:pPr>
      <w:r>
        <w:rPr>
          <w:noProof/>
        </w:rPr>
        <w:t>Att agera nu visar att unionen står redo att göra det som krävs för att få ekonomin i gång igen, skydda försörjn</w:t>
      </w:r>
      <w:r>
        <w:rPr>
          <w:noProof/>
        </w:rPr>
        <w:t>ingen för alla i EU och investera i EU:s långsiktiga övergång till en mer rättvis, miljövänlig och digital framtid.</w:t>
      </w:r>
      <w:r>
        <w:rPr>
          <w:noProof/>
        </w:rPr>
        <w:br w:type="page"/>
      </w:r>
    </w:p>
    <w:p w:rsidR="00B32DA9" w:rsidRDefault="008D43B3">
      <w:pPr>
        <w:pStyle w:val="Caption"/>
        <w:keepNext/>
        <w:jc w:val="left"/>
        <w:rPr>
          <w:noProof/>
        </w:rPr>
      </w:pPr>
      <w:r>
        <w:rPr>
          <w:noProof/>
        </w:rPr>
        <w:t>(miljarder euro, 2018 års priser)</w:t>
      </w:r>
    </w:p>
    <w:p w:rsidR="00B32DA9" w:rsidRDefault="008D43B3">
      <w:pPr>
        <w:rPr>
          <w:noProof/>
        </w:rPr>
      </w:pPr>
      <w:r>
        <w:rPr>
          <w:noProof/>
          <w:lang w:val="fr-BE" w:eastAsia="fr-BE"/>
        </w:rPr>
        <w:drawing>
          <wp:inline distT="0" distB="0" distL="0" distR="0">
            <wp:extent cx="5200650" cy="548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0650" cy="5486400"/>
                    </a:xfrm>
                    <a:prstGeom prst="rect">
                      <a:avLst/>
                    </a:prstGeom>
                    <a:noFill/>
                    <a:ln>
                      <a:noFill/>
                    </a:ln>
                  </pic:spPr>
                </pic:pic>
              </a:graphicData>
            </a:graphic>
          </wp:inline>
        </w:drawing>
      </w:r>
    </w:p>
    <w:p w:rsidR="00B32DA9" w:rsidRDefault="00B32DA9">
      <w:pPr>
        <w:spacing w:before="120" w:after="120"/>
        <w:jc w:val="center"/>
        <w:rPr>
          <w:rFonts w:eastAsia="Arial Unicode MS"/>
          <w:b/>
          <w:noProof/>
          <w:szCs w:val="24"/>
          <w:u w:color="000000"/>
          <w:bdr w:val="nil"/>
          <w:lang w:eastAsia="fr-BE"/>
        </w:rPr>
      </w:pPr>
    </w:p>
    <w:p w:rsidR="00B32DA9" w:rsidRDefault="008D43B3">
      <w:pPr>
        <w:spacing w:before="120" w:after="120"/>
        <w:jc w:val="center"/>
        <w:rPr>
          <w:noProof/>
        </w:rPr>
      </w:pPr>
      <w:r>
        <w:rPr>
          <w:noProof/>
          <w:lang w:val="fr-BE" w:eastAsia="fr-BE"/>
        </w:rPr>
        <w:drawing>
          <wp:inline distT="0" distB="0" distL="0" distR="0">
            <wp:extent cx="5759450" cy="8043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8043847"/>
                    </a:xfrm>
                    <a:prstGeom prst="rect">
                      <a:avLst/>
                    </a:prstGeom>
                    <a:noFill/>
                    <a:ln>
                      <a:noFill/>
                    </a:ln>
                  </pic:spPr>
                </pic:pic>
              </a:graphicData>
            </a:graphic>
          </wp:inline>
        </w:drawing>
      </w:r>
    </w:p>
    <w:p w:rsidR="00B32DA9" w:rsidRDefault="008D43B3">
      <w:pPr>
        <w:spacing w:before="120" w:after="120"/>
        <w:jc w:val="center"/>
        <w:rPr>
          <w:noProof/>
        </w:rPr>
      </w:pPr>
      <w:r>
        <w:rPr>
          <w:noProof/>
          <w:lang w:val="fr-BE" w:eastAsia="fr-BE"/>
        </w:rPr>
        <w:drawing>
          <wp:inline distT="0" distB="0" distL="0" distR="0">
            <wp:extent cx="5759450" cy="80438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8043847"/>
                    </a:xfrm>
                    <a:prstGeom prst="rect">
                      <a:avLst/>
                    </a:prstGeom>
                    <a:noFill/>
                    <a:ln>
                      <a:noFill/>
                    </a:ln>
                  </pic:spPr>
                </pic:pic>
              </a:graphicData>
            </a:graphic>
          </wp:inline>
        </w:drawing>
      </w:r>
    </w:p>
    <w:sectPr w:rsidR="00B32DA9">
      <w:headerReference w:type="even" r:id="rId27"/>
      <w:headerReference w:type="default" r:id="rId28"/>
      <w:footerReference w:type="even" r:id="rId29"/>
      <w:footerReference w:type="default" r:id="rId30"/>
      <w:headerReference w:type="first" r:id="rId31"/>
      <w:footerReference w:type="first" r:id="rId32"/>
      <w:pgSz w:w="11906" w:h="16838" w:code="9"/>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DA9" w:rsidRDefault="008D43B3">
      <w:pPr>
        <w:spacing w:after="0"/>
      </w:pPr>
      <w:r>
        <w:separator/>
      </w:r>
    </w:p>
  </w:endnote>
  <w:endnote w:type="continuationSeparator" w:id="0">
    <w:p w:rsidR="00B32DA9" w:rsidRDefault="008D43B3">
      <w:pPr>
        <w:spacing w:after="0"/>
      </w:pPr>
      <w:r>
        <w:continuationSeparator/>
      </w:r>
    </w:p>
  </w:endnote>
  <w:endnote w:type="continuationNotice" w:id="1">
    <w:p w:rsidR="00B32DA9" w:rsidRDefault="00B32D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A9" w:rsidRDefault="00B32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A9" w:rsidRDefault="008D43B3">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A9" w:rsidRDefault="00B32DA9">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A9" w:rsidRDefault="008D43B3">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A9" w:rsidRDefault="008D43B3">
    <w:pPr>
      <w:pStyle w:val="FooterLine"/>
      <w:jc w:val="center"/>
      <w:rPr>
        <w:sz w:val="18"/>
      </w:rPr>
    </w:pPr>
    <w:r>
      <w:rPr>
        <w:sz w:val="18"/>
      </w:rPr>
      <w:fldChar w:fldCharType="begin"/>
    </w:r>
    <w:r>
      <w:rPr>
        <w:sz w:val="18"/>
      </w:rPr>
      <w:instrText>PAGE   \* MERGEFORMAT</w:instrText>
    </w:r>
    <w:r>
      <w:rPr>
        <w:sz w:val="18"/>
      </w:rPr>
      <w:fldChar w:fldCharType="separate"/>
    </w:r>
    <w:r>
      <w:rPr>
        <w:noProof/>
        <w:sz w:val="18"/>
      </w:rPr>
      <w:t>1</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A9" w:rsidRDefault="00B32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DA9" w:rsidRDefault="008D43B3">
      <w:pPr>
        <w:spacing w:after="0"/>
      </w:pPr>
      <w:r>
        <w:separator/>
      </w:r>
    </w:p>
  </w:footnote>
  <w:footnote w:type="continuationSeparator" w:id="0">
    <w:p w:rsidR="00B32DA9" w:rsidRDefault="008D43B3">
      <w:pPr>
        <w:spacing w:after="0"/>
      </w:pPr>
      <w:r>
        <w:continuationSeparator/>
      </w:r>
    </w:p>
  </w:footnote>
  <w:footnote w:type="continuationNotice" w:id="1">
    <w:p w:rsidR="00B32DA9" w:rsidRDefault="00B32DA9">
      <w:pPr>
        <w:spacing w:after="0"/>
      </w:pPr>
    </w:p>
  </w:footnote>
  <w:footnote w:id="2">
    <w:p w:rsidR="00B32DA9" w:rsidRDefault="008D43B3">
      <w:pPr>
        <w:pStyle w:val="FootnoteText"/>
        <w:spacing w:after="0"/>
      </w:pPr>
      <w:r>
        <w:rPr>
          <w:rStyle w:val="FootnoteReference"/>
        </w:rPr>
        <w:footnoteRef/>
      </w:r>
      <w:r>
        <w:t xml:space="preserve"> </w:t>
      </w:r>
      <w:r>
        <w:tab/>
        <w:t>COM(2020) 456.</w:t>
      </w:r>
    </w:p>
  </w:footnote>
  <w:footnote w:id="3">
    <w:p w:rsidR="00B32DA9" w:rsidRDefault="008D43B3">
      <w:pPr>
        <w:pStyle w:val="FootnoteText"/>
        <w:spacing w:after="0"/>
      </w:pPr>
      <w:r>
        <w:rPr>
          <w:rStyle w:val="FootnoteReference"/>
        </w:rPr>
        <w:footnoteRef/>
      </w:r>
      <w:r>
        <w:t xml:space="preserve"> </w:t>
      </w:r>
      <w:r>
        <w:tab/>
        <w:t>SWD(2020) 98</w:t>
      </w:r>
      <w:bookmarkStart w:id="1" w:name="_GoBack"/>
      <w:bookmarkEnd w:id="1"/>
      <w:r>
        <w:t>.</w:t>
      </w:r>
    </w:p>
  </w:footnote>
  <w:footnote w:id="4">
    <w:p w:rsidR="00B32DA9" w:rsidRDefault="008D43B3">
      <w:pPr>
        <w:pStyle w:val="FootnoteText"/>
        <w:spacing w:after="0"/>
      </w:pPr>
      <w:r>
        <w:rPr>
          <w:rStyle w:val="FootnoteReference"/>
        </w:rPr>
        <w:footnoteRef/>
      </w:r>
      <w:r>
        <w:t xml:space="preserve"> </w:t>
      </w:r>
      <w:r>
        <w:tab/>
      </w:r>
      <w:r>
        <w:rPr>
          <w:color w:val="000000"/>
          <w:szCs w:val="24"/>
          <w:bdr w:val="none" w:sz="0" w:space="0" w:color="auto" w:frame="1"/>
        </w:rPr>
        <w:t>Om inte annat anges uttrycks beloppen i 2018 års fasta priser</w:t>
      </w:r>
      <w:r>
        <w:t>.</w:t>
      </w:r>
    </w:p>
  </w:footnote>
  <w:footnote w:id="5">
    <w:p w:rsidR="00B32DA9" w:rsidRDefault="008D43B3">
      <w:pPr>
        <w:pStyle w:val="FootnoteText"/>
        <w:spacing w:after="0"/>
      </w:pPr>
      <w:r>
        <w:rPr>
          <w:rStyle w:val="FootnoteReference"/>
        </w:rPr>
        <w:footnoteRef/>
      </w:r>
      <w:r>
        <w:t xml:space="preserve"> </w:t>
      </w:r>
      <w:r>
        <w:tab/>
        <w:t xml:space="preserve">Bygger på ett försiktigt antagande om multiplikatoreffekter och resultat som jämförbara instrument uppnått. De förväntade multiplikatoreffekterna kan dock påverkas av volatiliteten i den </w:t>
      </w:r>
      <w:r>
        <w:t>rådande ekonomiska situationen.</w:t>
      </w:r>
    </w:p>
  </w:footnote>
  <w:footnote w:id="6">
    <w:p w:rsidR="00B32DA9" w:rsidRDefault="008D43B3">
      <w:pPr>
        <w:pStyle w:val="FootnoteText"/>
        <w:spacing w:after="0"/>
      </w:pPr>
      <w:r>
        <w:rPr>
          <w:rStyle w:val="FootnoteReference"/>
        </w:rPr>
        <w:footnoteRef/>
      </w:r>
      <w:r>
        <w:t xml:space="preserve"> </w:t>
      </w:r>
      <w:r>
        <w:tab/>
        <w:t xml:space="preserve">Europaparlamentets resolution av den 17 april 2020 om en samordnad EU-insats mot covid-19-pandemin och dess konsekvenser, bekräftad genom Europaparlamentets resolution av den 15 maj 2020 om den nya fleråriga budgetramen, </w:t>
      </w:r>
      <w:r>
        <w:t xml:space="preserve">egna medel och återhämtningsplanen. </w:t>
      </w:r>
    </w:p>
  </w:footnote>
  <w:footnote w:id="7">
    <w:p w:rsidR="00B32DA9" w:rsidRDefault="008D43B3">
      <w:pPr>
        <w:pStyle w:val="FootnoteText"/>
        <w:spacing w:after="0"/>
      </w:pPr>
      <w:r>
        <w:rPr>
          <w:rStyle w:val="FootnoteReference"/>
        </w:rPr>
        <w:footnoteRef/>
      </w:r>
      <w:r>
        <w:t xml:space="preserve"> </w:t>
      </w:r>
      <w:r>
        <w:tab/>
        <w:t xml:space="preserve">Sammanfattning av Charles Michel efter videokonferensen med Europeiska rådets medlemmar den 23 april 2020. </w:t>
      </w:r>
    </w:p>
  </w:footnote>
  <w:footnote w:id="8">
    <w:p w:rsidR="00B32DA9" w:rsidRDefault="008D43B3">
      <w:pPr>
        <w:pStyle w:val="FootnoteText"/>
        <w:spacing w:after="0"/>
      </w:pPr>
      <w:r>
        <w:rPr>
          <w:rStyle w:val="FootnoteReference"/>
        </w:rPr>
        <w:footnoteRef/>
      </w:r>
      <w:r>
        <w:t xml:space="preserve"> </w:t>
      </w:r>
      <w:r>
        <w:tab/>
        <w:t xml:space="preserve">Varav 1,25 miljarder euro i återflöden från finansieringsinstrument och 250 miljoner euro från budgeten. </w:t>
      </w:r>
    </w:p>
  </w:footnote>
  <w:footnote w:id="9">
    <w:p w:rsidR="00B32DA9" w:rsidRDefault="008D43B3">
      <w:pPr>
        <w:pStyle w:val="FootnoteText"/>
        <w:spacing w:after="0"/>
      </w:pPr>
      <w:r>
        <w:rPr>
          <w:rStyle w:val="FootnoteReference"/>
        </w:rPr>
        <w:footnoteRef/>
      </w:r>
      <w:r>
        <w:t xml:space="preserve"> </w:t>
      </w:r>
      <w:r>
        <w:tab/>
        <w:t>COM(2020) 22, COM(2020) 23.</w:t>
      </w:r>
    </w:p>
  </w:footnote>
  <w:footnote w:id="10">
    <w:p w:rsidR="00B32DA9" w:rsidRDefault="008D43B3">
      <w:pPr>
        <w:pStyle w:val="FootnoteText"/>
      </w:pPr>
      <w:r>
        <w:rPr>
          <w:rStyle w:val="FootnoteReference"/>
        </w:rPr>
        <w:footnoteRef/>
      </w:r>
      <w:r>
        <w:tab/>
        <w:t>Lånekostnaderna för bidragsdelen i NextGenerationEU kommer att betalas via EU:s budget. Kostnaderna kommer uppskattningsvis att bli 17,4 miljarder euro under budgetramen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A9" w:rsidRDefault="00B32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A9" w:rsidRDefault="00B32DA9">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A9" w:rsidRDefault="00B32DA9">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A9" w:rsidRDefault="00B32D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A9" w:rsidRDefault="00B32D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A9" w:rsidRDefault="00B32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2DB"/>
    <w:multiLevelType w:val="hybridMultilevel"/>
    <w:tmpl w:val="7A1A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04B54"/>
    <w:multiLevelType w:val="hybridMultilevel"/>
    <w:tmpl w:val="366C4EC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2900F7"/>
    <w:multiLevelType w:val="multilevel"/>
    <w:tmpl w:val="5B1CABF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8A0088EA"/>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D876A2E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E13424C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8B0A69D2"/>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54E0528"/>
    <w:multiLevelType w:val="hybridMultilevel"/>
    <w:tmpl w:val="1ECAB1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00481E6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5A8AF31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20DE5C7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3726E9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E5F29FC"/>
    <w:multiLevelType w:val="hybridMultilevel"/>
    <w:tmpl w:val="EDA8FC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369722F"/>
    <w:multiLevelType w:val="hybridMultilevel"/>
    <w:tmpl w:val="AA30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25495"/>
    <w:multiLevelType w:val="hybridMultilevel"/>
    <w:tmpl w:val="1AB0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FBC064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FF609DF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819507A"/>
    <w:multiLevelType w:val="hybridMultilevel"/>
    <w:tmpl w:val="DCFE96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7730C4"/>
    <w:multiLevelType w:val="multilevel"/>
    <w:tmpl w:val="1F42837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3D1C0EBC"/>
    <w:multiLevelType w:val="hybridMultilevel"/>
    <w:tmpl w:val="D74E727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E662A"/>
    <w:multiLevelType w:val="multilevel"/>
    <w:tmpl w:val="2C1C940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4F8308B"/>
    <w:multiLevelType w:val="hybridMultilevel"/>
    <w:tmpl w:val="0776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244C3"/>
    <w:multiLevelType w:val="hybridMultilevel"/>
    <w:tmpl w:val="3CEEC5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455480"/>
    <w:multiLevelType w:val="hybridMultilevel"/>
    <w:tmpl w:val="1120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505C3E"/>
    <w:multiLevelType w:val="hybridMultilevel"/>
    <w:tmpl w:val="68F4EF3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E1A982C"/>
    <w:multiLevelType w:val="multilevel"/>
    <w:tmpl w:val="A2C8456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5072619B"/>
    <w:multiLevelType w:val="multilevel"/>
    <w:tmpl w:val="51AA684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53594681"/>
    <w:multiLevelType w:val="hybridMultilevel"/>
    <w:tmpl w:val="084CB6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12A82"/>
    <w:multiLevelType w:val="hybridMultilevel"/>
    <w:tmpl w:val="9CBC4A8C"/>
    <w:lvl w:ilvl="0" w:tplc="6BBEB886">
      <w:start w:val="1"/>
      <w:numFmt w:val="decimal"/>
      <w:pStyle w:val="Heading2"/>
      <w:lvlText w:val="%1."/>
      <w:lvlJc w:val="left"/>
      <w:pPr>
        <w:ind w:left="360" w:hanging="360"/>
      </w:pPr>
    </w:lvl>
    <w:lvl w:ilvl="1" w:tplc="18090019" w:tentative="1">
      <w:start w:val="1"/>
      <w:numFmt w:val="lowerLetter"/>
      <w:lvlText w:val="%2."/>
      <w:lvlJc w:val="left"/>
      <w:pPr>
        <w:ind w:left="-5790" w:hanging="360"/>
      </w:pPr>
    </w:lvl>
    <w:lvl w:ilvl="2" w:tplc="1809001B" w:tentative="1">
      <w:start w:val="1"/>
      <w:numFmt w:val="lowerRoman"/>
      <w:lvlText w:val="%3."/>
      <w:lvlJc w:val="right"/>
      <w:pPr>
        <w:ind w:left="-5070" w:hanging="180"/>
      </w:pPr>
    </w:lvl>
    <w:lvl w:ilvl="3" w:tplc="1809000F" w:tentative="1">
      <w:start w:val="1"/>
      <w:numFmt w:val="decimal"/>
      <w:lvlText w:val="%4."/>
      <w:lvlJc w:val="left"/>
      <w:pPr>
        <w:ind w:left="-435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2910" w:hanging="180"/>
      </w:pPr>
    </w:lvl>
    <w:lvl w:ilvl="6" w:tplc="1809000F" w:tentative="1">
      <w:start w:val="1"/>
      <w:numFmt w:val="decimal"/>
      <w:lvlText w:val="%7."/>
      <w:lvlJc w:val="left"/>
      <w:pPr>
        <w:ind w:left="-2190" w:hanging="360"/>
      </w:pPr>
    </w:lvl>
    <w:lvl w:ilvl="7" w:tplc="18090019" w:tentative="1">
      <w:start w:val="1"/>
      <w:numFmt w:val="lowerLetter"/>
      <w:lvlText w:val="%8."/>
      <w:lvlJc w:val="left"/>
      <w:pPr>
        <w:ind w:left="-1470" w:hanging="360"/>
      </w:pPr>
    </w:lvl>
    <w:lvl w:ilvl="8" w:tplc="1809001B" w:tentative="1">
      <w:start w:val="1"/>
      <w:numFmt w:val="lowerRoman"/>
      <w:lvlText w:val="%9."/>
      <w:lvlJc w:val="right"/>
      <w:pPr>
        <w:ind w:left="-750" w:hanging="180"/>
      </w:pPr>
    </w:lvl>
  </w:abstractNum>
  <w:abstractNum w:abstractNumId="29" w15:restartNumberingAfterBreak="0">
    <w:nsid w:val="56CA5D67"/>
    <w:multiLevelType w:val="hybridMultilevel"/>
    <w:tmpl w:val="01206B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455280"/>
    <w:multiLevelType w:val="hybridMultilevel"/>
    <w:tmpl w:val="7A72C6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7472E"/>
    <w:multiLevelType w:val="multilevel"/>
    <w:tmpl w:val="1DB8A2FE"/>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15:restartNumberingAfterBreak="0">
    <w:nsid w:val="6B0A318A"/>
    <w:multiLevelType w:val="hybridMultilevel"/>
    <w:tmpl w:val="9092A8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50758"/>
    <w:multiLevelType w:val="hybridMultilevel"/>
    <w:tmpl w:val="36664D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10D94"/>
    <w:multiLevelType w:val="hybridMultilevel"/>
    <w:tmpl w:val="2A46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5D0C7E"/>
    <w:multiLevelType w:val="hybridMultilevel"/>
    <w:tmpl w:val="CF7A394A"/>
    <w:lvl w:ilvl="0" w:tplc="44C4A6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B6333"/>
    <w:multiLevelType w:val="hybridMultilevel"/>
    <w:tmpl w:val="DBEA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63F68"/>
    <w:multiLevelType w:val="hybridMultilevel"/>
    <w:tmpl w:val="739A34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65145E"/>
    <w:multiLevelType w:val="multilevel"/>
    <w:tmpl w:val="0368063A"/>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
  </w:num>
  <w:num w:numId="2">
    <w:abstractNumId w:val="15"/>
  </w:num>
  <w:num w:numId="3">
    <w:abstractNumId w:val="9"/>
  </w:num>
  <w:num w:numId="4">
    <w:abstractNumId w:val="16"/>
  </w:num>
  <w:num w:numId="5">
    <w:abstractNumId w:val="26"/>
  </w:num>
  <w:num w:numId="6">
    <w:abstractNumId w:val="31"/>
  </w:num>
  <w:num w:numId="7">
    <w:abstractNumId w:val="3"/>
  </w:num>
  <w:num w:numId="8">
    <w:abstractNumId w:val="8"/>
  </w:num>
  <w:num w:numId="9">
    <w:abstractNumId w:val="20"/>
  </w:num>
  <w:num w:numId="10">
    <w:abstractNumId w:val="4"/>
  </w:num>
  <w:num w:numId="11">
    <w:abstractNumId w:val="5"/>
  </w:num>
  <w:num w:numId="12">
    <w:abstractNumId w:val="6"/>
  </w:num>
  <w:num w:numId="13">
    <w:abstractNumId w:val="10"/>
  </w:num>
  <w:num w:numId="14">
    <w:abstractNumId w:val="18"/>
  </w:num>
  <w:num w:numId="15">
    <w:abstractNumId w:val="25"/>
  </w:num>
  <w:num w:numId="16">
    <w:abstractNumId w:val="38"/>
  </w:num>
  <w:num w:numId="17">
    <w:abstractNumId w:val="11"/>
  </w:num>
  <w:num w:numId="18">
    <w:abstractNumId w:val="39"/>
  </w:num>
  <w:num w:numId="19">
    <w:abstractNumId w:val="28"/>
  </w:num>
  <w:num w:numId="20">
    <w:abstractNumId w:val="7"/>
  </w:num>
  <w:num w:numId="21">
    <w:abstractNumId w:val="22"/>
  </w:num>
  <w:num w:numId="22">
    <w:abstractNumId w:val="36"/>
  </w:num>
  <w:num w:numId="23">
    <w:abstractNumId w:val="30"/>
  </w:num>
  <w:num w:numId="24">
    <w:abstractNumId w:val="21"/>
  </w:num>
  <w:num w:numId="25">
    <w:abstractNumId w:val="29"/>
  </w:num>
  <w:num w:numId="26">
    <w:abstractNumId w:val="13"/>
  </w:num>
  <w:num w:numId="27">
    <w:abstractNumId w:val="34"/>
  </w:num>
  <w:num w:numId="28">
    <w:abstractNumId w:val="14"/>
  </w:num>
  <w:num w:numId="29">
    <w:abstractNumId w:val="0"/>
  </w:num>
  <w:num w:numId="30">
    <w:abstractNumId w:val="33"/>
  </w:num>
  <w:num w:numId="31">
    <w:abstractNumId w:val="24"/>
  </w:num>
  <w:num w:numId="32">
    <w:abstractNumId w:val="27"/>
  </w:num>
  <w:num w:numId="33">
    <w:abstractNumId w:val="33"/>
  </w:num>
  <w:num w:numId="34">
    <w:abstractNumId w:val="12"/>
  </w:num>
  <w:num w:numId="35">
    <w:abstractNumId w:val="17"/>
  </w:num>
  <w:num w:numId="36">
    <w:abstractNumId w:val="35"/>
  </w:num>
  <w:num w:numId="37">
    <w:abstractNumId w:val="19"/>
  </w:num>
  <w:num w:numId="38">
    <w:abstractNumId w:val="23"/>
  </w:num>
  <w:num w:numId="39">
    <w:abstractNumId w:val="28"/>
  </w:num>
  <w:num w:numId="40">
    <w:abstractNumId w:val="1"/>
  </w:num>
  <w:num w:numId="41">
    <w:abstractNumId w:val="32"/>
  </w:num>
  <w:num w:numId="42">
    <w:abstractNumId w:val="37"/>
  </w:num>
  <w:num w:numId="43">
    <w:abstractNumId w:val="2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removeDateAndTime/>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A1126AF-36F0-460E-ABBF-930EB64DBDE2"/>
    <w:docVar w:name="LW_COVERPAGE_TYPE" w:val="1"/>
    <w:docVar w:name="LW_CROSSREFERENCE" w:val="&lt;UNUSED&gt;"/>
    <w:docVar w:name="LW_DocType" w:val="5856595BEDB84307A248F84790E949E3"/>
    <w:docVar w:name="LW_EMISSION" w:val="27.5.2020"/>
    <w:docVar w:name="LW_EMISSION_ISODATE" w:val="2020-05-27"/>
    <w:docVar w:name="LW_EMISSION_LOCATION" w:val="BRX"/>
    <w:docVar w:name="LW_EMISSION_PREFIX" w:val="Bryssel den "/>
    <w:docVar w:name="LW_EMISSION_SUFFIX" w:val=" "/>
    <w:docVar w:name="LW_ID_DOCTYPE_NONLW" w:val="CP-009"/>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20) 4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U-budgeten som motor i den europeiska återhämtningsplanen_x000d__x000d__x000d__x000d__x000d__x000d__x000d__x000d__x000d__x000d__x000d__x000d__x000b__x000d__x000d__x000d__x000d__x000d__x000d__x000d__x000d__x000d__x000d__x000d__x000b__x000d__x000d__x000d__x000d__x000d__x000d__x000d__x000d__x000d__x000d__x000d__x000b__x000d__x000d__x000d__x000d__x000d__x000d__x000d__x000d__x000d__x000d__x000d__x000b__x000d__x000d__x000d__x000d__x000d__x000d__x000d__x000d__x000d__x000d__x000d__x000b__x000d__x000d__x000d__x000d__x000d__x000d__x000d__x000d__x000d__x000d__x000d__x000b__x000d__x000d__x000d__x000d__x000d__x000d__x000d__x000d__x000d__x000d__x000d__x000d__x000d__x000d__x000d__x000d__x000d__x000b__x000d__x000d__x000d__x000d__x000d__x000d__x000d__x000d__x000d__x000d__x000d__x000d__x000b__x000d_"/>
    <w:docVar w:name="LW_TYPE.DOC.CP" w:val="MEDDELANDE FRÅN KOMMISSIONEN"/>
    <w:docVar w:name="LW_TYPE.DOC.CP.USERTEXT" w:val="TILL EUROPAPARLAMENTET, EUROPEISKA RÅDET, RÅDET, EUROPEISKA EKONOMISKA OCH SOCIALA KOMMITTÉN SAMT REGIONKOMMITTÉN"/>
  </w:docVars>
  <w:rsids>
    <w:rsidRoot w:val="00B32DA9"/>
    <w:rsid w:val="008D43B3"/>
    <w:rsid w:val="00B32D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E232E1"/>
  <w15:docId w15:val="{014E40B4-B124-42DE-822E-0F834CA8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sv-SE"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keepLines/>
      <w:widowControl w:val="0"/>
      <w:pBdr>
        <w:top w:val="nil"/>
        <w:left w:val="nil"/>
        <w:bottom w:val="nil"/>
        <w:right w:val="nil"/>
        <w:between w:val="nil"/>
        <w:bar w:val="nil"/>
      </w:pBdr>
      <w:spacing w:before="120"/>
      <w:jc w:val="center"/>
      <w:outlineLvl w:val="0"/>
    </w:pPr>
    <w:rPr>
      <w:rFonts w:eastAsia="Calibri Light" w:cs="Calibri Light"/>
      <w:b/>
      <w:bCs/>
      <w:noProof/>
      <w:color w:val="4C4B9A" w:themeColor="text2"/>
      <w:sz w:val="28"/>
      <w:szCs w:val="28"/>
      <w:u w:color="006B75"/>
      <w:bdr w:val="nil"/>
      <w:lang w:eastAsia="fr-BE"/>
    </w:rPr>
  </w:style>
  <w:style w:type="paragraph" w:styleId="Heading2">
    <w:name w:val="heading 2"/>
    <w:basedOn w:val="Normal"/>
    <w:next w:val="Text2"/>
    <w:uiPriority w:val="90"/>
    <w:qFormat/>
    <w:pPr>
      <w:keepNext/>
      <w:numPr>
        <w:numId w:val="19"/>
      </w:numPr>
      <w:pBdr>
        <w:top w:val="nil"/>
        <w:left w:val="nil"/>
        <w:bottom w:val="nil"/>
        <w:right w:val="nil"/>
        <w:between w:val="nil"/>
        <w:bar w:val="nil"/>
      </w:pBdr>
      <w:spacing w:before="360"/>
      <w:jc w:val="left"/>
      <w:outlineLvl w:val="1"/>
    </w:pPr>
    <w:rPr>
      <w:rFonts w:eastAsia="Arial Unicode MS" w:cs="Arial Unicode MS"/>
      <w:b/>
      <w:bCs/>
      <w:noProof/>
      <w:color w:val="2696D3" w:themeColor="accent1"/>
      <w:sz w:val="28"/>
      <w:szCs w:val="28"/>
      <w:u w:color="006B75"/>
      <w:bdr w:val="nil"/>
      <w:lang w:eastAsia="fr-BE"/>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uiPriority w:val="35"/>
    <w:qFormat/>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ootnote text1,Fußnote,fn,Footnotes"/>
    <w:basedOn w:val="Normal"/>
    <w:link w:val="FootnoteTextChar"/>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MarkingLong">
    <w:name w:val="MarkingLong"/>
    <w:basedOn w:val="Marking"/>
    <w:pPr>
      <w:ind w:left="0"/>
      <w:jc w:val="right"/>
    </w:p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styleId="NormalWeb">
    <w:name w:val="Normal (Web)"/>
    <w:basedOn w:val="Normal"/>
    <w:semiHidden/>
    <w:locked/>
    <w:rPr>
      <w:szCs w:val="24"/>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Nota Char,Char1 Char,(NECG) Footnote Reference Char,fr Char,Appel note de bas de p Char,o Char,Style 6 Char,Signature Ch Char,Footnote symbol,Footnote reference number,Footnote,Times 10 Point,Exposant 3 Point,Ref,de nota al pie,SUPERS"/>
    <w:basedOn w:val="DefaultParagraphFont"/>
    <w:link w:val="Nota"/>
    <w:unhideWhenUsed/>
    <w:qFormat/>
    <w:locked/>
    <w:rPr>
      <w:vertAlign w:val="superscript"/>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rPr>
      <w:sz w:val="20"/>
    </w:rPr>
  </w:style>
  <w:style w:type="paragraph" w:customStyle="1" w:styleId="Nota">
    <w:name w:val="Nota"/>
    <w:aliases w:val="Char1,(NECG) Footnote Reference,fr,Appel note de bas de p,o,Style 6,Signature Ch, Char1"/>
    <w:basedOn w:val="Normal"/>
    <w:link w:val="FootnoteReference"/>
    <w:uiPriority w:val="99"/>
    <w:pPr>
      <w:spacing w:after="160" w:line="240" w:lineRule="exact"/>
    </w:pPr>
    <w:rPr>
      <w:vertAlign w:val="superscript"/>
    </w:rPr>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locked/>
    <w:pPr>
      <w:spacing w:line="264" w:lineRule="auto"/>
      <w:ind w:left="720"/>
      <w:contextualSpacing/>
    </w:pPr>
    <w:rPr>
      <w:rFonts w:ascii="EC Square Sans Pro" w:eastAsiaTheme="minorEastAsia" w:hAnsi="EC Square Sans Pro" w:cstheme="minorBidi"/>
      <w:sz w:val="22"/>
      <w:szCs w:val="22"/>
      <w:lang w:eastAsia="nl-BE"/>
    </w:rPr>
  </w:style>
  <w:style w:type="character" w:styleId="CommentReference">
    <w:name w:val="annotation reference"/>
    <w:basedOn w:val="DefaultParagraphFont"/>
    <w:unhideWhenUsed/>
    <w:locked/>
    <w:rPr>
      <w:sz w:val="16"/>
      <w:szCs w:val="16"/>
    </w:r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rPr>
      <w:rFonts w:ascii="EC Square Sans Pro" w:eastAsiaTheme="minorEastAsia" w:hAnsi="EC Square Sans Pro" w:cstheme="minorBidi"/>
      <w:sz w:val="22"/>
      <w:szCs w:val="22"/>
      <w:lang w:val="sv-SE" w:eastAsia="nl-BE"/>
    </w:rPr>
  </w:style>
  <w:style w:type="paragraph" w:styleId="CommentText">
    <w:name w:val="annotation text"/>
    <w:basedOn w:val="Normal"/>
    <w:link w:val="CommentTextChar"/>
    <w:unhideWhenUsed/>
    <w:locked/>
    <w:rPr>
      <w:sz w:val="20"/>
    </w:rPr>
  </w:style>
  <w:style w:type="character" w:customStyle="1" w:styleId="CommentTextChar">
    <w:name w:val="Comment Text Char"/>
    <w:basedOn w:val="DefaultParagraphFont"/>
    <w:link w:val="CommentText"/>
    <w:rPr>
      <w:sz w:val="20"/>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table" w:styleId="TableGrid">
    <w:name w:val="Table Grid"/>
    <w:basedOn w:val="TableNormal"/>
    <w:locke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256">
      <w:bodyDiv w:val="1"/>
      <w:marLeft w:val="0"/>
      <w:marRight w:val="0"/>
      <w:marTop w:val="0"/>
      <w:marBottom w:val="0"/>
      <w:divBdr>
        <w:top w:val="none" w:sz="0" w:space="0" w:color="auto"/>
        <w:left w:val="none" w:sz="0" w:space="0" w:color="auto"/>
        <w:bottom w:val="none" w:sz="0" w:space="0" w:color="auto"/>
        <w:right w:val="none" w:sz="0" w:space="0" w:color="auto"/>
      </w:divBdr>
    </w:div>
    <w:div w:id="188102222">
      <w:bodyDiv w:val="1"/>
      <w:marLeft w:val="0"/>
      <w:marRight w:val="0"/>
      <w:marTop w:val="0"/>
      <w:marBottom w:val="0"/>
      <w:divBdr>
        <w:top w:val="none" w:sz="0" w:space="0" w:color="auto"/>
        <w:left w:val="none" w:sz="0" w:space="0" w:color="auto"/>
        <w:bottom w:val="none" w:sz="0" w:space="0" w:color="auto"/>
        <w:right w:val="none" w:sz="0" w:space="0" w:color="auto"/>
      </w:divBdr>
    </w:div>
    <w:div w:id="256913910">
      <w:bodyDiv w:val="1"/>
      <w:marLeft w:val="0"/>
      <w:marRight w:val="0"/>
      <w:marTop w:val="0"/>
      <w:marBottom w:val="0"/>
      <w:divBdr>
        <w:top w:val="none" w:sz="0" w:space="0" w:color="auto"/>
        <w:left w:val="none" w:sz="0" w:space="0" w:color="auto"/>
        <w:bottom w:val="none" w:sz="0" w:space="0" w:color="auto"/>
        <w:right w:val="none" w:sz="0" w:space="0" w:color="auto"/>
      </w:divBdr>
    </w:div>
    <w:div w:id="378088826">
      <w:bodyDiv w:val="1"/>
      <w:marLeft w:val="0"/>
      <w:marRight w:val="0"/>
      <w:marTop w:val="0"/>
      <w:marBottom w:val="0"/>
      <w:divBdr>
        <w:top w:val="none" w:sz="0" w:space="0" w:color="auto"/>
        <w:left w:val="none" w:sz="0" w:space="0" w:color="auto"/>
        <w:bottom w:val="none" w:sz="0" w:space="0" w:color="auto"/>
        <w:right w:val="none" w:sz="0" w:space="0" w:color="auto"/>
      </w:divBdr>
    </w:div>
    <w:div w:id="644431121">
      <w:bodyDiv w:val="1"/>
      <w:marLeft w:val="0"/>
      <w:marRight w:val="0"/>
      <w:marTop w:val="0"/>
      <w:marBottom w:val="0"/>
      <w:divBdr>
        <w:top w:val="none" w:sz="0" w:space="0" w:color="auto"/>
        <w:left w:val="none" w:sz="0" w:space="0" w:color="auto"/>
        <w:bottom w:val="none" w:sz="0" w:space="0" w:color="auto"/>
        <w:right w:val="none" w:sz="0" w:space="0" w:color="auto"/>
      </w:divBdr>
    </w:div>
    <w:div w:id="689767733">
      <w:bodyDiv w:val="1"/>
      <w:marLeft w:val="0"/>
      <w:marRight w:val="0"/>
      <w:marTop w:val="0"/>
      <w:marBottom w:val="0"/>
      <w:divBdr>
        <w:top w:val="none" w:sz="0" w:space="0" w:color="auto"/>
        <w:left w:val="none" w:sz="0" w:space="0" w:color="auto"/>
        <w:bottom w:val="none" w:sz="0" w:space="0" w:color="auto"/>
        <w:right w:val="none" w:sz="0" w:space="0" w:color="auto"/>
      </w:divBdr>
    </w:div>
    <w:div w:id="777259577">
      <w:bodyDiv w:val="1"/>
      <w:marLeft w:val="0"/>
      <w:marRight w:val="0"/>
      <w:marTop w:val="0"/>
      <w:marBottom w:val="0"/>
      <w:divBdr>
        <w:top w:val="none" w:sz="0" w:space="0" w:color="auto"/>
        <w:left w:val="none" w:sz="0" w:space="0" w:color="auto"/>
        <w:bottom w:val="none" w:sz="0" w:space="0" w:color="auto"/>
        <w:right w:val="none" w:sz="0" w:space="0" w:color="auto"/>
      </w:divBdr>
    </w:div>
    <w:div w:id="916209400">
      <w:bodyDiv w:val="1"/>
      <w:marLeft w:val="0"/>
      <w:marRight w:val="0"/>
      <w:marTop w:val="0"/>
      <w:marBottom w:val="0"/>
      <w:divBdr>
        <w:top w:val="none" w:sz="0" w:space="0" w:color="auto"/>
        <w:left w:val="none" w:sz="0" w:space="0" w:color="auto"/>
        <w:bottom w:val="none" w:sz="0" w:space="0" w:color="auto"/>
        <w:right w:val="none" w:sz="0" w:space="0" w:color="auto"/>
      </w:divBdr>
    </w:div>
    <w:div w:id="937059301">
      <w:bodyDiv w:val="1"/>
      <w:marLeft w:val="0"/>
      <w:marRight w:val="0"/>
      <w:marTop w:val="0"/>
      <w:marBottom w:val="0"/>
      <w:divBdr>
        <w:top w:val="none" w:sz="0" w:space="0" w:color="auto"/>
        <w:left w:val="none" w:sz="0" w:space="0" w:color="auto"/>
        <w:bottom w:val="none" w:sz="0" w:space="0" w:color="auto"/>
        <w:right w:val="none" w:sz="0" w:space="0" w:color="auto"/>
      </w:divBdr>
    </w:div>
    <w:div w:id="980501634">
      <w:bodyDiv w:val="1"/>
      <w:marLeft w:val="0"/>
      <w:marRight w:val="0"/>
      <w:marTop w:val="0"/>
      <w:marBottom w:val="0"/>
      <w:divBdr>
        <w:top w:val="none" w:sz="0" w:space="0" w:color="auto"/>
        <w:left w:val="none" w:sz="0" w:space="0" w:color="auto"/>
        <w:bottom w:val="none" w:sz="0" w:space="0" w:color="auto"/>
        <w:right w:val="none" w:sz="0" w:space="0" w:color="auto"/>
      </w:divBdr>
    </w:div>
    <w:div w:id="1017927097">
      <w:bodyDiv w:val="1"/>
      <w:marLeft w:val="0"/>
      <w:marRight w:val="0"/>
      <w:marTop w:val="0"/>
      <w:marBottom w:val="0"/>
      <w:divBdr>
        <w:top w:val="none" w:sz="0" w:space="0" w:color="auto"/>
        <w:left w:val="none" w:sz="0" w:space="0" w:color="auto"/>
        <w:bottom w:val="none" w:sz="0" w:space="0" w:color="auto"/>
        <w:right w:val="none" w:sz="0" w:space="0" w:color="auto"/>
      </w:divBdr>
    </w:div>
    <w:div w:id="1138107778">
      <w:bodyDiv w:val="1"/>
      <w:marLeft w:val="0"/>
      <w:marRight w:val="0"/>
      <w:marTop w:val="0"/>
      <w:marBottom w:val="0"/>
      <w:divBdr>
        <w:top w:val="none" w:sz="0" w:space="0" w:color="auto"/>
        <w:left w:val="none" w:sz="0" w:space="0" w:color="auto"/>
        <w:bottom w:val="none" w:sz="0" w:space="0" w:color="auto"/>
        <w:right w:val="none" w:sz="0" w:space="0" w:color="auto"/>
      </w:divBdr>
    </w:div>
    <w:div w:id="1219781017">
      <w:bodyDiv w:val="1"/>
      <w:marLeft w:val="0"/>
      <w:marRight w:val="0"/>
      <w:marTop w:val="0"/>
      <w:marBottom w:val="0"/>
      <w:divBdr>
        <w:top w:val="none" w:sz="0" w:space="0" w:color="auto"/>
        <w:left w:val="none" w:sz="0" w:space="0" w:color="auto"/>
        <w:bottom w:val="none" w:sz="0" w:space="0" w:color="auto"/>
        <w:right w:val="none" w:sz="0" w:space="0" w:color="auto"/>
      </w:divBdr>
    </w:div>
    <w:div w:id="1223826951">
      <w:bodyDiv w:val="1"/>
      <w:marLeft w:val="0"/>
      <w:marRight w:val="0"/>
      <w:marTop w:val="0"/>
      <w:marBottom w:val="0"/>
      <w:divBdr>
        <w:top w:val="none" w:sz="0" w:space="0" w:color="auto"/>
        <w:left w:val="none" w:sz="0" w:space="0" w:color="auto"/>
        <w:bottom w:val="none" w:sz="0" w:space="0" w:color="auto"/>
        <w:right w:val="none" w:sz="0" w:space="0" w:color="auto"/>
      </w:divBdr>
    </w:div>
    <w:div w:id="1468669537">
      <w:bodyDiv w:val="1"/>
      <w:marLeft w:val="0"/>
      <w:marRight w:val="0"/>
      <w:marTop w:val="0"/>
      <w:marBottom w:val="0"/>
      <w:divBdr>
        <w:top w:val="none" w:sz="0" w:space="0" w:color="auto"/>
        <w:left w:val="none" w:sz="0" w:space="0" w:color="auto"/>
        <w:bottom w:val="none" w:sz="0" w:space="0" w:color="auto"/>
        <w:right w:val="none" w:sz="0" w:space="0" w:color="auto"/>
      </w:divBdr>
    </w:div>
    <w:div w:id="1656110838">
      <w:bodyDiv w:val="1"/>
      <w:marLeft w:val="0"/>
      <w:marRight w:val="0"/>
      <w:marTop w:val="0"/>
      <w:marBottom w:val="0"/>
      <w:divBdr>
        <w:top w:val="none" w:sz="0" w:space="0" w:color="auto"/>
        <w:left w:val="none" w:sz="0" w:space="0" w:color="auto"/>
        <w:bottom w:val="none" w:sz="0" w:space="0" w:color="auto"/>
        <w:right w:val="none" w:sz="0" w:space="0" w:color="auto"/>
      </w:divBdr>
    </w:div>
    <w:div w:id="1678969879">
      <w:bodyDiv w:val="1"/>
      <w:marLeft w:val="0"/>
      <w:marRight w:val="0"/>
      <w:marTop w:val="0"/>
      <w:marBottom w:val="0"/>
      <w:divBdr>
        <w:top w:val="none" w:sz="0" w:space="0" w:color="auto"/>
        <w:left w:val="none" w:sz="0" w:space="0" w:color="auto"/>
        <w:bottom w:val="none" w:sz="0" w:space="0" w:color="auto"/>
        <w:right w:val="none" w:sz="0" w:space="0" w:color="auto"/>
      </w:divBdr>
    </w:div>
    <w:div w:id="1690060376">
      <w:bodyDiv w:val="1"/>
      <w:marLeft w:val="0"/>
      <w:marRight w:val="0"/>
      <w:marTop w:val="0"/>
      <w:marBottom w:val="0"/>
      <w:divBdr>
        <w:top w:val="none" w:sz="0" w:space="0" w:color="auto"/>
        <w:left w:val="none" w:sz="0" w:space="0" w:color="auto"/>
        <w:bottom w:val="none" w:sz="0" w:space="0" w:color="auto"/>
        <w:right w:val="none" w:sz="0" w:space="0" w:color="auto"/>
      </w:divBdr>
    </w:div>
    <w:div w:id="1827168212">
      <w:bodyDiv w:val="1"/>
      <w:marLeft w:val="0"/>
      <w:marRight w:val="0"/>
      <w:marTop w:val="0"/>
      <w:marBottom w:val="0"/>
      <w:divBdr>
        <w:top w:val="none" w:sz="0" w:space="0" w:color="auto"/>
        <w:left w:val="none" w:sz="0" w:space="0" w:color="auto"/>
        <w:bottom w:val="none" w:sz="0" w:space="0" w:color="auto"/>
        <w:right w:val="none" w:sz="0" w:space="0" w:color="auto"/>
      </w:divBdr>
    </w:div>
    <w:div w:id="1889562960">
      <w:bodyDiv w:val="1"/>
      <w:marLeft w:val="0"/>
      <w:marRight w:val="0"/>
      <w:marTop w:val="0"/>
      <w:marBottom w:val="0"/>
      <w:divBdr>
        <w:top w:val="none" w:sz="0" w:space="0" w:color="auto"/>
        <w:left w:val="none" w:sz="0" w:space="0" w:color="auto"/>
        <w:bottom w:val="none" w:sz="0" w:space="0" w:color="auto"/>
        <w:right w:val="none" w:sz="0" w:space="0" w:color="auto"/>
      </w:divBdr>
    </w:div>
    <w:div w:id="1896160588">
      <w:bodyDiv w:val="1"/>
      <w:marLeft w:val="0"/>
      <w:marRight w:val="0"/>
      <w:marTop w:val="0"/>
      <w:marBottom w:val="0"/>
      <w:divBdr>
        <w:top w:val="none" w:sz="0" w:space="0" w:color="auto"/>
        <w:left w:val="none" w:sz="0" w:space="0" w:color="auto"/>
        <w:bottom w:val="none" w:sz="0" w:space="0" w:color="auto"/>
        <w:right w:val="none" w:sz="0" w:space="0" w:color="auto"/>
      </w:divBdr>
    </w:div>
    <w:div w:id="1919243203">
      <w:bodyDiv w:val="1"/>
      <w:marLeft w:val="0"/>
      <w:marRight w:val="0"/>
      <w:marTop w:val="0"/>
      <w:marBottom w:val="0"/>
      <w:divBdr>
        <w:top w:val="none" w:sz="0" w:space="0" w:color="auto"/>
        <w:left w:val="none" w:sz="0" w:space="0" w:color="auto"/>
        <w:bottom w:val="none" w:sz="0" w:space="0" w:color="auto"/>
        <w:right w:val="none" w:sz="0" w:space="0" w:color="auto"/>
      </w:divBdr>
    </w:div>
    <w:div w:id="1979992857">
      <w:bodyDiv w:val="1"/>
      <w:marLeft w:val="0"/>
      <w:marRight w:val="0"/>
      <w:marTop w:val="0"/>
      <w:marBottom w:val="0"/>
      <w:divBdr>
        <w:top w:val="none" w:sz="0" w:space="0" w:color="auto"/>
        <w:left w:val="none" w:sz="0" w:space="0" w:color="auto"/>
        <w:bottom w:val="none" w:sz="0" w:space="0" w:color="auto"/>
        <w:right w:val="none" w:sz="0" w:space="0" w:color="auto"/>
      </w:divBdr>
    </w:div>
    <w:div w:id="2020353589">
      <w:bodyDiv w:val="1"/>
      <w:marLeft w:val="0"/>
      <w:marRight w:val="0"/>
      <w:marTop w:val="0"/>
      <w:marBottom w:val="0"/>
      <w:divBdr>
        <w:top w:val="none" w:sz="0" w:space="0" w:color="auto"/>
        <w:left w:val="none" w:sz="0" w:space="0" w:color="auto"/>
        <w:bottom w:val="none" w:sz="0" w:space="0" w:color="auto"/>
        <w:right w:val="none" w:sz="0" w:space="0" w:color="auto"/>
      </w:divBdr>
    </w:div>
    <w:div w:id="2140948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emf"/><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eader" Target="header4.xm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Covid19 Recovery">
      <a:dk1>
        <a:srgbClr val="0E4194"/>
      </a:dk1>
      <a:lt1>
        <a:sysClr val="window" lastClr="FFFFFF"/>
      </a:lt1>
      <a:dk2>
        <a:srgbClr val="4C4B9A"/>
      </a:dk2>
      <a:lt2>
        <a:srgbClr val="E7E6E6"/>
      </a:lt2>
      <a:accent1>
        <a:srgbClr val="2696D3"/>
      </a:accent1>
      <a:accent2>
        <a:srgbClr val="FEC00F"/>
      </a:accent2>
      <a:accent3>
        <a:srgbClr val="5F68AB"/>
      </a:accent3>
      <a:accent4>
        <a:srgbClr val="93C5B9"/>
      </a:accent4>
      <a:accent5>
        <a:srgbClr val="034EA2"/>
      </a:accent5>
      <a:accent6>
        <a:srgbClr val="F380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DateFormatENOnly>dd/MM/yyyy</DateFormatENOnly>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3.xml><?xml version="1.0" encoding="utf-8"?>
<EurolookProperties>
  <ProductCustomizationId>EC</ProductCustomizationId>
  <Created>
    <Version>10.0.39616.0</Version>
    <Date>2019-10-02T10:30:58</Date>
    <Language>EN</Language>
  </Created>
  <Edited>
    <Version>10.0.40769.0</Version>
    <Date>2020-05-27T17:55:56</Date>
  </Edited>
  <DocumentModel>
    <Id>6cbda13a-4db2-46c6-876a-ef72275827ef</Id>
    <Name>Report</Name>
  </DocumentModel>
  <DocumentDate>2019-10-02T10:30:58</DocumentDate>
  <DocumentVersion>0.1</DocumentVersion>
  <CompatibilityMode>Eurolook10</CompatibilityMode>
  <Address/>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ED63266B-9BB5-4847-93D3-277E5528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39</TotalTime>
  <Pages>21</Pages>
  <Words>6847</Words>
  <Characters>44033</Characters>
  <Application>Microsoft Office Word</Application>
  <DocSecurity>0</DocSecurity>
  <PresentationFormat>Microsoft Word 14.0</PresentationFormat>
  <Lines>746</Lines>
  <Paragraphs>200</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22</cp:revision>
  <dcterms:created xsi:type="dcterms:W3CDTF">2020-05-27T07:35:00Z</dcterms:created>
  <dcterms:modified xsi:type="dcterms:W3CDTF">2020-05-27T15:55:00Z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CP-009</vt:lpwstr>
  </property>
</Properties>
</file>