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  <w:lang w:val="es-ES_tradnl"/>
        </w:rPr>
      </w:pPr>
      <w:bookmarkStart w:id="0" w:name="LW_BM_COVERPAGE"/>
      <w:r>
        <w:rPr>
          <w:noProof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2912DC70-FB66-47C5-864B-36CBD424E0F5" style="width:450.85pt;height:334.3pt">
            <v:imagedata r:id="rId9" o:title=""/>
          </v:shape>
        </w:pict>
      </w:r>
    </w:p>
    <w:bookmarkEnd w:id="0"/>
    <w:p>
      <w:pPr>
        <w:rPr>
          <w:noProof/>
          <w:lang w:val="es-ES_tradnl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jc w:val="center"/>
        <w:rPr>
          <w:b/>
          <w:noProof/>
          <w:lang w:val="es-ES_tradnl"/>
        </w:rPr>
      </w:pPr>
      <w:bookmarkStart w:id="1" w:name="_Toc290299526"/>
      <w:bookmarkStart w:id="2" w:name="_Toc293654075"/>
      <w:bookmarkStart w:id="3" w:name="_Toc295473794"/>
      <w:bookmarkStart w:id="4" w:name="_Toc297024215"/>
      <w:bookmarkStart w:id="5" w:name="_GoBack"/>
      <w:bookmarkEnd w:id="5"/>
    </w:p>
    <w:p>
      <w:pPr>
        <w:jc w:val="center"/>
        <w:rPr>
          <w:b/>
          <w:noProof/>
          <w:lang w:val="es-ES_tradnl"/>
        </w:rPr>
      </w:pPr>
    </w:p>
    <w:p>
      <w:pPr>
        <w:jc w:val="center"/>
        <w:rPr>
          <w:b/>
          <w:noProof/>
          <w:lang w:val="es-ES_tradnl"/>
        </w:rPr>
      </w:pPr>
    </w:p>
    <w:p>
      <w:pPr>
        <w:jc w:val="center"/>
        <w:rPr>
          <w:b/>
          <w:noProof/>
          <w:lang w:val="es-ES_tradnl"/>
        </w:rPr>
      </w:pPr>
      <w:r>
        <w:rPr>
          <w:b/>
          <w:noProof/>
          <w:lang w:val="es-ES_tradnl"/>
        </w:rPr>
        <w:t>Propuesta modificada de</w:t>
      </w:r>
    </w:p>
    <w:p>
      <w:pPr>
        <w:jc w:val="center"/>
        <w:rPr>
          <w:b/>
          <w:noProof/>
          <w:lang w:val="es-ES_tradnl"/>
        </w:rPr>
      </w:pPr>
      <w:r>
        <w:rPr>
          <w:b/>
          <w:noProof/>
          <w:lang w:val="es-ES_tradnl"/>
        </w:rPr>
        <w:t>Acuerdo Interinstitucional</w:t>
      </w:r>
    </w:p>
    <w:p>
      <w:pPr>
        <w:jc w:val="center"/>
        <w:rPr>
          <w:b/>
          <w:noProof/>
          <w:lang w:val="es-ES_tradnl"/>
        </w:rPr>
      </w:pPr>
      <w:r>
        <w:rPr>
          <w:b/>
          <w:noProof/>
          <w:lang w:val="es-ES_tradnl"/>
        </w:rPr>
        <w:t>entre el Parlamento Europeo, el Consejo y la Comisión sobre disciplina presupuestaria, cooperación en materia presupuestaria y buena gestión financiera</w:t>
      </w:r>
    </w:p>
    <w:p>
      <w:pPr>
        <w:rPr>
          <w:noProof/>
          <w:lang w:val="es-ES_tradnl"/>
        </w:rPr>
      </w:pPr>
    </w:p>
    <w:p>
      <w:pPr>
        <w:rPr>
          <w:noProof/>
          <w:lang w:val="es-ES_tradnl"/>
        </w:rPr>
      </w:pPr>
      <w:r>
        <w:rPr>
          <w:noProof/>
          <w:lang w:val="es-ES_tradnl"/>
        </w:rPr>
        <w:t>Se modifica del siguiente modo la propuesta COM(2018)323 de la Comisión:</w:t>
      </w:r>
    </w:p>
    <w:p>
      <w:pPr>
        <w:pStyle w:val="Point0number"/>
        <w:rPr>
          <w:noProof/>
          <w:lang w:val="es-ES_tradnl"/>
        </w:rPr>
      </w:pPr>
      <w:r>
        <w:rPr>
          <w:noProof/>
          <w:lang w:val="es-ES_tradnl"/>
        </w:rPr>
        <w:t>En la parte I.B, el texto del punto 11 se sustituye por el siguiente:</w:t>
      </w:r>
    </w:p>
    <w:bookmarkEnd w:id="1"/>
    <w:bookmarkEnd w:id="2"/>
    <w:bookmarkEnd w:id="3"/>
    <w:bookmarkEnd w:id="4"/>
    <w:p>
      <w:pPr>
        <w:pStyle w:val="Text1"/>
        <w:rPr>
          <w:noProof/>
          <w:lang w:val="es-ES_tradnl"/>
        </w:rPr>
      </w:pPr>
      <w:r>
        <w:rPr>
          <w:noProof/>
          <w:lang w:val="es-ES_tradnl"/>
        </w:rPr>
        <w:t>«</w:t>
      </w:r>
      <w:r>
        <w:rPr>
          <w:i/>
          <w:noProof/>
          <w:lang w:val="es-ES_tradnl"/>
        </w:rPr>
        <w:t>Reserva de Solidaridad y para Ayudas de Emergencia</w:t>
      </w:r>
    </w:p>
    <w:p>
      <w:pPr>
        <w:pStyle w:val="Text1"/>
        <w:rPr>
          <w:noProof/>
          <w:lang w:val="es-ES_tradnl"/>
        </w:rPr>
      </w:pPr>
      <w:r>
        <w:rPr>
          <w:noProof/>
          <w:lang w:val="es-ES_tradnl"/>
        </w:rPr>
        <w:t>11. Cuando la Comisión considere necesario recurrir a la Reserva de Solidaridad y para Ayudas de Emergencia, presentará al Parlamento Europeo y al Consejo una propuesta de transferencia desde dicha Reserva a las líneas presupuestarias correspondientes de conformidad con el Reglamento Financiero.».</w:t>
      </w:r>
    </w:p>
    <w:p>
      <w:pPr>
        <w:pStyle w:val="Point0number"/>
        <w:rPr>
          <w:noProof/>
          <w:lang w:val="es-ES_tradnl"/>
        </w:rPr>
      </w:pPr>
      <w:r>
        <w:rPr>
          <w:noProof/>
          <w:lang w:val="es-ES_tradnl"/>
        </w:rPr>
        <w:t xml:space="preserve">En la parte II.A, se añade el punto 15 </w:t>
      </w:r>
      <w:r>
        <w:rPr>
          <w:i/>
          <w:noProof/>
          <w:lang w:val="es-ES_tradnl"/>
        </w:rPr>
        <w:t>bis</w:t>
      </w:r>
      <w:r>
        <w:rPr>
          <w:noProof/>
          <w:lang w:val="es-ES_tradnl"/>
        </w:rPr>
        <w:t xml:space="preserve"> siguiente:</w:t>
      </w:r>
    </w:p>
    <w:p>
      <w:pPr>
        <w:pStyle w:val="Text1"/>
        <w:rPr>
          <w:noProof/>
          <w:lang w:val="es-ES_tradnl"/>
        </w:rPr>
      </w:pPr>
      <w:r>
        <w:rPr>
          <w:noProof/>
          <w:lang w:val="es-ES_tradnl"/>
        </w:rPr>
        <w:t xml:space="preserve">«15 </w:t>
      </w:r>
      <w:r>
        <w:rPr>
          <w:i/>
          <w:noProof/>
          <w:lang w:val="es-ES_tradnl"/>
        </w:rPr>
        <w:t>bis</w:t>
      </w:r>
      <w:r>
        <w:rPr>
          <w:noProof/>
          <w:lang w:val="es-ES_tradnl"/>
        </w:rPr>
        <w:t>. La Comisión preparará un informe anual sobre la aplicación del Instrumento de Recuperación de la Unión Europea</w:t>
      </w:r>
      <w:r>
        <w:rPr>
          <w:rStyle w:val="FootnoteReference"/>
          <w:noProof/>
          <w:lang w:val="es-ES_tradnl"/>
        </w:rPr>
        <w:footnoteReference w:id="1"/>
      </w:r>
      <w:r>
        <w:rPr>
          <w:noProof/>
          <w:lang w:val="es-ES_tradnl"/>
        </w:rPr>
        <w:t xml:space="preserve"> («Instrumento Europeo de Recuperación») en el que reunirá toda la información disponible y no confidencial relativa a lo siguiente:</w:t>
      </w:r>
    </w:p>
    <w:p>
      <w:pPr>
        <w:pStyle w:val="Tiret1"/>
        <w:tabs>
          <w:tab w:val="num" w:pos="1417"/>
        </w:tabs>
        <w:ind w:left="1417" w:hanging="567"/>
        <w:rPr>
          <w:rFonts w:eastAsia="Times New Roman"/>
          <w:noProof/>
          <w:szCs w:val="24"/>
          <w:lang w:val="es-ES_tradnl" w:eastAsia="de-DE"/>
        </w:rPr>
      </w:pPr>
      <w:r>
        <w:rPr>
          <w:noProof/>
          <w:lang w:val="es-ES_tradnl"/>
        </w:rPr>
        <w:t>-</w:t>
      </w:r>
      <w:r>
        <w:rPr>
          <w:noProof/>
          <w:lang w:val="es-ES_tradnl"/>
        </w:rPr>
        <w:tab/>
        <w:t>el activo y pasivo que se deriven de las operaciones de préstamo y crédito realizadas de conformidad con el artículo 3b de la Decisión sobre el sistema de recursos propios</w:t>
      </w:r>
      <w:r>
        <w:rPr>
          <w:rStyle w:val="FootnoteReference"/>
          <w:rFonts w:eastAsia="Times New Roman"/>
          <w:noProof/>
          <w:szCs w:val="24"/>
          <w:lang w:val="es-ES_tradnl" w:eastAsia="de-DE"/>
        </w:rPr>
        <w:footnoteReference w:id="2"/>
      </w:r>
      <w:r>
        <w:rPr>
          <w:rFonts w:eastAsia="Times New Roman"/>
          <w:noProof/>
          <w:szCs w:val="24"/>
          <w:lang w:val="es-ES_tradnl" w:eastAsia="de-DE"/>
        </w:rPr>
        <w:t>;</w:t>
      </w:r>
    </w:p>
    <w:p>
      <w:pPr>
        <w:pStyle w:val="Tiret1"/>
        <w:tabs>
          <w:tab w:val="num" w:pos="1417"/>
        </w:tabs>
        <w:ind w:left="1417" w:hanging="567"/>
        <w:rPr>
          <w:rFonts w:eastAsia="Times New Roman"/>
          <w:noProof/>
          <w:szCs w:val="24"/>
          <w:lang w:val="es-ES_tradnl" w:eastAsia="de-DE"/>
        </w:rPr>
      </w:pPr>
      <w:r>
        <w:rPr>
          <w:rFonts w:eastAsia="Times New Roman"/>
          <w:noProof/>
          <w:szCs w:val="24"/>
          <w:lang w:val="es-ES_tradnl" w:eastAsia="de-DE"/>
        </w:rPr>
        <w:t>-</w:t>
      </w:r>
      <w:r>
        <w:rPr>
          <w:rFonts w:eastAsia="Times New Roman"/>
          <w:noProof/>
          <w:szCs w:val="24"/>
          <w:lang w:val="es-ES_tradnl" w:eastAsia="de-DE"/>
        </w:rPr>
        <w:tab/>
        <w:t>el volumen agregado de ingresos asignados el año anterior a programas de la Unión en aplicación del Instrumento Europeo de Recuperación, desglosados por programa y línea presupuestaria;</w:t>
      </w:r>
    </w:p>
    <w:p>
      <w:pPr>
        <w:pStyle w:val="Tiret1"/>
        <w:tabs>
          <w:tab w:val="num" w:pos="1417"/>
        </w:tabs>
        <w:ind w:left="1417" w:hanging="567"/>
        <w:rPr>
          <w:rFonts w:eastAsia="Times New Roman"/>
          <w:noProof/>
          <w:szCs w:val="24"/>
          <w:lang w:val="es-ES_tradnl" w:eastAsia="de-DE"/>
        </w:rPr>
      </w:pPr>
      <w:r>
        <w:rPr>
          <w:rFonts w:eastAsia="Times New Roman"/>
          <w:noProof/>
          <w:szCs w:val="24"/>
          <w:lang w:val="es-ES_tradnl" w:eastAsia="de-DE"/>
        </w:rPr>
        <w:t>-</w:t>
      </w:r>
      <w:r>
        <w:rPr>
          <w:rFonts w:eastAsia="Times New Roman"/>
          <w:noProof/>
          <w:szCs w:val="24"/>
          <w:lang w:val="es-ES_tradnl" w:eastAsia="de-DE"/>
        </w:rPr>
        <w:tab/>
        <w:t>la contribución de los fondos de empréstitos a los objetivos del Instrumento Europeo de Recuperación y de los programas específicos de la Unión</w:t>
      </w:r>
      <w:r>
        <w:rPr>
          <w:noProof/>
          <w:lang w:val="es-ES_tradnl"/>
        </w:rPr>
        <w:t>.».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336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DO …</w:t>
      </w:r>
    </w:p>
  </w:footnote>
  <w:footnote w:id="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 xml:space="preserve"> DO 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4A6"/>
    <w:multiLevelType w:val="multilevel"/>
    <w:tmpl w:val="056EBA2E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3C78B8"/>
    <w:multiLevelType w:val="multilevel"/>
    <w:tmpl w:val="CE62FE2A"/>
    <w:name w:val="Point"/>
    <w:lvl w:ilvl="0">
      <w:start w:val="1"/>
      <w:numFmt w:val="decimal"/>
      <w:pStyle w:val="Point0number"/>
      <w:lvlText w:val="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0AB28E9C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2912DC70-FB66-47C5-864B-36CBD424E0F5"/>
    <w:docVar w:name="LW_COVERPAGE_TYPE" w:val="1"/>
    <w:docVar w:name="LW_CROSSREFERENCE" w:val="&lt;UNUSED&gt;"/>
    <w:docVar w:name="LW_DocType" w:val="NORMAL"/>
    <w:docVar w:name="LW_EMISSION" w:val="28.5.2020"/>
    <w:docVar w:name="LW_EMISSION_ISODATE" w:val="2020-05-28"/>
    <w:docVar w:name="LW_EMISSION_LOCATION" w:val="BRX"/>
    <w:docVar w:name="LW_EMISSION_PREFIX" w:val="Bruselas, "/>
    <w:docVar w:name="LW_EMISSION_SUFFIX" w:val=" "/>
    <w:docVar w:name="LW_ID_DOCTYPE_NONLW" w:val="CP-035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44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entre el Parlamento Europeo, el Consejo y la Comisión sobre disciplina presupuestaria, cooperación en materia presupuestaria y buena gestión financiera"/>
    <w:docVar w:name="LW_TYPE.DOC.CP" w:val="Propuesta modificada de_x000b__x000b_Acuerdo interinstitucion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semiHidden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Exposdesmotifstitre">
    <w:name w:val="Exposé des motifs titre"/>
    <w:basedOn w:val="Normal"/>
    <w:next w:val="Normal"/>
    <w:link w:val="ExposdesmotifstitreChar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Normal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Normal"/>
    <w:pPr>
      <w:spacing w:before="360" w:after="0"/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nhideWhenUsed/>
    <w:pPr>
      <w:tabs>
        <w:tab w:val="center" w:pos="4535"/>
        <w:tab w:val="right" w:pos="9071"/>
      </w:tabs>
      <w:spacing w:before="0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ExposdesmotifstitreChar">
    <w:name w:val="Exposé des motifs titre Char"/>
    <w:basedOn w:val="DefaultParagraphFont"/>
    <w:link w:val="Exposdesmotifstitre"/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character" w:customStyle="1" w:styleId="FooterCoverPageChar">
    <w:name w:val="Footer Cover Page Char"/>
    <w:basedOn w:val="ExposdesmotifstitreChar"/>
    <w:link w:val="FooterCoverPage"/>
    <w:rPr>
      <w:rFonts w:ascii="Times New Roman" w:eastAsia="Times New Roman" w:hAnsi="Times New Roman" w:cs="Times New Roman"/>
      <w:b w:val="0"/>
      <w:sz w:val="24"/>
      <w:szCs w:val="24"/>
      <w:u w:val="single"/>
      <w:lang w:eastAsia="de-D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ExposdesmotifstitreChar"/>
    <w:link w:val="HeaderCoverPage"/>
    <w:rPr>
      <w:rFonts w:ascii="Times New Roman" w:eastAsia="Times New Roman" w:hAnsi="Times New Roman" w:cs="Times New Roman"/>
      <w:b w:val="0"/>
      <w:sz w:val="24"/>
      <w:szCs w:val="24"/>
      <w:u w:val="single"/>
      <w:lang w:eastAsia="de-DE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NumPar1">
    <w:name w:val="NumPar 1"/>
    <w:basedOn w:val="Normal"/>
    <w:next w:val="Text1"/>
    <w:pPr>
      <w:numPr>
        <w:numId w:val="1"/>
      </w:numPr>
    </w:pPr>
  </w:style>
  <w:style w:type="paragraph" w:customStyle="1" w:styleId="NumPar2">
    <w:name w:val="NumPar 2"/>
    <w:basedOn w:val="Normal"/>
    <w:next w:val="Normal"/>
    <w:pPr>
      <w:numPr>
        <w:ilvl w:val="1"/>
        <w:numId w:val="1"/>
      </w:numPr>
    </w:pPr>
  </w:style>
  <w:style w:type="paragraph" w:customStyle="1" w:styleId="NumPar3">
    <w:name w:val="NumPar 3"/>
    <w:basedOn w:val="Normal"/>
    <w:next w:val="Normal"/>
    <w:pPr>
      <w:numPr>
        <w:ilvl w:val="2"/>
        <w:numId w:val="1"/>
      </w:numPr>
    </w:pPr>
  </w:style>
  <w:style w:type="paragraph" w:customStyle="1" w:styleId="NumPar4">
    <w:name w:val="NumPar 4"/>
    <w:basedOn w:val="Normal"/>
    <w:next w:val="Normal"/>
    <w:pPr>
      <w:numPr>
        <w:ilvl w:val="3"/>
        <w:numId w:val="1"/>
      </w:numPr>
    </w:p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ind w:left="850" w:hanging="850"/>
      <w:outlineLvl w:val="1"/>
    </w:pPr>
    <w:rPr>
      <w:b/>
    </w:rPr>
  </w:style>
  <w:style w:type="character" w:customStyle="1" w:styleId="Deleted">
    <w:name w:val="Deleted"/>
    <w:basedOn w:val="DefaultParagraphFont"/>
    <w:rPr>
      <w:strike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classification">
    <w:name w:val="Declassification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eastAsiaTheme="minorHAnsi"/>
      <w:szCs w:val="22"/>
      <w:lang w:eastAsia="en-US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Manual">
    <w:name w:val="Manual"/>
    <w:basedOn w:val="NumPar1"/>
    <w:pPr>
      <w:numPr>
        <w:numId w:val="0"/>
      </w:numPr>
      <w:ind w:left="850"/>
    </w:pPr>
    <w:rPr>
      <w:noProof/>
    </w:rPr>
  </w:style>
  <w:style w:type="paragraph" w:customStyle="1" w:styleId="Tiret1">
    <w:name w:val="Tiret 1"/>
    <w:basedOn w:val="Normal"/>
    <w:rPr>
      <w:rFonts w:eastAsiaTheme="minorHAnsi"/>
      <w:szCs w:val="22"/>
      <w:lang w:eastAsia="en-US"/>
    </w:rPr>
  </w:style>
  <w:style w:type="paragraph" w:customStyle="1" w:styleId="Tiret0">
    <w:name w:val="Tiret 0"/>
    <w:basedOn w:val="Normal"/>
    <w:rPr>
      <w:rFonts w:eastAsiaTheme="minorHAnsi"/>
      <w:szCs w:val="22"/>
      <w:lang w:eastAsia="en-US"/>
    </w:rPr>
  </w:style>
  <w:style w:type="paragraph" w:customStyle="1" w:styleId="PartTitle">
    <w:name w:val="PartTitle"/>
    <w:basedOn w:val="Normal"/>
    <w:next w:val="Normal"/>
    <w:pPr>
      <w:keepNext/>
      <w:pageBreakBefore/>
      <w:spacing w:after="360"/>
      <w:jc w:val="center"/>
    </w:pPr>
    <w:rPr>
      <w:rFonts w:eastAsiaTheme="minorHAnsi"/>
      <w:b/>
      <w:sz w:val="36"/>
      <w:szCs w:val="22"/>
      <w:lang w:eastAsia="en-US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rFonts w:eastAsiaTheme="minorHAnsi"/>
      <w:b/>
      <w:smallCaps/>
      <w:szCs w:val="22"/>
      <w:lang w:eastAsia="en-US"/>
    </w:r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rFonts w:eastAsiaTheme="minorHAnsi"/>
      <w:b/>
      <w:sz w:val="32"/>
      <w:szCs w:val="22"/>
      <w:lang w:eastAsia="en-US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Manualnum">
    <w:name w:val="Manual num"/>
    <w:basedOn w:val="NumPar1"/>
    <w:rPr>
      <w:noProof/>
    </w:rPr>
  </w:style>
  <w:style w:type="paragraph" w:customStyle="1" w:styleId="ManualNumPar1">
    <w:name w:val="Manual NumPar 1"/>
    <w:basedOn w:val="Normal"/>
    <w:next w:val="Text1"/>
    <w:pPr>
      <w:ind w:left="850" w:hanging="850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al"/>
    <w:pPr>
      <w:numPr>
        <w:numId w:val="9"/>
      </w:numPr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al"/>
    <w:pPr>
      <w:numPr>
        <w:ilvl w:val="2"/>
        <w:numId w:val="9"/>
      </w:numPr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al"/>
    <w:pPr>
      <w:numPr>
        <w:ilvl w:val="4"/>
        <w:numId w:val="9"/>
      </w:numPr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al"/>
    <w:pPr>
      <w:numPr>
        <w:ilvl w:val="6"/>
        <w:numId w:val="9"/>
      </w:numPr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al"/>
    <w:pPr>
      <w:numPr>
        <w:ilvl w:val="1"/>
        <w:numId w:val="9"/>
      </w:numPr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al"/>
    <w:pPr>
      <w:numPr>
        <w:ilvl w:val="3"/>
        <w:numId w:val="9"/>
      </w:numPr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al"/>
    <w:pPr>
      <w:numPr>
        <w:ilvl w:val="5"/>
        <w:numId w:val="9"/>
      </w:numPr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al"/>
    <w:pPr>
      <w:numPr>
        <w:ilvl w:val="7"/>
        <w:numId w:val="9"/>
      </w:numPr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al"/>
    <w:pPr>
      <w:numPr>
        <w:ilvl w:val="8"/>
        <w:numId w:val="9"/>
      </w:numPr>
    </w:pPr>
    <w:rPr>
      <w:rFonts w:eastAsiaTheme="minorHAnsi"/>
      <w:szCs w:val="22"/>
      <w:lang w:eastAsia="en-US"/>
    </w:rPr>
  </w:style>
  <w:style w:type="paragraph" w:customStyle="1" w:styleId="Tiret2">
    <w:name w:val="Tiret 2"/>
    <w:basedOn w:val="NumPar1"/>
    <w:pPr>
      <w:numPr>
        <w:numId w:val="0"/>
      </w:numPr>
      <w:ind w:left="851" w:hanging="426"/>
    </w:pPr>
    <w:rPr>
      <w:noProof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  <w:rPr>
      <w:rFonts w:eastAsiaTheme="minorHAnsi"/>
      <w:szCs w:val="22"/>
      <w:lang w:eastAsia="en-US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semiHidden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Exposdesmotifstitre">
    <w:name w:val="Exposé des motifs titre"/>
    <w:basedOn w:val="Normal"/>
    <w:next w:val="Normal"/>
    <w:link w:val="ExposdesmotifstitreChar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Normal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Normal"/>
    <w:pPr>
      <w:spacing w:before="360" w:after="0"/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nhideWhenUsed/>
    <w:pPr>
      <w:tabs>
        <w:tab w:val="center" w:pos="4535"/>
        <w:tab w:val="right" w:pos="9071"/>
      </w:tabs>
      <w:spacing w:before="0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ExposdesmotifstitreChar">
    <w:name w:val="Exposé des motifs titre Char"/>
    <w:basedOn w:val="DefaultParagraphFont"/>
    <w:link w:val="Exposdesmotifstitre"/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character" w:customStyle="1" w:styleId="FooterCoverPageChar">
    <w:name w:val="Footer Cover Page Char"/>
    <w:basedOn w:val="ExposdesmotifstitreChar"/>
    <w:link w:val="FooterCoverPage"/>
    <w:rPr>
      <w:rFonts w:ascii="Times New Roman" w:eastAsia="Times New Roman" w:hAnsi="Times New Roman" w:cs="Times New Roman"/>
      <w:b w:val="0"/>
      <w:sz w:val="24"/>
      <w:szCs w:val="24"/>
      <w:u w:val="single"/>
      <w:lang w:eastAsia="de-D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ExposdesmotifstitreChar"/>
    <w:link w:val="HeaderCoverPage"/>
    <w:rPr>
      <w:rFonts w:ascii="Times New Roman" w:eastAsia="Times New Roman" w:hAnsi="Times New Roman" w:cs="Times New Roman"/>
      <w:b w:val="0"/>
      <w:sz w:val="24"/>
      <w:szCs w:val="24"/>
      <w:u w:val="single"/>
      <w:lang w:eastAsia="de-DE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NumPar1">
    <w:name w:val="NumPar 1"/>
    <w:basedOn w:val="Normal"/>
    <w:next w:val="Text1"/>
    <w:pPr>
      <w:numPr>
        <w:numId w:val="1"/>
      </w:numPr>
    </w:pPr>
  </w:style>
  <w:style w:type="paragraph" w:customStyle="1" w:styleId="NumPar2">
    <w:name w:val="NumPar 2"/>
    <w:basedOn w:val="Normal"/>
    <w:next w:val="Normal"/>
    <w:pPr>
      <w:numPr>
        <w:ilvl w:val="1"/>
        <w:numId w:val="1"/>
      </w:numPr>
    </w:pPr>
  </w:style>
  <w:style w:type="paragraph" w:customStyle="1" w:styleId="NumPar3">
    <w:name w:val="NumPar 3"/>
    <w:basedOn w:val="Normal"/>
    <w:next w:val="Normal"/>
    <w:pPr>
      <w:numPr>
        <w:ilvl w:val="2"/>
        <w:numId w:val="1"/>
      </w:numPr>
    </w:pPr>
  </w:style>
  <w:style w:type="paragraph" w:customStyle="1" w:styleId="NumPar4">
    <w:name w:val="NumPar 4"/>
    <w:basedOn w:val="Normal"/>
    <w:next w:val="Normal"/>
    <w:pPr>
      <w:numPr>
        <w:ilvl w:val="3"/>
        <w:numId w:val="1"/>
      </w:numPr>
    </w:p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ind w:left="850" w:hanging="850"/>
      <w:outlineLvl w:val="1"/>
    </w:pPr>
    <w:rPr>
      <w:b/>
    </w:rPr>
  </w:style>
  <w:style w:type="character" w:customStyle="1" w:styleId="Deleted">
    <w:name w:val="Deleted"/>
    <w:basedOn w:val="DefaultParagraphFont"/>
    <w:rPr>
      <w:strike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classification">
    <w:name w:val="Declassification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eastAsiaTheme="minorHAnsi"/>
      <w:szCs w:val="22"/>
      <w:lang w:eastAsia="en-US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Manual">
    <w:name w:val="Manual"/>
    <w:basedOn w:val="NumPar1"/>
    <w:pPr>
      <w:numPr>
        <w:numId w:val="0"/>
      </w:numPr>
      <w:ind w:left="850"/>
    </w:pPr>
    <w:rPr>
      <w:noProof/>
    </w:rPr>
  </w:style>
  <w:style w:type="paragraph" w:customStyle="1" w:styleId="Tiret1">
    <w:name w:val="Tiret 1"/>
    <w:basedOn w:val="Normal"/>
    <w:rPr>
      <w:rFonts w:eastAsiaTheme="minorHAnsi"/>
      <w:szCs w:val="22"/>
      <w:lang w:eastAsia="en-US"/>
    </w:rPr>
  </w:style>
  <w:style w:type="paragraph" w:customStyle="1" w:styleId="Tiret0">
    <w:name w:val="Tiret 0"/>
    <w:basedOn w:val="Normal"/>
    <w:rPr>
      <w:rFonts w:eastAsiaTheme="minorHAnsi"/>
      <w:szCs w:val="22"/>
      <w:lang w:eastAsia="en-US"/>
    </w:rPr>
  </w:style>
  <w:style w:type="paragraph" w:customStyle="1" w:styleId="PartTitle">
    <w:name w:val="PartTitle"/>
    <w:basedOn w:val="Normal"/>
    <w:next w:val="Normal"/>
    <w:pPr>
      <w:keepNext/>
      <w:pageBreakBefore/>
      <w:spacing w:after="360"/>
      <w:jc w:val="center"/>
    </w:pPr>
    <w:rPr>
      <w:rFonts w:eastAsiaTheme="minorHAnsi"/>
      <w:b/>
      <w:sz w:val="36"/>
      <w:szCs w:val="22"/>
      <w:lang w:eastAsia="en-US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rFonts w:eastAsiaTheme="minorHAnsi"/>
      <w:b/>
      <w:smallCaps/>
      <w:szCs w:val="22"/>
      <w:lang w:eastAsia="en-US"/>
    </w:r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rFonts w:eastAsiaTheme="minorHAnsi"/>
      <w:b/>
      <w:sz w:val="32"/>
      <w:szCs w:val="22"/>
      <w:lang w:eastAsia="en-US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Manualnum">
    <w:name w:val="Manual num"/>
    <w:basedOn w:val="NumPar1"/>
    <w:rPr>
      <w:noProof/>
    </w:rPr>
  </w:style>
  <w:style w:type="paragraph" w:customStyle="1" w:styleId="ManualNumPar1">
    <w:name w:val="Manual NumPar 1"/>
    <w:basedOn w:val="Normal"/>
    <w:next w:val="Text1"/>
    <w:pPr>
      <w:ind w:left="850" w:hanging="850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al"/>
    <w:pPr>
      <w:numPr>
        <w:numId w:val="9"/>
      </w:numPr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al"/>
    <w:pPr>
      <w:numPr>
        <w:ilvl w:val="2"/>
        <w:numId w:val="9"/>
      </w:numPr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al"/>
    <w:pPr>
      <w:numPr>
        <w:ilvl w:val="4"/>
        <w:numId w:val="9"/>
      </w:numPr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al"/>
    <w:pPr>
      <w:numPr>
        <w:ilvl w:val="6"/>
        <w:numId w:val="9"/>
      </w:numPr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al"/>
    <w:pPr>
      <w:numPr>
        <w:ilvl w:val="1"/>
        <w:numId w:val="9"/>
      </w:numPr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al"/>
    <w:pPr>
      <w:numPr>
        <w:ilvl w:val="3"/>
        <w:numId w:val="9"/>
      </w:numPr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al"/>
    <w:pPr>
      <w:numPr>
        <w:ilvl w:val="5"/>
        <w:numId w:val="9"/>
      </w:numPr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al"/>
    <w:pPr>
      <w:numPr>
        <w:ilvl w:val="7"/>
        <w:numId w:val="9"/>
      </w:numPr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al"/>
    <w:pPr>
      <w:numPr>
        <w:ilvl w:val="8"/>
        <w:numId w:val="9"/>
      </w:numPr>
    </w:pPr>
    <w:rPr>
      <w:rFonts w:eastAsiaTheme="minorHAnsi"/>
      <w:szCs w:val="22"/>
      <w:lang w:eastAsia="en-US"/>
    </w:rPr>
  </w:style>
  <w:style w:type="paragraph" w:customStyle="1" w:styleId="Tiret2">
    <w:name w:val="Tiret 2"/>
    <w:basedOn w:val="NumPar1"/>
    <w:pPr>
      <w:numPr>
        <w:numId w:val="0"/>
      </w:numPr>
      <w:ind w:left="851" w:hanging="426"/>
    </w:pPr>
    <w:rPr>
      <w:noProof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  <w:rPr>
      <w:rFonts w:eastAsiaTheme="minorHAnsi"/>
      <w:szCs w:val="22"/>
      <w:lang w:eastAsia="en-US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966D-734F-4F3A-885D-23C16288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1289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2020-05-22T09:35:00Z</dcterms:created>
  <dcterms:modified xsi:type="dcterms:W3CDTF">2020-05-28T15:25:00Z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7.0, Build 20190717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PTemplateID">
    <vt:lpwstr>CP-035</vt:lpwstr>
  </property>
</Properties>
</file>