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EF38CC7-EA6C-4530-9967-BCA839230687" style="width:451.25pt;height:544.2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rPr>
          <w:noProof/>
        </w:rPr>
      </w:pPr>
      <w:r>
        <w:rPr>
          <w:noProof/>
        </w:rPr>
        <w:t>Pandemija bolesti COVID-19 ozbiljna je javnozdravstvena kriza širokih razmjera koja teško pogađa građane, društva i gospodarstva diljem svijeta. Zdravstvena kriza ovakvih razmjera i odgovori politike poduzeti kako bi se ona stavila pod nadzor nisu dosada zabilježeni. Stoga je njezin socioekonomski učinak iznimno neizvjestan. Već je u ovoj fazi jasno da je kriza stavila na neviđene kušnje financijske i gospodarske sustave država članica. U skladu s Komisijinim proljetnim prognozama</w:t>
      </w:r>
      <w:r>
        <w:rPr>
          <w:rStyle w:val="FootnoteReference"/>
          <w:noProof/>
        </w:rPr>
        <w:footnoteReference w:id="2"/>
      </w:r>
      <w:r>
        <w:rPr>
          <w:noProof/>
        </w:rPr>
        <w:t xml:space="preserve"> očekuje se da će se BDP EU-a ove godine smanjiti za oko 7,5 % – znatno više nego tijekom globalne financijske krize 2009. – te da će se u 2021. oporaviti samo za 6 %.</w:t>
      </w:r>
    </w:p>
    <w:p>
      <w:pPr>
        <w:rPr>
          <w:noProof/>
        </w:rPr>
      </w:pPr>
      <w:r>
        <w:rPr>
          <w:noProof/>
        </w:rPr>
        <w:t xml:space="preserve">Kao odgovor na krizu države članice donijele su izvanredne diskrecijske gospodarske i financijske mjere. Uz učinak takozvanih „automatskih stabilizatora”, tj. plaćanja predviđenih u okviru sustava osiguranja u slučaju nezaposlenosti i socijalne sigurnosti, u kombinaciji s gubitkom poreznih prihoda, te mjere imaju znatan utjecaj na njihove javne financije, zbog čega je ukupni deficit opće države ove godine skočio s 0,6 % BDP-a u 2019. na 8,5 % BDP-a i u europodručju i u EU-u. </w:t>
      </w:r>
    </w:p>
    <w:p>
      <w:pPr>
        <w:rPr>
          <w:noProof/>
        </w:rPr>
      </w:pPr>
      <w:r>
        <w:rPr>
          <w:noProof/>
        </w:rPr>
        <w:t>Kriza uzrokovana pandemijom bolesti COVID-19 znatno utječe na društvo na globalnoj razini, od učinaka na zdravstvene sustave do ozbiljnih globalnih socijalnih i gospodarskih posljedica. Naša strategija odgovora mora biti sveobuhvatna, usklađena i integrirana te obuhvatiti izazove povezane s javim zdravljem i socioekonomskom situacijom. Najmanje razvijene zemlje najosjetljivije su na pandemiju bolesti COVID-19 zbog slabih i neotpornih zdravstvenih sustava i složenih socioekonomskih izazova i izazova upravljanja. Već je očito da će COVID-19 imati velik utjecaj na gospodarske i makroekonomske sustave naših partnerskih zemalja. Vlade će morati raditi na održavanju makroekonomske stabilnosti i fiskalnog prostora kako bi zaštitile najugroženije skupine, poduzeća i radnike te nastavile pružati osnovne socijalne usluge.</w:t>
      </w:r>
    </w:p>
    <w:p>
      <w:pPr>
        <w:rPr>
          <w:noProof/>
        </w:rPr>
      </w:pPr>
      <w:r>
        <w:rPr>
          <w:noProof/>
        </w:rPr>
        <w:t xml:space="preserve">Ta iznimna situacija zahtijeva usklađen i jedinstven pristup na razini Unije. </w:t>
      </w:r>
    </w:p>
    <w:p>
      <w:pPr>
        <w:rPr>
          <w:noProof/>
        </w:rPr>
      </w:pPr>
      <w:r>
        <w:rPr>
          <w:noProof/>
        </w:rPr>
        <w:t>Opsežan plan europskog oporavka zahtijevat će iznimno velika javna i privatna ulaganja na europskoj razini kako bi se oživilo gospodarstvo, otvorila visokokvalitetna radna mjesta i izvršila potrebna ulaganja za otklanjanje neposredne šteta nastale zbog koronavirusa. Komisija stoga predlaže da se puni potencijal proračuna EU-a iskoristi za mobilizaciju ulaganja i pružanje pojačane financijske potpore u ključnim prvim godinama oporavka na temelju sljedećeg:</w:t>
      </w:r>
    </w:p>
    <w:p>
      <w:pPr>
        <w:rPr>
          <w:noProof/>
        </w:rPr>
      </w:pPr>
      <w:r>
        <w:rPr>
          <w:noProof/>
        </w:rPr>
        <w:t>Instrument Europske unije za oporavak kao izvanredna mjera koja se temelji na</w:t>
      </w:r>
    </w:p>
    <w:p>
      <w:pPr>
        <w:rPr>
          <w:noProof/>
        </w:rPr>
      </w:pPr>
      <w:r>
        <w:rPr>
          <w:noProof/>
        </w:rPr>
        <w:t>članku 122. UFEU-a, čije će se financiranje temeljiti na ovlasti iz Prijedloga odluke o vlastitim sredstvima.  Ta će sredstva omogućiti da se brzo odgovori na krizu mjerama za zaštitu prihoda, poboljšanje prevencije, povećanje otpornosti i poticanje oporavka.</w:t>
      </w:r>
    </w:p>
    <w:p>
      <w:pPr>
        <w:pStyle w:val="Bullet0"/>
        <w:numPr>
          <w:ilvl w:val="0"/>
          <w:numId w:val="20"/>
        </w:numPr>
        <w:rPr>
          <w:b/>
          <w:noProof/>
          <w:u w:color="000000"/>
          <w:bdr w:val="nil"/>
        </w:rPr>
      </w:pPr>
      <w:r>
        <w:rPr>
          <w:b/>
          <w:noProof/>
          <w:u w:color="000000"/>
          <w:bdr w:val="nil"/>
        </w:rPr>
        <w:t>Ojačani višegodišnji financijski okvir za razdoblje 2021.–2027.</w:t>
      </w:r>
    </w:p>
    <w:p>
      <w:pPr>
        <w:rPr>
          <w:noProof/>
        </w:rPr>
      </w:pPr>
      <w:r>
        <w:rPr>
          <w:noProof/>
        </w:rPr>
        <w:t>Mjere oporavka i otpornosti iz Instrumenta Europske unije za oporavak provest će se već postojećim instrumentima provedbe u okviru brojnih posebnih programa Unije koje je Komisija predložila u sklopu višegodišnjeg financijskog programa za razdoblje 2021.–2027., uključujući sljedeće:</w:t>
      </w:r>
    </w:p>
    <w:p>
      <w:pPr>
        <w:pStyle w:val="Tiret0"/>
        <w:numPr>
          <w:ilvl w:val="0"/>
          <w:numId w:val="35"/>
        </w:numPr>
        <w:rPr>
          <w:noProof/>
        </w:rPr>
      </w:pPr>
      <w:r>
        <w:rPr>
          <w:noProof/>
        </w:rPr>
        <w:lastRenderedPageBreak/>
        <w:t xml:space="preserve">Okvirni program za istraživanja i inovacije i njegov posebni program za provedbu „Obzora Europa”, </w:t>
      </w:r>
    </w:p>
    <w:p>
      <w:pPr>
        <w:pStyle w:val="Tiret0"/>
        <w:rPr>
          <w:noProof/>
        </w:rPr>
      </w:pPr>
      <w:r>
        <w:rPr>
          <w:noProof/>
        </w:rPr>
        <w:t>Instrument za susjedstvo, razvoj i međunarodnu suradnju,</w:t>
      </w:r>
    </w:p>
    <w:p>
      <w:pPr>
        <w:pStyle w:val="Tiret0"/>
        <w:rPr>
          <w:noProof/>
        </w:rPr>
      </w:pPr>
      <w:r>
        <w:rPr>
          <w:noProof/>
        </w:rPr>
        <w:t>Europski poljoprivredni fond za ruralni razvoj.</w:t>
      </w:r>
    </w:p>
    <w:p>
      <w:pPr>
        <w:pBdr>
          <w:top w:val="nil"/>
          <w:left w:val="nil"/>
          <w:bottom w:val="nil"/>
          <w:right w:val="nil"/>
          <w:between w:val="nil"/>
          <w:bar w:val="nil"/>
        </w:pBdr>
        <w:spacing w:before="0" w:after="240"/>
        <w:rPr>
          <w:noProof/>
        </w:rPr>
      </w:pPr>
      <w:r>
        <w:rPr>
          <w:noProof/>
        </w:rPr>
        <w:t xml:space="preserve">Stoga je potrebno izmijeniti prijedloge Komisije koji uključuju prethodno navedene programe Unije. </w:t>
      </w:r>
    </w:p>
    <w:p>
      <w:pPr>
        <w:pStyle w:val="ManualHeading1"/>
        <w:rPr>
          <w:noProof/>
        </w:rPr>
      </w:pPr>
      <w:r>
        <w:rPr>
          <w:noProof/>
        </w:rPr>
        <w:t>2.</w:t>
      </w:r>
      <w:r>
        <w:rPr>
          <w:noProof/>
        </w:rPr>
        <w:tab/>
        <w:t>PRAVNA OSNOVA, SUPSIDIJARNOST I PROPORCIONALNOST</w:t>
      </w:r>
    </w:p>
    <w:p>
      <w:pPr>
        <w:pStyle w:val="Bullet0"/>
        <w:rPr>
          <w:b/>
          <w:noProof/>
          <w:u w:color="000000"/>
          <w:bdr w:val="nil"/>
        </w:rPr>
      </w:pPr>
      <w:r>
        <w:rPr>
          <w:b/>
          <w:noProof/>
          <w:u w:color="000000"/>
          <w:bdr w:val="nil"/>
        </w:rPr>
        <w:t>Pravna osnova</w:t>
      </w:r>
    </w:p>
    <w:p>
      <w:pPr>
        <w:pBdr>
          <w:top w:val="nil"/>
          <w:left w:val="nil"/>
          <w:bottom w:val="nil"/>
          <w:right w:val="nil"/>
          <w:between w:val="nil"/>
          <w:bar w:val="nil"/>
        </w:pBdr>
        <w:spacing w:before="0" w:after="240"/>
        <w:rPr>
          <w:rFonts w:eastAsia="Arial Unicode MS"/>
          <w:noProof/>
          <w:color w:val="000000" w:themeColor="text1"/>
        </w:rPr>
      </w:pPr>
      <w:r>
        <w:rPr>
          <w:noProof/>
        </w:rPr>
        <w:t>Djelovanje EU-a opravdano je člankom 43. stavkom 2., člankom 173. stavkom 3., člankom 182. stavcima 1. i 4., člankom 183., člankom 188., člankom 209. i člankom 212. Ugovora o funkcioniranju Europske unije.</w:t>
      </w:r>
    </w:p>
    <w:p>
      <w:pPr>
        <w:pStyle w:val="Bullet0"/>
        <w:rPr>
          <w:b/>
          <w:noProof/>
          <w:u w:color="000000"/>
          <w:bdr w:val="nil"/>
        </w:rPr>
      </w:pPr>
      <w:r>
        <w:rPr>
          <w:b/>
          <w:noProof/>
          <w:u w:color="000000"/>
          <w:bdr w:val="nil"/>
        </w:rPr>
        <w:t>Supsidijarnost (za neisključivu nadležnost)</w:t>
      </w:r>
    </w:p>
    <w:p>
      <w:pPr>
        <w:pBdr>
          <w:top w:val="nil"/>
          <w:left w:val="nil"/>
          <w:bottom w:val="nil"/>
          <w:right w:val="nil"/>
          <w:between w:val="nil"/>
          <w:bar w:val="nil"/>
        </w:pBdr>
        <w:spacing w:before="0" w:after="240"/>
        <w:rPr>
          <w:rFonts w:eastAsia="Arial Unicode MS"/>
          <w:noProof/>
        </w:rPr>
      </w:pPr>
      <w:r>
        <w:rPr>
          <w:noProof/>
        </w:rPr>
        <w:t xml:space="preserve">U obrazloženju Uredbe [ERI] detaljno se navode razmatranja o supsidijarnosti i proporcionalnosti. </w:t>
      </w:r>
    </w:p>
    <w:p>
      <w:pPr>
        <w:pBdr>
          <w:top w:val="nil"/>
          <w:left w:val="nil"/>
          <w:bottom w:val="nil"/>
          <w:right w:val="nil"/>
          <w:between w:val="nil"/>
          <w:bar w:val="nil"/>
        </w:pBdr>
        <w:spacing w:before="0" w:after="240"/>
        <w:rPr>
          <w:rFonts w:eastAsia="Arial Unicode MS"/>
          <w:noProof/>
        </w:rPr>
      </w:pPr>
      <w:r>
        <w:rPr>
          <w:noProof/>
        </w:rPr>
        <w:t>Nadalje, u obrazloženjima sljedećih prijedloga Komisije detaljno se navode razmatranja o supsidijarnosti i proporcionalnosti koja se primjenjuju na predmetne programe:</w:t>
      </w:r>
    </w:p>
    <w:p>
      <w:pPr>
        <w:pStyle w:val="Tiret0"/>
        <w:numPr>
          <w:ilvl w:val="0"/>
          <w:numId w:val="19"/>
        </w:numPr>
        <w:rPr>
          <w:noProof/>
        </w:rPr>
      </w:pPr>
      <w:r>
        <w:rPr>
          <w:noProof/>
        </w:rPr>
        <w:t>COM (2018) 392 za UREDBU EUROPSKOG PARLAMENTA I VIJEĆA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Uredbe (EU) br. 1305/2013 Europskog parlamenta i Vijeća i Uredbe (EU) br. 1307/2013 Europskog parlamenta i Vijeća (dalje u tekstu: „Prijedlog Komisije COM (2018) 392”),</w:t>
      </w:r>
    </w:p>
    <w:p>
      <w:pPr>
        <w:pStyle w:val="Tiret0"/>
        <w:rPr>
          <w:noProof/>
        </w:rPr>
      </w:pPr>
      <w:r>
        <w:rPr>
          <w:noProof/>
        </w:rPr>
        <w:t xml:space="preserve">COM (2018) 435: Prijedlog UREDBE EUROPSKOG PARLAMENTA I VIJEĆA o uspostavi Obzora Europa – Okvirnog programa za istraživanja i inovacije te o utvrđivanju pravila za sudjelovanje i širenje rezultata (dalje u tekstu: „Prijedlog Komisije COM (2018) 435”), </w:t>
      </w:r>
    </w:p>
    <w:p>
      <w:pPr>
        <w:pStyle w:val="Tiret0"/>
        <w:rPr>
          <w:noProof/>
        </w:rPr>
      </w:pPr>
      <w:r>
        <w:rPr>
          <w:noProof/>
        </w:rPr>
        <w:t>COM (2018) 436 za ODLUKU EUROPSKOG PARLAMENTA I VIJEĆA o uspostavi posebnog programa za provedbu Obzora Europa – Okvirnog programa za istraživanja i inovacije (dalje u tekstu: „Prijedlog Komisije COM(2018) 436”),</w:t>
      </w:r>
    </w:p>
    <w:p>
      <w:pPr>
        <w:pStyle w:val="Tiret0"/>
        <w:rPr>
          <w:noProof/>
        </w:rPr>
      </w:pPr>
      <w:r>
        <w:rPr>
          <w:noProof/>
        </w:rPr>
        <w:t>COM (2018) 460: Prijedlog UREDBE EUROPSKOG PARLAMENTA I VIJEĆA o uspostavi Instrumenta za susjedstvo, razvoj i međunarodnu suradnju (dalje u tekstu: „Prijedlog Komisije COM(2018) 460”).</w:t>
      </w:r>
    </w:p>
    <w:p>
      <w:pPr>
        <w:pStyle w:val="Bullet0"/>
        <w:rPr>
          <w:b/>
          <w:noProof/>
          <w:u w:color="000000"/>
          <w:bdr w:val="nil"/>
        </w:rPr>
      </w:pPr>
      <w:r>
        <w:rPr>
          <w:b/>
          <w:noProof/>
          <w:u w:color="000000"/>
          <w:bdr w:val="nil"/>
        </w:rPr>
        <w:t>Odabir instrumenta</w:t>
      </w:r>
    </w:p>
    <w:p>
      <w:pPr>
        <w:pBdr>
          <w:top w:val="nil"/>
          <w:left w:val="nil"/>
          <w:bottom w:val="nil"/>
          <w:right w:val="nil"/>
          <w:between w:val="nil"/>
          <w:bar w:val="nil"/>
        </w:pBdr>
        <w:spacing w:before="0" w:after="240"/>
        <w:rPr>
          <w:rFonts w:eastAsia="Arial Unicode MS"/>
          <w:noProof/>
          <w:color w:val="000000" w:themeColor="text1"/>
        </w:rPr>
      </w:pPr>
      <w:r>
        <w:rPr>
          <w:noProof/>
        </w:rPr>
        <w:t>Ovim se prijedlogom mijenjaju prijedlozi Komisije COM (2018) 392, COM (2018) 435, COM (2018) 436 i COM (2018) 460.</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PROCJENA UČINAKA</w:t>
      </w:r>
    </w:p>
    <w:p>
      <w:pPr>
        <w:pStyle w:val="Bullet0"/>
        <w:rPr>
          <w:b/>
          <w:noProof/>
          <w:u w:color="000000"/>
          <w:bdr w:val="nil"/>
        </w:rPr>
      </w:pPr>
      <w:r>
        <w:rPr>
          <w:b/>
          <w:noProof/>
          <w:u w:color="000000"/>
          <w:bdr w:val="nil"/>
        </w:rPr>
        <w:t>Savjetovanja s dionicima</w:t>
      </w:r>
    </w:p>
    <w:p>
      <w:pPr>
        <w:pBdr>
          <w:top w:val="nil"/>
          <w:left w:val="nil"/>
          <w:bottom w:val="nil"/>
          <w:right w:val="nil"/>
          <w:between w:val="nil"/>
          <w:bar w:val="nil"/>
        </w:pBdr>
        <w:spacing w:before="0" w:after="240"/>
        <w:rPr>
          <w:rFonts w:eastAsia="Arial Unicode MS"/>
          <w:noProof/>
          <w:color w:val="000000" w:themeColor="text1"/>
        </w:rPr>
      </w:pPr>
      <w:r>
        <w:rPr>
          <w:noProof/>
        </w:rPr>
        <w:lastRenderedPageBreak/>
        <w:t>U obrazloženjima sljedećih početnih prijedloga Komisije detaljno se navode savjetovanja provedena s javnosti i dionicima: COM (2018) 392, COM (2018) 435, COM (2018) 436 i COM (2018) 460.</w:t>
      </w:r>
    </w:p>
    <w:p>
      <w:pPr>
        <w:pStyle w:val="Bullet0"/>
        <w:rPr>
          <w:b/>
          <w:noProof/>
          <w:u w:color="000000"/>
          <w:bdr w:val="nil"/>
        </w:rPr>
      </w:pPr>
      <w:r>
        <w:rPr>
          <w:b/>
          <w:noProof/>
          <w:u w:color="000000"/>
          <w:bdr w:val="nil"/>
        </w:rPr>
        <w:t>Evaluacije i procjena učinka</w:t>
      </w:r>
    </w:p>
    <w:p>
      <w:pPr>
        <w:pBdr>
          <w:top w:val="nil"/>
          <w:left w:val="nil"/>
          <w:bottom w:val="nil"/>
          <w:right w:val="nil"/>
          <w:between w:val="nil"/>
          <w:bar w:val="nil"/>
        </w:pBdr>
        <w:spacing w:before="0" w:after="240"/>
        <w:rPr>
          <w:rFonts w:eastAsia="Arial Unicode MS"/>
          <w:noProof/>
          <w:color w:val="000000" w:themeColor="text1"/>
        </w:rPr>
      </w:pPr>
      <w:r>
        <w:rPr>
          <w:noProof/>
        </w:rPr>
        <w:t xml:space="preserve">U obrazloženju sljedećih početnih prijedloga Komisije detaljno se navodi ishod </w:t>
      </w:r>
      <w:r>
        <w:rPr>
          <w:i/>
          <w:noProof/>
        </w:rPr>
        <w:t xml:space="preserve">ex-post </w:t>
      </w:r>
      <w:r>
        <w:rPr>
          <w:noProof/>
        </w:rPr>
        <w:t xml:space="preserve"> evaluacija i evaluacija na sredini programskog razdoblja koje su provedene kao potpora prijedlozima: COM (2018) 392, COM (2018) 435, COM (2018) 436 i COM (2018) 460.</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rFonts w:eastAsia="Arial Unicode MS"/>
          <w:noProof/>
          <w:color w:val="000000" w:themeColor="text1"/>
        </w:rPr>
      </w:pPr>
      <w:r>
        <w:rPr>
          <w:noProof/>
        </w:rPr>
        <w:t xml:space="preserve">Unija će staviti na raspolaganje ukupno 14 647 milijuna EUR za program Obzor Europa – Okvirni program za istraživanja i inovacije, ukupno 16 483 milijuna EUR za Europski poljoprivredni fond za ruralni razvoj i ukupno 11 448 milijuna EUR za povećanje Jamstva za vanjsko djelovanje u okviru Instrumenta za susjedstvo, razvoj i međunarodnu suradnju. U okviru tog povećanja bit će prihvatljivi i korisnici navedeni u Prilogu I. Instrumentu pretpristupne pomoći. Dodatno financiranje stavit će se na raspolaganje putem Instrumenta Europske unije za oporavak na temelju ovlasti iz nove Odluke o vlastitim sredstvima.  </w:t>
      </w:r>
    </w:p>
    <w:p>
      <w:pPr>
        <w:pBdr>
          <w:top w:val="nil"/>
          <w:left w:val="nil"/>
          <w:bottom w:val="nil"/>
          <w:right w:val="nil"/>
          <w:between w:val="nil"/>
          <w:bar w:val="nil"/>
        </w:pBdr>
        <w:spacing w:before="0" w:after="240"/>
        <w:rPr>
          <w:rFonts w:eastAsia="Arial Unicode MS"/>
          <w:noProof/>
          <w:color w:val="000000" w:themeColor="text1"/>
        </w:rPr>
      </w:pPr>
      <w:r>
        <w:rPr>
          <w:noProof/>
        </w:rPr>
        <w:t>Dodatne pojedinosti o utjecaju na proračun navedene su u zakonodavnom financijskom izvještaju.</w:t>
      </w:r>
    </w:p>
    <w:p>
      <w:pPr>
        <w:pStyle w:val="ManualHeading1"/>
        <w:rPr>
          <w:noProof/>
        </w:rPr>
      </w:pPr>
      <w:r>
        <w:rPr>
          <w:noProof/>
        </w:rPr>
        <w:t>5.</w:t>
      </w:r>
      <w:r>
        <w:rPr>
          <w:noProof/>
        </w:rPr>
        <w:tab/>
        <w:t>DRUGI ELEMENTI</w:t>
      </w:r>
    </w:p>
    <w:p>
      <w:pPr>
        <w:pStyle w:val="Bullet0"/>
        <w:rPr>
          <w:b/>
          <w:noProof/>
          <w:u w:color="000000"/>
          <w:bdr w:val="nil"/>
        </w:rPr>
      </w:pPr>
      <w:r>
        <w:rPr>
          <w:b/>
          <w:noProof/>
          <w:u w:color="000000"/>
          <w:bdr w:val="nil"/>
        </w:rPr>
        <w:t>Detaljno obrazloženje posebnih odredbi prijedloga</w:t>
      </w:r>
    </w:p>
    <w:p>
      <w:pPr>
        <w:pBdr>
          <w:top w:val="nil"/>
          <w:left w:val="nil"/>
          <w:bottom w:val="nil"/>
          <w:right w:val="nil"/>
          <w:between w:val="nil"/>
          <w:bar w:val="nil"/>
        </w:pBdr>
        <w:spacing w:before="0" w:after="240"/>
        <w:rPr>
          <w:rFonts w:eastAsia="Arial Unicode MS"/>
          <w:noProof/>
          <w:color w:val="000000" w:themeColor="text1"/>
        </w:rPr>
      </w:pPr>
      <w:r>
        <w:rPr>
          <w:noProof/>
        </w:rPr>
        <w:t>Prijedlog se sastoji od ciljanih izmjena sljedećih prijedloga Komisije: COM (2018) 392, COM (2018) 435, COM (2018) 436 i COM (2018) 460.</w:t>
      </w:r>
    </w:p>
    <w:p>
      <w:pPr>
        <w:pBdr>
          <w:top w:val="nil"/>
          <w:left w:val="nil"/>
          <w:bottom w:val="nil"/>
          <w:right w:val="nil"/>
          <w:between w:val="nil"/>
          <w:bar w:val="nil"/>
        </w:pBdr>
        <w:spacing w:before="0" w:after="240"/>
        <w:rPr>
          <w:rFonts w:eastAsia="Arial Unicode MS"/>
          <w:noProof/>
          <w:color w:val="000000" w:themeColor="text1"/>
        </w:rPr>
      </w:pPr>
      <w:r>
        <w:rPr>
          <w:noProof/>
        </w:rPr>
        <w:t xml:space="preserve">Cilj glavnih izmjena je sljedeći: </w:t>
      </w:r>
    </w:p>
    <w:p>
      <w:pPr>
        <w:pStyle w:val="Tiret0"/>
        <w:numPr>
          <w:ilvl w:val="0"/>
          <w:numId w:val="10"/>
        </w:numPr>
        <w:rPr>
          <w:noProof/>
        </w:rPr>
      </w:pPr>
      <w:r>
        <w:rPr>
          <w:noProof/>
        </w:rPr>
        <w:t>omogućavanje provedbe mjera utvrđenih u Prijedlogu uredbe o uspostavi Instrumenta Europske unije za oporavak s pomoću mehanizama provedbe Okvirnog programa za istraživanje i inovacije, Instrumenta za susjedstvo, razvoj i međunarodnu suradnju te Europskog poljoprivrednog fonda za ruralni razvoj,</w:t>
      </w:r>
    </w:p>
    <w:p>
      <w:pPr>
        <w:pStyle w:val="Tiret0"/>
        <w:rPr>
          <w:noProof/>
        </w:rPr>
      </w:pPr>
      <w:r>
        <w:rPr>
          <w:noProof/>
        </w:rPr>
        <w:t>omogućavanje financiranja iz Instrumenta Europske unije za oporavak kao vanjskih namjenskih prihoda u skladu s člankom 21. stavkom 5. Financijske uredbe,</w:t>
      </w:r>
    </w:p>
    <w:p>
      <w:pPr>
        <w:pStyle w:val="Tiret0"/>
        <w:rPr>
          <w:noProof/>
        </w:rPr>
      </w:pPr>
      <w:r>
        <w:rPr>
          <w:noProof/>
        </w:rPr>
        <w:t>osiguravanje poštovanja ciljanih rokova utvrđenih u članku 4. Prijedloga uredbe o uspostavi Instrumenta Europske unije za oporavak pravilnim unakrsnim upućivanjem.</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2018/0224 (COD)</w:t>
      </w:r>
    </w:p>
    <w:p>
      <w:pPr>
        <w:pStyle w:val="Statut"/>
        <w:rPr>
          <w:noProof/>
        </w:rPr>
      </w:pPr>
      <w:r>
        <w:rPr>
          <w:noProof/>
        </w:rPr>
        <w:t>Izmijenjeni prijedlog</w:t>
      </w:r>
    </w:p>
    <w:p>
      <w:pPr>
        <w:pStyle w:val="Typedudocument"/>
        <w:rPr>
          <w:noProof/>
        </w:rPr>
      </w:pPr>
      <w:r>
        <w:rPr>
          <w:noProof/>
        </w:rPr>
        <w:t>UREDBE EUROPSKOG PARLAMENTA I VIJEĆA</w:t>
      </w:r>
    </w:p>
    <w:p>
      <w:pPr>
        <w:pStyle w:val="Titreobjet"/>
        <w:rPr>
          <w:noProof/>
        </w:rPr>
      </w:pPr>
      <w:r>
        <w:rPr>
          <w:noProof/>
        </w:rPr>
        <w:t>o uspostavi Obzora Europa – Okvirnog programa za istraživanja i inovacije te o utvrđivanju pravila za sudjelovanje i širenje rezultata,</w:t>
      </w:r>
      <w:r>
        <w:rPr>
          <w:noProof/>
        </w:rPr>
        <w:br/>
        <w:t xml:space="preserve"> </w:t>
      </w:r>
      <w:r>
        <w:rPr>
          <w:noProof/>
        </w:rPr>
        <w:br/>
        <w:t>ODLUKE EUROPSKOG PARLAMENTA I VIJEĆA</w:t>
      </w:r>
      <w:r>
        <w:rPr>
          <w:noProof/>
        </w:rPr>
        <w:br/>
        <w:t>o uspostavi posebnog programa za provedbu Obzora Europa – Okvirnog programa za istraživanja i inovacije,</w:t>
      </w:r>
      <w:r>
        <w:rPr>
          <w:noProof/>
        </w:rPr>
        <w:br/>
        <w:t xml:space="preserve">  </w:t>
      </w:r>
      <w:r>
        <w:rPr>
          <w:noProof/>
        </w:rPr>
        <w:br/>
        <w:t>UREDBE EUROPSKOG PARLAMENTA I VIJEĆA o uspostavi Instrumenta za susjedstvo, razvoj i međunarodnu suradnju,</w:t>
      </w:r>
      <w:r>
        <w:rPr>
          <w:noProof/>
        </w:rPr>
        <w:br/>
      </w:r>
      <w:r>
        <w:rPr>
          <w:noProof/>
        </w:rPr>
        <w:br/>
        <w:t>UREDBE EUROPSKOG PARLAMENTA I VIJEĆA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Uredbe (EU) br. 1305/2013 Europskog parlamenta i Vijeća i Uredbe (EU) br. 1307/2013 Europskog parlamenta i Vijeća</w:t>
      </w:r>
    </w:p>
    <w:p>
      <w:pPr>
        <w:rPr>
          <w:noProof/>
        </w:rPr>
      </w:pPr>
      <w:r>
        <w:rPr>
          <w:noProof/>
        </w:rPr>
        <w:t xml:space="preserve">Prijedlozi Komisije COM(2018) 435, COM (2018) 436, COM (2018) 460, COM (2018) 392 mijenjaju se kako slijedi: </w:t>
      </w:r>
    </w:p>
    <w:p>
      <w:pPr>
        <w:pStyle w:val="ManualNumPar1"/>
        <w:rPr>
          <w:noProof/>
        </w:rPr>
      </w:pPr>
      <w:r>
        <w:rPr>
          <w:noProof/>
        </w:rPr>
        <w:t>1.</w:t>
      </w:r>
      <w:r>
        <w:rPr>
          <w:noProof/>
        </w:rPr>
        <w:tab/>
        <w:t>Prijedlog Komisije COM (2018) 435 UREDBE EUROPSKOG PARLAMENTA I VIJEĆA o uspostavi Obzora Europa – Okvirnog programa za istraživanja i inovacije te o utvrđivanju pravila za sudjelovanje i širenje rezultata mijenja se kako slijedi:</w:t>
      </w:r>
    </w:p>
    <w:p>
      <w:pPr>
        <w:pStyle w:val="Point0"/>
        <w:rPr>
          <w:noProof/>
        </w:rPr>
      </w:pPr>
      <w:r>
        <w:rPr>
          <w:noProof/>
        </w:rPr>
        <w:t>(1)</w:t>
      </w:r>
      <w:r>
        <w:rPr>
          <w:noProof/>
        </w:rPr>
        <w:tab/>
        <w:t xml:space="preserve">umeće se sljedeća uvodna izjava 15.a: </w:t>
      </w:r>
    </w:p>
    <w:p>
      <w:pPr>
        <w:pStyle w:val="Text1"/>
        <w:rPr>
          <w:noProof/>
          <w:color w:val="00B050"/>
          <w:sz w:val="22"/>
        </w:rPr>
      </w:pPr>
      <w:r>
        <w:rPr>
          <w:noProof/>
        </w:rPr>
        <w:t xml:space="preserve">„15.a </w:t>
      </w:r>
      <w:r>
        <w:rPr>
          <w:noProof/>
        </w:rPr>
        <w:tab/>
        <w:t>U skladu s Uredbom [Instrument Europske unije za oporavak] i u okviru sredstava koja su njome dodijeljena trebalo bi provesti mjere oporavka i otpornosti u okviru ovog Programa kako bi se ublažile dosad neviđene posljedice krize uzrokovane bolesti COVID-19.  Takva dodatna sredstva trebala bi se upotrebljavati tako da se osigura poštovanje rokova utvrđenih u Uredbi [ERI].;</w:t>
      </w:r>
    </w:p>
    <w:p>
      <w:pPr>
        <w:pStyle w:val="Point0"/>
        <w:rPr>
          <w:noProof/>
        </w:rPr>
      </w:pPr>
      <w:r>
        <w:rPr>
          <w:noProof/>
        </w:rPr>
        <w:t>(2)</w:t>
      </w:r>
      <w:r>
        <w:rPr>
          <w:noProof/>
        </w:rPr>
        <w:tab/>
        <w:t xml:space="preserve">Umeće se sljedeći članak 9.a: </w:t>
      </w:r>
    </w:p>
    <w:p>
      <w:pPr>
        <w:pStyle w:val="Titrearticle"/>
        <w:rPr>
          <w:noProof/>
        </w:rPr>
      </w:pPr>
      <w:r>
        <w:rPr>
          <w:noProof/>
        </w:rPr>
        <w:t>Članak 9.a</w:t>
      </w:r>
      <w:r>
        <w:rPr>
          <w:noProof/>
        </w:rPr>
        <w:br/>
        <w:t>Sredstva iz Instrumenta Europske unije za oporavak</w:t>
      </w:r>
    </w:p>
    <w:p>
      <w:pPr>
        <w:pStyle w:val="Text1"/>
        <w:rPr>
          <w:noProof/>
        </w:rPr>
      </w:pPr>
      <w:r>
        <w:rPr>
          <w:noProof/>
        </w:rPr>
        <w:t xml:space="preserve">Mjere iz članka 2. Uredbe [ERI] provode se u okviru ovog Programa putem iznosa iz članka 3. stavka 2. točke (a) podtočke v. te Uredbe [ERI], podložno njezinu članku 4. stavcima 4. i 8.  </w:t>
      </w:r>
    </w:p>
    <w:p>
      <w:pPr>
        <w:pStyle w:val="Text1"/>
        <w:rPr>
          <w:noProof/>
        </w:rPr>
      </w:pPr>
      <w:r>
        <w:rPr>
          <w:noProof/>
        </w:rPr>
        <w:t>Ti iznosi čime vanjske namjenske prihode u skladu s člankom 21. stavkom 5. Financijske uredbe.”</w:t>
      </w:r>
    </w:p>
    <w:p>
      <w:pPr>
        <w:pStyle w:val="ManualNumPar1"/>
        <w:rPr>
          <w:noProof/>
        </w:rPr>
      </w:pPr>
      <w:r>
        <w:rPr>
          <w:noProof/>
        </w:rPr>
        <w:t>2.</w:t>
      </w:r>
      <w:r>
        <w:rPr>
          <w:noProof/>
        </w:rPr>
        <w:tab/>
        <w:t xml:space="preserve">U Prijedlog Komisije COM (2018) 436 ODLUKE EUROPSKOG PARLAMENTA I VIJEĆA o uspostavi posebnog programa za provedbu Obzora Europa – Okvirnog programa za istraživanja i inovacije umeće se sljedeći članak 4.a: </w:t>
      </w:r>
    </w:p>
    <w:p>
      <w:pPr>
        <w:pStyle w:val="Titrearticle"/>
        <w:rPr>
          <w:bCs/>
          <w:noProof/>
        </w:rPr>
      </w:pPr>
      <w:r>
        <w:rPr>
          <w:noProof/>
        </w:rPr>
        <w:lastRenderedPageBreak/>
        <w:t>Članak 4.a</w:t>
      </w:r>
      <w:r>
        <w:rPr>
          <w:noProof/>
        </w:rPr>
        <w:br/>
        <w:t>Sredstva iz Instrumenta Europske unije za oporavak</w:t>
      </w:r>
    </w:p>
    <w:p>
      <w:pPr>
        <w:pStyle w:val="Text1"/>
        <w:rPr>
          <w:noProof/>
        </w:rPr>
      </w:pPr>
      <w:r>
        <w:rPr>
          <w:noProof/>
        </w:rPr>
        <w:t>U skladu s člankom 9.a Uredbe [Uredba o Okvirnom programu], mjere iz članka 2. Uredbe [ERI] provode se u okviru ovog Posebnog programa putem iznosa iz članka 3. stavka 2. točke (a) podtočke v. te uredbe [ERI], podložno njezinu članku 4. stavcima 4. i 8.”</w:t>
      </w:r>
    </w:p>
    <w:p>
      <w:pPr>
        <w:pStyle w:val="ManualNumPar1"/>
        <w:rPr>
          <w:noProof/>
        </w:rPr>
      </w:pPr>
      <w:r>
        <w:rPr>
          <w:noProof/>
        </w:rPr>
        <w:t>3.</w:t>
      </w:r>
      <w:r>
        <w:rPr>
          <w:noProof/>
        </w:rPr>
        <w:tab/>
        <w:t xml:space="preserve">Prijedlog Komisije COM (2018) 460 UREDBE EUROPSKOG PARLAMENTA I VIJEĆA o uspostavi Instrumenta za susjedstvo, razvoj i međunarodnu suradnju mijenja se kako slijedi: </w:t>
      </w:r>
    </w:p>
    <w:p>
      <w:pPr>
        <w:pStyle w:val="Point0"/>
        <w:rPr>
          <w:noProof/>
        </w:rPr>
      </w:pPr>
      <w:r>
        <w:rPr>
          <w:noProof/>
        </w:rPr>
        <w:t>(1)</w:t>
      </w:r>
      <w:r>
        <w:rPr>
          <w:noProof/>
        </w:rPr>
        <w:tab/>
        <w:t>Umeće se sljedeća uvodna izjava 36.a:</w:t>
      </w:r>
    </w:p>
    <w:p>
      <w:pPr>
        <w:pStyle w:val="Text1"/>
        <w:rPr>
          <w:noProof/>
        </w:rPr>
      </w:pPr>
      <w:r>
        <w:rPr>
          <w:noProof/>
        </w:rPr>
        <w:t xml:space="preserve">„36.a U skladu s Uredbom [Instrument Europske unije za oporavak] i u okviru sredstava koja su njome dodijeljena, trebalo bi provesti mjere oporavka i otpornosti u okviru Instrumenta za susjedstvo, razvoj i međunarodnu suradnju kako bi se ublažile dosad neviđene posljedice krize uzrokovane bolesti COVID-19.  Takva dodatna sredstva trebala bi se upotrebljavati tako da se osigura poštovanje rokova utvrđenih u Uredbi [ERI].” </w:t>
      </w:r>
    </w:p>
    <w:p>
      <w:pPr>
        <w:pStyle w:val="Point0"/>
        <w:rPr>
          <w:noProof/>
        </w:rPr>
      </w:pPr>
      <w:r>
        <w:rPr>
          <w:noProof/>
        </w:rPr>
        <w:t>(2)</w:t>
      </w:r>
      <w:r>
        <w:rPr>
          <w:noProof/>
        </w:rPr>
        <w:tab/>
        <w:t>Umeće se sljedeći članak 6 a:</w:t>
      </w:r>
    </w:p>
    <w:p>
      <w:pPr>
        <w:pStyle w:val="Titrearticle"/>
        <w:rPr>
          <w:noProof/>
        </w:rPr>
      </w:pPr>
      <w:r>
        <w:rPr>
          <w:noProof/>
        </w:rPr>
        <w:t>„Članak 6.a</w:t>
      </w:r>
      <w:r>
        <w:rPr>
          <w:noProof/>
        </w:rPr>
        <w:br/>
        <w:t>Sredstva iz Instrumenta Europske unije za oporavak</w:t>
      </w:r>
    </w:p>
    <w:p>
      <w:pPr>
        <w:pStyle w:val="Point1"/>
        <w:rPr>
          <w:noProof/>
        </w:rPr>
      </w:pPr>
      <w:r>
        <w:rPr>
          <w:noProof/>
        </w:rPr>
        <w:t>(1)</w:t>
      </w:r>
      <w:r>
        <w:rPr>
          <w:noProof/>
        </w:rPr>
        <w:tab/>
        <w:t>U okviru Jamstva za vanjsko djelovanje, iznos naveden u članku 26. stavku 3. drugom podstavku dodjeljuje se u skladu s uvjetima iz članka 4. stavka 6. Uredbe [ERI], osim za operacije makrofinancijske pomoći, koje se odobravaju kako je utvrđeno u članku 4. stavku 7. Uredbe [ERI]. Tim se iznosom podupiru i operacije za korisnike navedene u Prilogu I. Uredbi IPA III.</w:t>
      </w:r>
    </w:p>
    <w:p>
      <w:pPr>
        <w:pStyle w:val="Point1"/>
        <w:rPr>
          <w:noProof/>
        </w:rPr>
      </w:pPr>
      <w:r>
        <w:rPr>
          <w:noProof/>
        </w:rPr>
        <w:t>(2)</w:t>
      </w:r>
      <w:r>
        <w:rPr>
          <w:noProof/>
        </w:rPr>
        <w:tab/>
        <w:t xml:space="preserve">Iznos iz članka 3. stavka 2. točke (c) podtočke iii. Uredbe [ERI] upotrebljava se za rezervacije u okviru Jamstva za vanjsko djelovanje u skladu s ovom Uredbom, uz sredstva navedena u članku 211. stavku 4. prvom podstavku Financijske uredbe, i za mjere iz druge rečenice članka 2. stavka 2. Uredbe [ERI], podložno njezinu članku 4. stavku 8. </w:t>
      </w:r>
    </w:p>
    <w:p>
      <w:pPr>
        <w:pStyle w:val="Text2"/>
        <w:rPr>
          <w:b/>
          <w:noProof/>
        </w:rPr>
      </w:pPr>
      <w:r>
        <w:rPr>
          <w:noProof/>
        </w:rPr>
        <w:t>Uz sredstva iz članka 211. stavka 4. drugog podstavka Financijske uredbe, za izračun rezervacija koje proizlaze iz stope rezervacija iz članka 211. stavka 1. Financijske uredbe uzima se u obzir iznos do 11 285 762 000 EUR.</w:t>
      </w:r>
      <w:r>
        <w:rPr>
          <w:b/>
          <w:noProof/>
        </w:rPr>
        <w:t xml:space="preserve"> </w:t>
      </w:r>
    </w:p>
    <w:p>
      <w:pPr>
        <w:pStyle w:val="Text2"/>
        <w:rPr>
          <w:noProof/>
        </w:rPr>
      </w:pPr>
      <w:r>
        <w:rPr>
          <w:noProof/>
        </w:rPr>
        <w:t>Iznos iz prvog podstavka čini vanjski namjenski prihod u skladu s člankom 21. stavkom 5. Financijske uredbe.”</w:t>
      </w:r>
    </w:p>
    <w:p>
      <w:pPr>
        <w:pStyle w:val="Point0"/>
        <w:rPr>
          <w:noProof/>
        </w:rPr>
      </w:pPr>
      <w:r>
        <w:rPr>
          <w:noProof/>
        </w:rPr>
        <w:t>(3)</w:t>
      </w:r>
      <w:r>
        <w:rPr>
          <w:noProof/>
        </w:rPr>
        <w:tab/>
        <w:t>Članak 26. mijenja se kako slijedi:</w:t>
      </w:r>
    </w:p>
    <w:p>
      <w:pPr>
        <w:pStyle w:val="Point1"/>
        <w:rPr>
          <w:noProof/>
        </w:rPr>
      </w:pPr>
      <w:r>
        <w:rPr>
          <w:noProof/>
        </w:rPr>
        <w:t>(a)</w:t>
      </w:r>
      <w:r>
        <w:rPr>
          <w:noProof/>
        </w:rPr>
        <w:tab/>
        <w:t xml:space="preserve">Stavak 3. zamjenjuje se sljedećim: </w:t>
      </w:r>
    </w:p>
    <w:p>
      <w:pPr>
        <w:pStyle w:val="Text2"/>
        <w:rPr>
          <w:noProof/>
        </w:rPr>
      </w:pPr>
      <w:r>
        <w:rPr>
          <w:noProof/>
        </w:rPr>
        <w:t xml:space="preserve">„3. Prema Jamstvu za vanjsko djelovanje, Unija može jamčiti za operacije potpisane između 1. siječnja 2021. i 31. prosinca 2027., u iznosu do 130 000 000 000 EUR. </w:t>
      </w:r>
    </w:p>
    <w:p>
      <w:pPr>
        <w:pStyle w:val="Text2"/>
        <w:rPr>
          <w:noProof/>
        </w:rPr>
      </w:pPr>
      <w:r>
        <w:rPr>
          <w:noProof/>
        </w:rPr>
        <w:t>Iznos od 70 000 000 000 EUR od tog iznosa dodjeljuje se za operacije provedbe mjera iz članka 2. stavka 1. drugog podstavka Uredbe [ERI] i raspoloživ je tek od datuma iz članka 4. stavka 3. te uredbe.”;</w:t>
      </w:r>
    </w:p>
    <w:p>
      <w:pPr>
        <w:pStyle w:val="Point1"/>
        <w:rPr>
          <w:noProof/>
        </w:rPr>
      </w:pPr>
      <w:r>
        <w:rPr>
          <w:noProof/>
        </w:rPr>
        <w:t>(b)</w:t>
      </w:r>
      <w:r>
        <w:rPr>
          <w:noProof/>
        </w:rPr>
        <w:tab/>
        <w:t xml:space="preserve">Stavak 6. zamjenjuje se sljedećim: </w:t>
      </w:r>
    </w:p>
    <w:p>
      <w:pPr>
        <w:pStyle w:val="Text2"/>
        <w:rPr>
          <w:noProof/>
        </w:rPr>
      </w:pPr>
      <w:r>
        <w:rPr>
          <w:noProof/>
        </w:rPr>
        <w:lastRenderedPageBreak/>
        <w:t>„6. U okviru EFOR-a plus i Jamstva za vanjsko djelovanje mogu se podupirati operacije financiranja i ulaganja u zemljama partnerima u geografskim područjima koja se navode u članku 4. stavku 2. Rezervacije u okviru Jamstva za vanjsko djelovanje financiraju se iz proračuna relevantnih geografskih programa utvrđenih člankom 6. stavkom 2. točkom (a), ne dovodeći u pitanje članak 6.a, i prenose se u zajednički fond za rezervacije. EFOR+ i Jamstvo za vanjsko djelovanje mogu poduprijeti i operacije za korisnike navedene u Prilogu I. Uredbi [IPA III]. Sredstva za te operacije u okviru EFOR-a plus i za rezervacije iz Jamstva za vanjsko djelovanje namaknut će se u okviru Uredbe [IPA], ne dovodeći u pitanje članak 6.a stavak 1. te uredbe. Rezervacije u okviru Jamstva za vanjsko djelovanje za zajmove trećim zemljama iz članka 10. stavka 2. Uredbe EINS financiraju se iz te uredbe.”;</w:t>
      </w:r>
    </w:p>
    <w:p>
      <w:pPr>
        <w:pStyle w:val="Point0"/>
        <w:rPr>
          <w:noProof/>
        </w:rPr>
      </w:pPr>
      <w:r>
        <w:rPr>
          <w:noProof/>
        </w:rPr>
        <w:t>(4)</w:t>
      </w:r>
      <w:r>
        <w:rPr>
          <w:noProof/>
        </w:rPr>
        <w:tab/>
        <w:t>U članku 39. stavak 1. zamjenjuje se sljedećim:</w:t>
      </w:r>
    </w:p>
    <w:p>
      <w:pPr>
        <w:pStyle w:val="Text1"/>
        <w:rPr>
          <w:noProof/>
        </w:rPr>
      </w:pPr>
      <w:r>
        <w:rPr>
          <w:noProof/>
        </w:rPr>
        <w:t>„1. Odluka br. 466/2014/EU i Uredba (EZ, Euratom) br. 480/2009 stavljaju se izvan snage s učinkom od 1. siječnja 2021. Uredba (EU) 2017/1601 stavlja se izvan snage s učinkom od 31. prosinca 2021.”</w:t>
      </w:r>
    </w:p>
    <w:p>
      <w:pPr>
        <w:pStyle w:val="ManualNumPar1"/>
        <w:rPr>
          <w:noProof/>
        </w:rPr>
      </w:pPr>
      <w:r>
        <w:rPr>
          <w:noProof/>
        </w:rPr>
        <w:t>4.</w:t>
      </w:r>
      <w:r>
        <w:rPr>
          <w:noProof/>
        </w:rPr>
        <w:tab/>
        <w:t xml:space="preserve">Prijedlog Komisije COM(2018) 392 UREDBE EUROPSKOG PARLAMENTA I VIJEĆA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Uredbe (EU) br. 1305/2013 Europskog parlamenta i Vijeća i Uredbe (EU) br. 1307/2013 Europskog parlamenta i Vijeća mijenja se kako slijedi:: </w:t>
      </w:r>
    </w:p>
    <w:p>
      <w:pPr>
        <w:pStyle w:val="Point0"/>
        <w:rPr>
          <w:noProof/>
        </w:rPr>
      </w:pPr>
      <w:r>
        <w:rPr>
          <w:noProof/>
        </w:rPr>
        <w:t>(1)</w:t>
      </w:r>
      <w:r>
        <w:rPr>
          <w:noProof/>
        </w:rPr>
        <w:tab/>
        <w:t xml:space="preserve">Umeće se sljedeća uvodna izjava 71.a: </w:t>
      </w:r>
    </w:p>
    <w:p>
      <w:pPr>
        <w:pStyle w:val="Text1"/>
        <w:rPr>
          <w:noProof/>
        </w:rPr>
      </w:pPr>
      <w:r>
        <w:rPr>
          <w:noProof/>
        </w:rPr>
        <w:t>71.a U skladu s Uredbom [Instrument Europske unije za oporavak] i u okviru sredstava koja su njome dodijeljena, trebalo bi provesti mjere oporavka i otpornosti u okviru Europskog poljoprivrednog fonda za ruralni razvoj kako bi se ublažile dosad neviđene posljedice krize uzrokovane bolesti COVID-19.  Takva dodatna sredstva trebala bi se upotrebljavati tako da se osigura poštovanje rokova utvrđenih u Uredbi [ERI].”</w:t>
      </w:r>
    </w:p>
    <w:p>
      <w:pPr>
        <w:pStyle w:val="Point0"/>
        <w:rPr>
          <w:noProof/>
        </w:rPr>
      </w:pPr>
      <w:r>
        <w:rPr>
          <w:noProof/>
        </w:rPr>
        <w:t>(2)</w:t>
      </w:r>
      <w:r>
        <w:rPr>
          <w:noProof/>
        </w:rPr>
        <w:tab/>
        <w:t xml:space="preserve">Umeće se sljedeći novi članak 84.a: </w:t>
      </w:r>
    </w:p>
    <w:p>
      <w:pPr>
        <w:pStyle w:val="Titrearticle"/>
        <w:rPr>
          <w:noProof/>
        </w:rPr>
      </w:pPr>
      <w:r>
        <w:rPr>
          <w:noProof/>
        </w:rPr>
        <w:t>Članak 84.a</w:t>
      </w:r>
      <w:r>
        <w:rPr>
          <w:noProof/>
        </w:rPr>
        <w:br/>
        <w:t>Sredstva iz Instrumenta Europske unije za oporavak</w:t>
      </w:r>
    </w:p>
    <w:p>
      <w:pPr>
        <w:pStyle w:val="Point1"/>
        <w:rPr>
          <w:noProof/>
        </w:rPr>
      </w:pPr>
      <w:r>
        <w:rPr>
          <w:noProof/>
        </w:rPr>
        <w:t>(1)</w:t>
      </w:r>
      <w:r>
        <w:rPr>
          <w:noProof/>
        </w:rPr>
        <w:tab/>
        <w:t>Mjere iz članka 2. Uredbe [ERI] provode se u okviru EPFRR-a putem iznosa od 16 483 milijuna EUR u tekućim cijenama od iznosa iz članka 3. stavka 2. točke (a) podtočke vii. te uredbe, podložno njezinu članku 4. stavcima 3., 4. i 8.</w:t>
      </w:r>
    </w:p>
    <w:p>
      <w:pPr>
        <w:pStyle w:val="Text2"/>
        <w:rPr>
          <w:noProof/>
        </w:rPr>
      </w:pPr>
      <w:r>
        <w:rPr>
          <w:noProof/>
        </w:rPr>
        <w:t>Taj iznos čini vanjske namjenske prihode u skladu s člankom 21. stavkom 5. Financijske uredbe.</w:t>
      </w:r>
    </w:p>
    <w:p>
      <w:pPr>
        <w:pStyle w:val="Text2"/>
        <w:rPr>
          <w:noProof/>
        </w:rPr>
      </w:pPr>
      <w:r>
        <w:rPr>
          <w:noProof/>
        </w:rPr>
        <w:t>Stavlja se na raspolaganje kao dodatna sredstva za proračunsku obvezu u okviru EPFRR-a za godine 2022., 2023. i 2024. uz ukupna sredstva iz članka 83. kako slijedi:</w:t>
      </w:r>
    </w:p>
    <w:p>
      <w:pPr>
        <w:pStyle w:val="Tiret2"/>
        <w:numPr>
          <w:ilvl w:val="0"/>
          <w:numId w:val="14"/>
        </w:numPr>
        <w:rPr>
          <w:rStyle w:val="conf-macro"/>
          <w:noProof/>
        </w:rPr>
      </w:pPr>
      <w:r>
        <w:rPr>
          <w:rStyle w:val="conf-macro"/>
          <w:noProof/>
        </w:rPr>
        <w:t>2022.: 8 117 milijuna EUR;</w:t>
      </w:r>
    </w:p>
    <w:p>
      <w:pPr>
        <w:pStyle w:val="Tiret2"/>
        <w:rPr>
          <w:rStyle w:val="conf-macro"/>
          <w:noProof/>
        </w:rPr>
      </w:pPr>
      <w:r>
        <w:rPr>
          <w:rStyle w:val="conf-macro"/>
          <w:noProof/>
        </w:rPr>
        <w:t>2023.: 4 140 milijuna EUR;</w:t>
      </w:r>
    </w:p>
    <w:p>
      <w:pPr>
        <w:pStyle w:val="Tiret2"/>
        <w:rPr>
          <w:rStyle w:val="conf-macro"/>
          <w:noProof/>
        </w:rPr>
      </w:pPr>
      <w:r>
        <w:rPr>
          <w:rStyle w:val="conf-macro"/>
          <w:noProof/>
        </w:rPr>
        <w:t>2024.: 4 226 milijuna EUR.</w:t>
      </w:r>
    </w:p>
    <w:p>
      <w:pPr>
        <w:pStyle w:val="Point1"/>
        <w:rPr>
          <w:noProof/>
        </w:rPr>
      </w:pPr>
      <w:r>
        <w:rPr>
          <w:noProof/>
        </w:rPr>
        <w:lastRenderedPageBreak/>
        <w:t>(2)</w:t>
      </w:r>
      <w:r>
        <w:rPr>
          <w:noProof/>
        </w:rPr>
        <w:tab/>
        <w:t xml:space="preserve">Raščlamba dodatnih sredstava iz stavka 1. za svaku državu članicu određuje se u skladu s člankom 83. stavkom 3. </w:t>
      </w:r>
    </w:p>
    <w:p>
      <w:pPr>
        <w:pStyle w:val="Point1"/>
        <w:rPr>
          <w:noProof/>
        </w:rPr>
      </w:pPr>
      <w:r>
        <w:rPr>
          <w:noProof/>
        </w:rPr>
        <w:t>(3)</w:t>
      </w:r>
      <w:r>
        <w:rPr>
          <w:noProof/>
        </w:rPr>
        <w:tab/>
        <w:t xml:space="preserve">Pravila o opozivu iz članka 32. [Prijedloga Komisije za Uredbu Europskog parlamenta i Vijeća o financiranju i nadzoru ZPP-a te upravljanju njime] primjenjuju se na proračunske obveze koje se temelje na dodatnim sredstvima iz stavka 1. tog članka. </w:t>
      </w:r>
    </w:p>
    <w:p>
      <w:pPr>
        <w:pStyle w:val="Point1"/>
        <w:rPr>
          <w:noProof/>
        </w:rPr>
      </w:pPr>
      <w:r>
        <w:rPr>
          <w:noProof/>
        </w:rPr>
        <w:t>(4)</w:t>
      </w:r>
      <w:r>
        <w:rPr>
          <w:noProof/>
        </w:rPr>
        <w:tab/>
        <w:t>Članak 86. ne primjenjuje se na dodatna sredstva iz stavka 1. tog članka.</w:t>
      </w:r>
    </w:p>
    <w:p>
      <w:pPr>
        <w:pStyle w:val="Point1"/>
        <w:rPr>
          <w:noProof/>
        </w:rPr>
      </w:pPr>
      <w:r>
        <w:rPr>
          <w:noProof/>
        </w:rPr>
        <w:t>(5)</w:t>
      </w:r>
      <w:r>
        <w:rPr>
          <w:noProof/>
        </w:rPr>
        <w:tab/>
        <w:t xml:space="preserve">Do 4 % ukupnih dodatnih sredstava iz stavka 1. može se dodijeliti za tehničku pomoć na inicijativu država članica u okviru doprinosa EPFRR-a strateškim planovima država članica u okviru ZPP-a. </w:t>
      </w:r>
    </w:p>
    <w:p>
      <w:pPr>
        <w:pStyle w:val="Point1"/>
        <w:rPr>
          <w:rStyle w:val="conf-macro"/>
          <w:noProof/>
        </w:rPr>
      </w:pPr>
      <w:r>
        <w:rPr>
          <w:rStyle w:val="conf-macro"/>
          <w:noProof/>
        </w:rPr>
        <w:t>(6)</w:t>
      </w:r>
      <w:r>
        <w:rPr>
          <w:rStyle w:val="conf-macro"/>
          <w:noProof/>
        </w:rPr>
        <w:tab/>
        <w:t>Dodatna sredstva</w:t>
      </w:r>
      <w:r>
        <w:rPr>
          <w:noProof/>
        </w:rPr>
        <w:t xml:space="preserve"> iz stavka 1.</w:t>
      </w:r>
      <w:r>
        <w:rPr>
          <w:rStyle w:val="conf-macro"/>
          <w:noProof/>
        </w:rPr>
        <w:t xml:space="preserve"> upotrebljavaju se u okviru novog posebnog cilja kojim se nadopunjuju posebni ciljevi utvrđeni u članku 6. radi potpore operacijama kojima se priprema oporavak gospodarstva.”</w:t>
      </w:r>
    </w:p>
    <w:p>
      <w:pPr>
        <w:rPr>
          <w:noProof/>
        </w:rPr>
      </w:pPr>
    </w:p>
    <w:p>
      <w:pPr>
        <w:rPr>
          <w:noProof/>
        </w:rPr>
      </w:pPr>
    </w:p>
    <w:p>
      <w:pPr>
        <w:rPr>
          <w:noProof/>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lastRenderedPageBreak/>
        <w:t>ZAKONODAVNI FINANCIJSKI IZVJEŠTAJ</w:t>
      </w:r>
    </w:p>
    <w:p>
      <w:pPr>
        <w:keepNext/>
        <w:tabs>
          <w:tab w:val="left" w:pos="850"/>
        </w:tabs>
        <w:spacing w:before="360"/>
        <w:ind w:left="850" w:hanging="850"/>
        <w:outlineLvl w:val="0"/>
        <w:rPr>
          <w:b/>
          <w:smallCaps/>
          <w:noProof/>
        </w:rPr>
      </w:pPr>
      <w:r>
        <w:rPr>
          <w:b/>
          <w:smallCaps/>
          <w:noProof/>
        </w:rPr>
        <w:t>1.</w:t>
      </w:r>
      <w:r>
        <w:rPr>
          <w:b/>
          <w:smallCaps/>
          <w:noProof/>
        </w:rPr>
        <w:tab/>
        <w:t xml:space="preserve">OKVIR PRIJEDLOGA/INICIJATIVE </w:t>
      </w:r>
    </w:p>
    <w:p>
      <w:pPr>
        <w:keepNext/>
        <w:tabs>
          <w:tab w:val="left" w:pos="850"/>
        </w:tabs>
        <w:ind w:left="850" w:hanging="850"/>
        <w:outlineLvl w:val="1"/>
        <w:rPr>
          <w:noProof/>
        </w:rPr>
      </w:pPr>
      <w:r>
        <w:rPr>
          <w:b/>
          <w:noProof/>
        </w:rPr>
        <w:tab/>
      </w:r>
      <w:r>
        <w:rPr>
          <w:noProof/>
        </w:rPr>
        <w:t>1.1.</w:t>
      </w:r>
      <w:r>
        <w:rPr>
          <w:noProof/>
        </w:rPr>
        <w:tab/>
        <w:t xml:space="preserve">Naslov prijedloga/inicijative </w:t>
      </w:r>
    </w:p>
    <w:p>
      <w:pPr>
        <w:keepNext/>
        <w:tabs>
          <w:tab w:val="left" w:pos="850"/>
        </w:tabs>
        <w:ind w:left="850" w:hanging="850"/>
        <w:outlineLvl w:val="1"/>
        <w:rPr>
          <w:noProof/>
        </w:rPr>
      </w:pPr>
      <w:r>
        <w:rPr>
          <w:noProof/>
        </w:rPr>
        <w:tab/>
        <w:t>1.2.</w:t>
      </w:r>
      <w:r>
        <w:rPr>
          <w:noProof/>
        </w:rPr>
        <w:tab/>
        <w:t>Odgovarajuća područja politike u strukturi ABM/ABB</w:t>
      </w:r>
    </w:p>
    <w:p>
      <w:pPr>
        <w:keepNext/>
        <w:tabs>
          <w:tab w:val="left" w:pos="850"/>
        </w:tabs>
        <w:ind w:left="850" w:hanging="850"/>
        <w:outlineLvl w:val="1"/>
        <w:rPr>
          <w:noProof/>
        </w:rPr>
      </w:pPr>
      <w:r>
        <w:rPr>
          <w:noProof/>
        </w:rPr>
        <w:tab/>
        <w:t>1.3.</w:t>
      </w:r>
      <w:r>
        <w:rPr>
          <w:noProof/>
        </w:rPr>
        <w:tab/>
        <w:t xml:space="preserve">Vrsta prijedloga/inicijative </w:t>
      </w:r>
    </w:p>
    <w:p>
      <w:pPr>
        <w:keepNext/>
        <w:tabs>
          <w:tab w:val="left" w:pos="850"/>
        </w:tabs>
        <w:ind w:left="850" w:hanging="850"/>
        <w:outlineLvl w:val="1"/>
        <w:rPr>
          <w:noProof/>
        </w:rPr>
      </w:pPr>
      <w:r>
        <w:rPr>
          <w:noProof/>
        </w:rPr>
        <w:tab/>
        <w:t>1.4.</w:t>
      </w:r>
      <w:r>
        <w:rPr>
          <w:noProof/>
        </w:rPr>
        <w:tab/>
        <w:t xml:space="preserve">Ciljevi </w:t>
      </w:r>
    </w:p>
    <w:p>
      <w:pPr>
        <w:keepNext/>
        <w:tabs>
          <w:tab w:val="left" w:pos="850"/>
        </w:tabs>
        <w:ind w:left="850" w:hanging="850"/>
        <w:outlineLvl w:val="1"/>
        <w:rPr>
          <w:noProof/>
        </w:rPr>
      </w:pPr>
      <w:r>
        <w:rPr>
          <w:noProof/>
        </w:rPr>
        <w:tab/>
        <w:t>1.5.</w:t>
      </w:r>
      <w:r>
        <w:rPr>
          <w:noProof/>
        </w:rPr>
        <w:tab/>
        <w:t xml:space="preserve">Osnova prijedloga/inicijative </w:t>
      </w:r>
    </w:p>
    <w:p>
      <w:pPr>
        <w:keepNext/>
        <w:tabs>
          <w:tab w:val="left" w:pos="850"/>
        </w:tabs>
        <w:ind w:left="850" w:hanging="850"/>
        <w:outlineLvl w:val="1"/>
        <w:rPr>
          <w:noProof/>
        </w:rPr>
      </w:pPr>
      <w:r>
        <w:rPr>
          <w:noProof/>
        </w:rPr>
        <w:tab/>
        <w:t>1.6.</w:t>
      </w:r>
      <w:r>
        <w:rPr>
          <w:noProof/>
        </w:rPr>
        <w:tab/>
        <w:t xml:space="preserve">Trajanje i financijski učinak </w:t>
      </w:r>
    </w:p>
    <w:p>
      <w:pPr>
        <w:keepNext/>
        <w:tabs>
          <w:tab w:val="left" w:pos="850"/>
        </w:tabs>
        <w:ind w:left="850" w:hanging="850"/>
        <w:outlineLvl w:val="1"/>
        <w:rPr>
          <w:noProof/>
        </w:rPr>
      </w:pPr>
      <w:r>
        <w:rPr>
          <w:noProof/>
        </w:rPr>
        <w:tab/>
        <w:t>1.7.</w:t>
      </w:r>
      <w:r>
        <w:rPr>
          <w:noProof/>
        </w:rPr>
        <w:tab/>
        <w:t xml:space="preserve">Predviđeni načini upravljanja </w:t>
      </w:r>
    </w:p>
    <w:p>
      <w:pPr>
        <w:keepNext/>
        <w:tabs>
          <w:tab w:val="left" w:pos="850"/>
        </w:tabs>
        <w:spacing w:before="360"/>
        <w:ind w:left="850" w:hanging="850"/>
        <w:outlineLvl w:val="0"/>
        <w:rPr>
          <w:b/>
          <w:smallCaps/>
          <w:noProof/>
        </w:rPr>
      </w:pPr>
      <w:r>
        <w:rPr>
          <w:b/>
          <w:smallCaps/>
          <w:noProof/>
        </w:rPr>
        <w:t>2.</w:t>
      </w:r>
      <w:r>
        <w:rPr>
          <w:b/>
          <w:smallCaps/>
          <w:noProof/>
        </w:rPr>
        <w:tab/>
        <w:t xml:space="preserve">MJERE UPRAVLJANJA </w:t>
      </w:r>
    </w:p>
    <w:p>
      <w:pPr>
        <w:keepNext/>
        <w:tabs>
          <w:tab w:val="left" w:pos="850"/>
        </w:tabs>
        <w:ind w:left="850" w:hanging="850"/>
        <w:outlineLvl w:val="1"/>
        <w:rPr>
          <w:noProof/>
        </w:rPr>
      </w:pPr>
      <w:r>
        <w:rPr>
          <w:noProof/>
        </w:rPr>
        <w:tab/>
        <w:t>2.1.</w:t>
      </w:r>
      <w:r>
        <w:rPr>
          <w:noProof/>
        </w:rPr>
        <w:tab/>
        <w:t xml:space="preserve">Pravila nadzora i izvješćivanja </w:t>
      </w:r>
    </w:p>
    <w:p>
      <w:pPr>
        <w:keepNext/>
        <w:tabs>
          <w:tab w:val="left" w:pos="850"/>
        </w:tabs>
        <w:ind w:left="850" w:hanging="850"/>
        <w:outlineLvl w:val="1"/>
        <w:rPr>
          <w:noProof/>
        </w:rPr>
      </w:pPr>
      <w:r>
        <w:rPr>
          <w:noProof/>
        </w:rPr>
        <w:tab/>
        <w:t>2.2.</w:t>
      </w:r>
      <w:r>
        <w:rPr>
          <w:noProof/>
        </w:rPr>
        <w:tab/>
        <w:t xml:space="preserve">Sustav upravljanja i kontrole </w:t>
      </w:r>
    </w:p>
    <w:p>
      <w:pPr>
        <w:keepNext/>
        <w:tabs>
          <w:tab w:val="left" w:pos="850"/>
        </w:tabs>
        <w:ind w:left="850" w:hanging="850"/>
        <w:outlineLvl w:val="1"/>
        <w:rPr>
          <w:noProof/>
        </w:rPr>
      </w:pPr>
      <w:r>
        <w:rPr>
          <w:noProof/>
        </w:rPr>
        <w:tab/>
        <w:t>2.3.</w:t>
      </w:r>
      <w:r>
        <w:rPr>
          <w:noProof/>
        </w:rPr>
        <w:tab/>
        <w:t xml:space="preserve">Mjere za sprečavanje prijevara i nepravilnosti </w:t>
      </w:r>
    </w:p>
    <w:p>
      <w:pPr>
        <w:keepNext/>
        <w:tabs>
          <w:tab w:val="left" w:pos="850"/>
        </w:tabs>
        <w:spacing w:before="360"/>
        <w:ind w:left="850" w:hanging="850"/>
        <w:outlineLvl w:val="0"/>
        <w:rPr>
          <w:b/>
          <w:smallCaps/>
          <w:noProof/>
        </w:rPr>
      </w:pPr>
      <w:r>
        <w:rPr>
          <w:b/>
          <w:smallCaps/>
          <w:noProof/>
        </w:rPr>
        <w:t>3.</w:t>
      </w:r>
      <w:r>
        <w:rPr>
          <w:b/>
          <w:smallCaps/>
          <w:noProof/>
        </w:rPr>
        <w:tab/>
        <w:t xml:space="preserve">PROCIJENJENI FINANCIJSKI UČINAK PRIJEDLOGA/INICIJATIVE </w:t>
      </w:r>
    </w:p>
    <w:p>
      <w:pPr>
        <w:keepNext/>
        <w:tabs>
          <w:tab w:val="left" w:pos="850"/>
        </w:tabs>
        <w:ind w:left="850" w:hanging="850"/>
        <w:outlineLvl w:val="1"/>
        <w:rPr>
          <w:noProof/>
        </w:rPr>
      </w:pPr>
      <w:r>
        <w:rPr>
          <w:noProof/>
        </w:rPr>
        <w:tab/>
        <w:t>3.1.</w:t>
      </w:r>
      <w:r>
        <w:rPr>
          <w:noProof/>
        </w:rPr>
        <w:tab/>
        <w:t xml:space="preserve">Naslovi višegodišnjeg financijskog okvira i proračunske linije rashoda na koje prijedlog/inicijativa ima učinak </w:t>
      </w:r>
    </w:p>
    <w:p>
      <w:pPr>
        <w:keepNext/>
        <w:tabs>
          <w:tab w:val="left" w:pos="850"/>
        </w:tabs>
        <w:ind w:left="850" w:hanging="850"/>
        <w:outlineLvl w:val="1"/>
        <w:rPr>
          <w:b/>
          <w:noProof/>
        </w:rPr>
      </w:pPr>
      <w:r>
        <w:rPr>
          <w:noProof/>
        </w:rPr>
        <w:tab/>
        <w:t>3.2.</w:t>
      </w:r>
      <w:r>
        <w:rPr>
          <w:noProof/>
        </w:rPr>
        <w:tab/>
        <w:t>Procijenjeni učinak na rashode</w:t>
      </w:r>
      <w:r>
        <w:rPr>
          <w:b/>
          <w:noProof/>
        </w:rPr>
        <w:t xml:space="preserve"> </w:t>
      </w:r>
    </w:p>
    <w:p>
      <w:pPr>
        <w:keepNext/>
        <w:tabs>
          <w:tab w:val="left" w:pos="850"/>
        </w:tabs>
        <w:ind w:left="850" w:hanging="850"/>
        <w:outlineLvl w:val="2"/>
        <w:rPr>
          <w:i/>
          <w:noProof/>
        </w:rPr>
      </w:pPr>
      <w:r>
        <w:rPr>
          <w:i/>
          <w:noProof/>
        </w:rPr>
        <w:tab/>
        <w:t>3.2.1.</w:t>
      </w:r>
      <w:r>
        <w:rPr>
          <w:i/>
          <w:noProof/>
        </w:rPr>
        <w:tab/>
        <w:t xml:space="preserve">Sažetak procijenjenog učinka na rashode </w:t>
      </w:r>
    </w:p>
    <w:p>
      <w:pPr>
        <w:keepNext/>
        <w:tabs>
          <w:tab w:val="left" w:pos="850"/>
        </w:tabs>
        <w:ind w:left="850" w:hanging="850"/>
        <w:outlineLvl w:val="2"/>
        <w:rPr>
          <w:i/>
          <w:noProof/>
        </w:rPr>
      </w:pPr>
      <w:r>
        <w:rPr>
          <w:i/>
          <w:noProof/>
        </w:rPr>
        <w:tab/>
        <w:t>3.2.2.</w:t>
      </w:r>
      <w:r>
        <w:rPr>
          <w:i/>
          <w:noProof/>
        </w:rPr>
        <w:tab/>
        <w:t xml:space="preserve">Procijenjeni učinak na odobrena sredstva za poslovanje </w:t>
      </w:r>
    </w:p>
    <w:p>
      <w:pPr>
        <w:keepNext/>
        <w:tabs>
          <w:tab w:val="left" w:pos="850"/>
        </w:tabs>
        <w:ind w:left="850" w:hanging="850"/>
        <w:outlineLvl w:val="2"/>
        <w:rPr>
          <w:i/>
          <w:noProof/>
        </w:rPr>
      </w:pPr>
      <w:r>
        <w:rPr>
          <w:i/>
          <w:noProof/>
        </w:rPr>
        <w:tab/>
        <w:t>3.2.3.</w:t>
      </w:r>
      <w:r>
        <w:rPr>
          <w:i/>
          <w:noProof/>
        </w:rPr>
        <w:tab/>
        <w:t>Procijenjeni učinak na administrativna odobrena sredstva</w:t>
      </w:r>
    </w:p>
    <w:p>
      <w:pPr>
        <w:keepNext/>
        <w:tabs>
          <w:tab w:val="left" w:pos="850"/>
        </w:tabs>
        <w:ind w:left="850" w:hanging="850"/>
        <w:outlineLvl w:val="2"/>
        <w:rPr>
          <w:i/>
          <w:noProof/>
        </w:rPr>
      </w:pPr>
      <w:r>
        <w:rPr>
          <w:i/>
          <w:noProof/>
        </w:rPr>
        <w:tab/>
        <w:t>3.2.4.</w:t>
      </w:r>
      <w:r>
        <w:rPr>
          <w:i/>
          <w:noProof/>
        </w:rPr>
        <w:tab/>
        <w:t>Usklađenost s aktualnim višegodišnjim financijskim okvirom</w:t>
      </w:r>
    </w:p>
    <w:p>
      <w:pPr>
        <w:keepNext/>
        <w:tabs>
          <w:tab w:val="left" w:pos="850"/>
        </w:tabs>
        <w:ind w:left="850" w:hanging="850"/>
        <w:outlineLvl w:val="2"/>
        <w:rPr>
          <w:i/>
          <w:noProof/>
        </w:rPr>
      </w:pPr>
      <w:r>
        <w:rPr>
          <w:i/>
          <w:noProof/>
        </w:rPr>
        <w:tab/>
        <w:t>3.2.5.</w:t>
      </w:r>
      <w:r>
        <w:rPr>
          <w:i/>
          <w:noProof/>
        </w:rPr>
        <w:tab/>
        <w:t xml:space="preserve">Doprinos trećih strana </w:t>
      </w:r>
    </w:p>
    <w:p>
      <w:pPr>
        <w:rPr>
          <w:noProof/>
        </w:rPr>
      </w:pPr>
      <w:r>
        <w:rPr>
          <w:noProof/>
        </w:rPr>
        <w:tab/>
        <w:t>3.3.</w:t>
      </w:r>
      <w:r>
        <w:rPr>
          <w:noProof/>
        </w:rPr>
        <w:tab/>
        <w:t>Procijenjeni učinak na prihode</w:t>
      </w:r>
    </w:p>
    <w:p>
      <w:pPr>
        <w:spacing w:before="0" w:after="200" w:line="276" w:lineRule="auto"/>
        <w:jc w:val="left"/>
        <w:rPr>
          <w:noProof/>
        </w:rPr>
      </w:pPr>
      <w:r>
        <w:rPr>
          <w:noProof/>
        </w:rPr>
        <w:br w:type="page"/>
      </w:r>
    </w:p>
    <w:p>
      <w:pPr>
        <w:jc w:val="center"/>
        <w:rPr>
          <w:b/>
          <w:noProof/>
          <w:u w:val="single"/>
        </w:rPr>
      </w:pPr>
      <w:r>
        <w:rPr>
          <w:b/>
          <w:noProof/>
          <w:u w:val="single"/>
        </w:rPr>
        <w:lastRenderedPageBreak/>
        <w:t>ZAKONODAVNI FINANCIJSKI IZVJEŠTAJ</w:t>
      </w:r>
    </w:p>
    <w:p>
      <w:pPr>
        <w:keepNext/>
        <w:spacing w:before="360"/>
        <w:outlineLvl w:val="0"/>
        <w:rPr>
          <w:rFonts w:eastAsiaTheme="majorEastAsia"/>
          <w:b/>
          <w:bCs/>
          <w:smallCaps/>
          <w:noProof/>
          <w:szCs w:val="28"/>
        </w:rPr>
      </w:pPr>
      <w:r>
        <w:rPr>
          <w:b/>
          <w:bCs/>
          <w:smallCaps/>
          <w:noProof/>
          <w:szCs w:val="28"/>
        </w:rPr>
        <w:t xml:space="preserve">OKVIR PRIJEDLOGA/INICIJATIVE </w:t>
      </w:r>
    </w:p>
    <w:p>
      <w:pPr>
        <w:keepNext/>
        <w:outlineLvl w:val="1"/>
        <w:rPr>
          <w:rFonts w:eastAsiaTheme="majorEastAsia"/>
          <w:b/>
          <w:bCs/>
          <w:noProof/>
          <w:szCs w:val="26"/>
        </w:rPr>
      </w:pPr>
      <w:r>
        <w:rPr>
          <w:b/>
          <w:bCs/>
          <w:noProof/>
          <w:szCs w:val="26"/>
        </w:rPr>
        <w:t xml:space="preserve">Naslov prijedloga/inicijative </w:t>
      </w:r>
    </w:p>
    <w:p>
      <w:pPr>
        <w:ind w:left="850"/>
        <w:rPr>
          <w:noProof/>
          <w:color w:val="0000FF"/>
        </w:rPr>
      </w:pPr>
      <w:r>
        <w:rPr>
          <w:noProof/>
          <w:color w:val="0000FF"/>
        </w:rPr>
        <w:t>Izmijenjeni Prijedlog UREDBE EUROPSKOG PARLAMENTA I VIJEĆA o uspostavi Obzora Europa – Okvirnog programa za istraživanja i inovacije te o utvrđivanju pravila za sudjelovanje i širenje rezultata (COM(2018)435); ODLUKE EUROPSKOG PARLAMENTA I VIJEĆA o uspostavi posebnog programa za provedbu Obzora Europa – Okvirnog programa za istraživanja i inovacije (COM(2018)436); UREDBE EUROPSKOG PARLAMENTA I VIJEĆA o utvrđivanju pravila o potpori za strateške planove koje izrađuju države članice u okviru zajedničke poljoprivredne politike (strateški planovi u okviru ZPP-a) (COM(2018) 392); UREDBE EUROPSKOG PARLAMENTA I VIJEĆA o uspostavi Instrumenta za susjedstvo, razvoj i međunarodnu suradnju</w:t>
      </w:r>
    </w:p>
    <w:p>
      <w:pPr>
        <w:keepNext/>
        <w:outlineLvl w:val="1"/>
        <w:rPr>
          <w:rFonts w:eastAsiaTheme="majorEastAsia"/>
          <w:b/>
          <w:bCs/>
          <w:noProof/>
          <w:szCs w:val="26"/>
        </w:rPr>
      </w:pPr>
      <w:r>
        <w:rPr>
          <w:b/>
          <w:bCs/>
          <w:noProof/>
          <w:szCs w:val="26"/>
        </w:rPr>
        <w:t>Odgovarajuća područja politike (klaster programa)</w:t>
      </w:r>
    </w:p>
    <w:p>
      <w:pPr>
        <w:pBdr>
          <w:top w:val="single" w:sz="4" w:space="1" w:color="auto"/>
          <w:left w:val="single" w:sz="4" w:space="4" w:color="auto"/>
          <w:bottom w:val="single" w:sz="4" w:space="1" w:color="auto"/>
          <w:right w:val="single" w:sz="4" w:space="4" w:color="auto"/>
        </w:pBdr>
        <w:ind w:left="850"/>
        <w:rPr>
          <w:noProof/>
        </w:rPr>
      </w:pPr>
      <w:r>
        <w:rPr>
          <w:noProof/>
          <w:color w:val="0000FF"/>
        </w:rPr>
        <w:t>01 Istraživanje i inovacije</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15 Vanjsko djelovanje</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 xml:space="preserve">08 Poljoprivredna i pomorska politika </w:t>
      </w:r>
    </w:p>
    <w:p>
      <w:pPr>
        <w:keepNext/>
        <w:outlineLvl w:val="1"/>
        <w:rPr>
          <w:rFonts w:eastAsiaTheme="majorEastAsia"/>
          <w:b/>
          <w:noProof/>
          <w:szCs w:val="24"/>
        </w:rPr>
      </w:pPr>
      <w:r>
        <w:rPr>
          <w:b/>
          <w:bCs/>
          <w:noProof/>
          <w:szCs w:val="26"/>
        </w:rPr>
        <w:t xml:space="preserve">Prijedlog/inicijativa odnosi se na: </w:t>
      </w:r>
    </w:p>
    <w:p>
      <w:pPr>
        <w:ind w:left="850"/>
        <w:rPr>
          <w:b/>
          <w:noProof/>
          <w:sz w:val="22"/>
        </w:rPr>
      </w:pPr>
      <w:r>
        <w:rPr>
          <w:noProof/>
          <w:sz w:val="22"/>
        </w:rPr>
        <w:sym w:font="Wingdings" w:char="F0A8"/>
      </w:r>
      <w:r>
        <w:rPr>
          <w:b/>
          <w:i/>
          <w:noProof/>
          <w:sz w:val="22"/>
        </w:rPr>
        <w:t xml:space="preserve"> </w:t>
      </w:r>
      <w:r>
        <w:rPr>
          <w:b/>
          <w:noProof/>
        </w:rPr>
        <w:t>novo djelovanje</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novo djelovanje nakon pilot-projekta/pripremnog djelovanja</w:t>
      </w:r>
      <w:r>
        <w:rPr>
          <w:rStyle w:val="FootnoteReference"/>
          <w:noProof/>
        </w:rPr>
        <w:footnoteReference w:id="3"/>
      </w:r>
      <w:r>
        <w:rPr>
          <w:noProof/>
          <w:sz w:val="22"/>
        </w:rPr>
        <w:t xml:space="preserve"> </w:t>
      </w:r>
    </w:p>
    <w:p>
      <w:pPr>
        <w:ind w:left="850"/>
        <w:rPr>
          <w:noProof/>
          <w:sz w:val="22"/>
        </w:rPr>
      </w:pPr>
      <w:r>
        <w:rPr>
          <w:noProof/>
          <w:sz w:val="22"/>
        </w:rPr>
        <w:sym w:font="Wingdings" w:char="F0A8"/>
      </w:r>
      <w:r>
        <w:rPr>
          <w:i/>
          <w:noProof/>
          <w:sz w:val="22"/>
        </w:rPr>
        <w:t xml:space="preserve"> </w:t>
      </w:r>
      <w:r>
        <w:rPr>
          <w:b/>
          <w:noProof/>
        </w:rPr>
        <w:t>produženje postojećeg djelovanja</w:t>
      </w:r>
      <w:r>
        <w:rPr>
          <w:noProof/>
          <w:sz w:val="22"/>
        </w:rPr>
        <w:t xml:space="preserve"> </w:t>
      </w:r>
    </w:p>
    <w:p>
      <w:pPr>
        <w:ind w:left="850"/>
        <w:rPr>
          <w:noProof/>
        </w:rPr>
      </w:pPr>
      <w:r>
        <w:rPr>
          <w:noProof/>
          <w:sz w:val="22"/>
        </w:rPr>
        <w:t>X</w:t>
      </w:r>
      <w:r>
        <w:rPr>
          <w:i/>
          <w:noProof/>
          <w:sz w:val="22"/>
        </w:rPr>
        <w:t xml:space="preserve"> </w:t>
      </w:r>
      <w:r>
        <w:rPr>
          <w:b/>
          <w:noProof/>
        </w:rPr>
        <w:t>spajanje ili preusmjeravanje jednog ili više djelovanja u drugo/novo djelovanje</w:t>
      </w:r>
      <w:r>
        <w:rPr>
          <w:noProof/>
        </w:rPr>
        <w:t xml:space="preserve"> </w:t>
      </w:r>
    </w:p>
    <w:p>
      <w:pPr>
        <w:keepNext/>
        <w:outlineLvl w:val="1"/>
        <w:rPr>
          <w:rFonts w:eastAsiaTheme="majorEastAsia"/>
          <w:b/>
          <w:noProof/>
          <w:szCs w:val="24"/>
        </w:rPr>
      </w:pPr>
      <w:r>
        <w:rPr>
          <w:b/>
          <w:bCs/>
          <w:noProof/>
          <w:szCs w:val="26"/>
        </w:rPr>
        <w:t xml:space="preserve">Osnova prijedloga/inicijative </w:t>
      </w:r>
    </w:p>
    <w:p>
      <w:pPr>
        <w:keepNext/>
        <w:outlineLvl w:val="2"/>
        <w:rPr>
          <w:rFonts w:eastAsiaTheme="majorEastAsia"/>
          <w:bCs/>
          <w:i/>
          <w:noProof/>
        </w:rPr>
      </w:pPr>
      <w:r>
        <w:rPr>
          <w:bCs/>
          <w:i/>
          <w:noProof/>
        </w:rPr>
        <w:t>Zahtjevi koje treba ispuniti u kratkoročnom ili dugoročnom razdoblju, uključujući detaljan vremenski plan provedbe inicijative</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 xml:space="preserve">Ciljane izmjene Obzora Europa – Okvirnog programa za istraživanja i inovacije i Instrumenta za susjedstvo, razvoj i međunarodnu suradnju (NDICI) i intervencija EPFRR-a u sklopu strateških planova u okviru ZPP-a predlažu se u okviru revidiranog prijedloga VFO-a, uključujući Instrument Europske unije za oporavak (EURI). Tim novim instrumentom osigurat će se sredstva za te programe u ograničenom razdoblju iznad gornjih granica utvrđenih za odobrena sredstva za preuzete obveze i odobrena sredstva za plaćanje u okviru VFO-a, kao vanjski namjenski prihodi u smislu članka 21. Financijske uredbe. </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 xml:space="preserve">Kao općenito pravilo, financijsku potporu i relevantne mjere koje provodi Komisija trebalo bi pojačano pružati na početku provedbe projekta do kraja 2024., a u pogledu nepovratne financijske potpore, najmanje 60 % ukupnog iznosa potpore trebalo bi dodijeliti do kraja 2022. Komisija bi trebala iskoristiti preostalo vrijeme nakon 2024. do kraja VFO-a za poticanje provedbe relevantnih mjera na terenu, postizanje </w:t>
      </w:r>
      <w:r>
        <w:rPr>
          <w:noProof/>
          <w:color w:val="0000FF"/>
        </w:rPr>
        <w:lastRenderedPageBreak/>
        <w:t>očekivanog oporavka relevantnih gospodarskih i socijalnih sektora te promicanje otpornosti i konvergencije.</w:t>
      </w:r>
    </w:p>
    <w:p>
      <w:pPr>
        <w:ind w:left="850"/>
        <w:rPr>
          <w:noProof/>
          <w:color w:val="0000FF"/>
        </w:rPr>
      </w:pPr>
    </w:p>
    <w:p>
      <w:pPr>
        <w:keepNext/>
        <w:outlineLvl w:val="2"/>
        <w:rPr>
          <w:rFonts w:eastAsiaTheme="majorEastAsia"/>
          <w:bCs/>
          <w:i/>
          <w:noProof/>
        </w:rPr>
      </w:pPr>
      <w:r>
        <w:rPr>
          <w:bCs/>
          <w:i/>
          <w:noProof/>
        </w:rPr>
        <w:t>Dodana vrijednost angažmana Unije (može proizlaziti iz raznih čimbenika, npr. bolje koordinacije, pravne sigurnosti, veće djelotvornosti ili komplementarnosti). Za potrebe ove točke, „dodana vrijednost angažmana Unije” vrijednost je intervencije Unije koja je dodana vrijednosti koju bi države članice inače ostvarile svojim zasebnim djelovanjima.</w:t>
      </w:r>
    </w:p>
    <w:p>
      <w:pPr>
        <w:pBdr>
          <w:top w:val="single" w:sz="4" w:space="1" w:color="auto"/>
          <w:left w:val="single" w:sz="4" w:space="4" w:color="auto"/>
          <w:bottom w:val="single" w:sz="4" w:space="1" w:color="auto"/>
          <w:right w:val="single" w:sz="4" w:space="4" w:color="auto"/>
        </w:pBdr>
        <w:ind w:left="850"/>
        <w:rPr>
          <w:noProof/>
        </w:rPr>
      </w:pPr>
      <w:r>
        <w:rPr>
          <w:noProof/>
        </w:rPr>
        <w:t>(1)</w:t>
      </w:r>
      <w:r>
        <w:rPr>
          <w:noProof/>
        </w:rPr>
        <w:tab/>
        <w:t xml:space="preserve">Kako bi ograničilo širenje bolesti uzrokovane koronavirusom („bolest COVID-19”), koje je 11. ožujka 2020. proglašeno pandemijom, države članice i treće zemlje donijele su dosad nezabilježene mjere. Te su mjere izazvale znatne poremećaje gospodarskih aktivnosti, a osobito su poremetile lance opskrbe i proizvodnju te uzrokovale odsustvo radnika s radnih mjesta. Općenito, te su mjere već dovele ili će dovesti do ozbiljnog pogoršanja financijskog položaja mnogih poduzeća u Uniji i trećim zemljama. </w:t>
      </w:r>
    </w:p>
    <w:p>
      <w:pPr>
        <w:pBdr>
          <w:top w:val="single" w:sz="4" w:space="1" w:color="auto"/>
          <w:left w:val="single" w:sz="4" w:space="4" w:color="auto"/>
          <w:bottom w:val="single" w:sz="4" w:space="1" w:color="auto"/>
          <w:right w:val="single" w:sz="4" w:space="4" w:color="auto"/>
        </w:pBdr>
        <w:ind w:left="850"/>
        <w:rPr>
          <w:noProof/>
        </w:rPr>
      </w:pPr>
      <w:r>
        <w:rPr>
          <w:noProof/>
        </w:rPr>
        <w:t>(2)</w:t>
      </w:r>
      <w:r>
        <w:rPr>
          <w:noProof/>
        </w:rPr>
        <w:tab/>
        <w:t>Kriza se brzo proširila na području Unije i u trećim zemljama. Za 2020. predviđa se veliko smanjenje rasta u Uniji koje bi se moglo nastaviti i 2021. Oporavak država članica bi mogao biti vrlo neujednačen, čime bi se povećale razlike među nacionalnim gospodarstvima. Nejednakost u fiskalnoj sposobnosti država članica da osiguraju financijsku potporu tamo gdje je najpotrebnija i različitost nacionalnih mjera ugrožavaju jedinstveno tržište.</w:t>
      </w:r>
    </w:p>
    <w:p>
      <w:pPr>
        <w:pBdr>
          <w:top w:val="single" w:sz="4" w:space="1" w:color="auto"/>
          <w:left w:val="single" w:sz="4" w:space="4" w:color="auto"/>
          <w:bottom w:val="single" w:sz="4" w:space="1" w:color="auto"/>
          <w:right w:val="single" w:sz="4" w:space="4" w:color="auto"/>
        </w:pBdr>
        <w:ind w:left="850"/>
        <w:rPr>
          <w:noProof/>
        </w:rPr>
      </w:pPr>
      <w:r>
        <w:rPr>
          <w:noProof/>
        </w:rPr>
        <w:t>(3)</w:t>
      </w:r>
      <w:r>
        <w:rPr>
          <w:noProof/>
        </w:rPr>
        <w:tab/>
        <w:t>Potrebne su opsežne mjere europskog oporavka koje će zahtijevati iznimno velika javna i privatna ulaganja kako bi se oživilo gospodarstvo, otvorila visokokvalitetna radna mjesta i izvršila potrebna ulaganja za otklanjanje neposredne štete nastale zbog pandemije bolesti COVID-19.</w:t>
      </w:r>
    </w:p>
    <w:p>
      <w:pPr>
        <w:pBdr>
          <w:top w:val="single" w:sz="4" w:space="1" w:color="auto"/>
          <w:left w:val="single" w:sz="4" w:space="4" w:color="auto"/>
          <w:bottom w:val="single" w:sz="4" w:space="1" w:color="auto"/>
          <w:right w:val="single" w:sz="4" w:space="4" w:color="auto"/>
        </w:pBdr>
        <w:ind w:left="850"/>
        <w:rPr>
          <w:noProof/>
        </w:rPr>
      </w:pPr>
      <w:r>
        <w:rPr>
          <w:noProof/>
        </w:rPr>
        <w:t>(4)</w:t>
      </w:r>
      <w:r>
        <w:rPr>
          <w:noProof/>
        </w:rPr>
        <w:tab/>
        <w:t xml:space="preserve">U ovoj iznimnoj situaciji potreban je dosljedan i jedinstven pristup na razini Unije kako bi se spriječilo daljnje pogoršanje gospodarstva i potaknuo uravnotežen oporavak gospodarske aktivnosti, osigurao kontinuitet i povećanje ulaganja u zelenu i digitaliziranu tranziciju. U tom je kontekstu potrebno uspostaviti Europski instrument za oporavak kako bi se odgovorilo na posljedice pandemije bolesti COVID-19 ili neposredne potrebe za financiranjem kako ne bi došlo do ponovnog izbijanja te bolesti. </w:t>
      </w:r>
    </w:p>
    <w:p>
      <w:pPr>
        <w:pBdr>
          <w:top w:val="single" w:sz="4" w:space="1" w:color="auto"/>
          <w:left w:val="single" w:sz="4" w:space="4" w:color="auto"/>
          <w:bottom w:val="single" w:sz="4" w:space="1" w:color="auto"/>
          <w:right w:val="single" w:sz="4" w:space="4" w:color="auto"/>
        </w:pBdr>
        <w:ind w:left="850"/>
        <w:rPr>
          <w:noProof/>
        </w:rPr>
      </w:pPr>
      <w:r>
        <w:rPr>
          <w:noProof/>
        </w:rPr>
        <w:t>(5) U skladu s time, Instrumentom bi se putem Obzora Europa trebala ojačati potpora istraživačkim i inovacijskim aktivnostima povezanima sa zdravljem i klimom. Time će se poboljšati pripravnost za učinkovit i brz odgovor na izvanredne situacije i ulaganje u a rješenja utemeljena na znanosti te osigurati dosljednost s ciljevima europskog zelenog plana.</w:t>
      </w:r>
    </w:p>
    <w:p>
      <w:pPr>
        <w:pBdr>
          <w:top w:val="single" w:sz="4" w:space="1" w:color="auto"/>
          <w:left w:val="single" w:sz="4" w:space="4" w:color="auto"/>
          <w:bottom w:val="single" w:sz="4" w:space="1" w:color="auto"/>
          <w:right w:val="single" w:sz="4" w:space="4" w:color="auto"/>
        </w:pBdr>
        <w:ind w:left="850"/>
        <w:rPr>
          <w:noProof/>
        </w:rPr>
      </w:pPr>
      <w:r>
        <w:rPr>
          <w:noProof/>
        </w:rPr>
        <w:t>(6) Trgovinski i gospodarski odnosi sa susjednim zemljama i zemljama u razvoju, uključujući zemlje zapadnog Balkana, zemlje europskog susjedstva i afričke zemlje, iznimno su važne za gospodarstvo Unije. Zbog toga, i u skladu s globalnom ulogom i odgovornošću Unije te njezinim vrijednostima, financijska sredstva iz Europskog instrumenta za oporavak putem NDICI-ja trebala bi se koristiti i za pružanje potpore zemljama koje se bore protiv posljedica pandemije bolesti COVID-19 i oporavljaju od pandemije.</w:t>
      </w:r>
    </w:p>
    <w:p>
      <w:pPr>
        <w:pBdr>
          <w:top w:val="single" w:sz="4" w:space="1" w:color="auto"/>
          <w:left w:val="single" w:sz="4" w:space="4" w:color="auto"/>
          <w:bottom w:val="single" w:sz="4" w:space="1" w:color="auto"/>
          <w:right w:val="single" w:sz="4" w:space="4" w:color="auto"/>
        </w:pBdr>
        <w:ind w:left="850"/>
        <w:rPr>
          <w:noProof/>
        </w:rPr>
      </w:pPr>
      <w:r>
        <w:rPr>
          <w:noProof/>
        </w:rPr>
        <w:t xml:space="preserve">(7) Instrumentom bi se trebala ojačati i potpora putem Europskog poljoprivrednog fonda za ruralni razvoj (EPFRR), stavljanjem na raspolaganje iznimnih dodatnih sredstava državama članicama za pružanje pomoći teško pogođenim poljoprivrednim </w:t>
      </w:r>
      <w:r>
        <w:rPr>
          <w:noProof/>
        </w:rPr>
        <w:lastRenderedPageBreak/>
        <w:t>i prehrambenim sektorima, za poticanje oporavka od krize u kontekstu izbijanja bolesti COVID-19 i za pripremu oporavka gospodarstva.</w:t>
      </w:r>
    </w:p>
    <w:p>
      <w:pPr>
        <w:ind w:left="720"/>
        <w:rPr>
          <w:noProof/>
        </w:rPr>
      </w:pPr>
    </w:p>
    <w:p>
      <w:pPr>
        <w:keepNext/>
        <w:outlineLvl w:val="2"/>
        <w:rPr>
          <w:rFonts w:eastAsiaTheme="majorEastAsia"/>
          <w:bCs/>
          <w:i/>
          <w:noProof/>
        </w:rPr>
      </w:pPr>
      <w:r>
        <w:rPr>
          <w:bCs/>
          <w:i/>
          <w:noProof/>
        </w:rPr>
        <w:t>Pouke iz prijašnjih sličnih iskustava</w:t>
      </w:r>
    </w:p>
    <w:p>
      <w:pPr>
        <w:pBdr>
          <w:top w:val="single" w:sz="4" w:space="1" w:color="auto"/>
          <w:left w:val="single" w:sz="4" w:space="4" w:color="auto"/>
          <w:bottom w:val="single" w:sz="4" w:space="1" w:color="auto"/>
          <w:right w:val="single" w:sz="4" w:space="4" w:color="auto"/>
        </w:pBdr>
        <w:ind w:left="850"/>
        <w:rPr>
          <w:noProof/>
          <w:color w:val="0000FF"/>
          <w:highlight w:val="yellow"/>
        </w:rPr>
      </w:pPr>
      <w:r>
        <w:rPr>
          <w:noProof/>
          <w:color w:val="0000FF"/>
        </w:rPr>
        <w:t>Kad je riječ o vanjskim odnosima, u izvješću o preispitivanju instrumenta za vanjsko financiranje na sredini provedbenog razdoblja</w:t>
      </w:r>
      <w:r>
        <w:rPr>
          <w:rStyle w:val="FootnoteReference"/>
          <w:noProof/>
        </w:rPr>
        <w:footnoteReference w:id="4"/>
      </w:r>
      <w:r>
        <w:rPr>
          <w:noProof/>
        </w:rPr>
        <w:t xml:space="preserve"> </w:t>
      </w:r>
      <w:r>
        <w:rPr>
          <w:noProof/>
          <w:color w:val="0000FF"/>
        </w:rPr>
        <w:t>zaključuje se da se u trenutačnom kontekstu višestrukih kriza i sukoba višegodišnji financijski okvir EU-a mora moći brzo prilagoditi promjenjivim prioritetima i nepredviđenim događajima te brzo ostvariti rezultate na terenu. Slično tome, potrebno je osigurati dovoljnu financijsku i drugu fleksibilnost instrumenata kako bi se vanjskim djelovanjem odgovorilo na mnoge probleme s kojima se EU suočava na globalnoj razini. Tu je fleksibilnost potrebno razviti na različitim razinama. To znači da treba početi od proračuna, koji bi trebao uključivati veće pričuve, do izrade višegodišnjih programa i većeg pojednostavnjena na provedbenoj razini kako bi se povećale učinkovitost i djelotvornost, Ovim se prijedlogom odgovara na taj zaključak povećanjem dostupnosti dodatnih resursa za rješavanje nepredviđene krize prouzročene pandemijom bolesti COVID-19.</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Istraživanjima i inovacijama, te posebno vodećim europskim programom Obzor Europa, ispunjavaju se prioriteti građana, povećavaju se produktivnost i konkurentnost Unije te su oni ključni za održavanje našeg socioekonomskog modela i vrijednosti i za omogućavanje sustavnijeg prevladavanja izazova. U trenutačnim izvanrednim okolnostima Europi su potrebna brza rješenja utemeljena na istraživanju i inovacijama i dublje znanstveno razumijevanje zaraznih bolesti. Predloženim bi se povećanjima omogućila velika ulaganja u istraživanje i inovacije. u cjenovno pristupačne i inovativne zaštitne mjere, virologiju, cjepiva, liječenje i dijagnostiku te prenošenje rezultata istraživanja u mjere politike javnog zdravstva. Ključno je izdvojiti više sredstava za istraživanje i inovacije u području klime kako bi se povećala konkurentnost industrije EU-a u povezanim gospodarskim sektorima i osigurao oporavak u skladu s ciljevima europskog zelenom plana. Ulaganjima u istraživanja i inovacije pridonijet će se smanjenju dramatičnih povećanja emisija i propadanja prirode s velikim učinkom na zdravlje (npr. zoonotske bolesti). Predloženim bi se povećanjima pružila potpora poduzećima koja se bave istraživanjima i inovacijama u području postupnog ukidanja fosilnih goriva i ulaganjem u disruptivne tehnologije u područjima europskog zelenog plana. Time bi se osigurala financijska sredstva i povećala sredstva za nove i revolucionarne inovacije MSP-ova, novoosnovanih poduzeća i poduzeća srednje tržišne kapitalizacije. Prijedlogom se dopunjuju druge posebne mjere koje već pomažu poljoprivrednom sektoru. Poduzete su regulatorne mjere, kao što je prilagodba pravila o državnim potporama ili olakšavanju dostupnosti sezonskih radnika.</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 xml:space="preserve">Komisija je osim toga prilagodba pravila i uvela promjene u dva namjenska poljoprivredna fonda, EFJP i EPFRR, kako bi omogućila iznimnu fleksibilnost u korištenju europskih strukturnih i investicijskih fondova zbog izbijanja bolesti COVID-19 (Investicijska inicijativa kao odgovor na koronavirus), kao i sve druge mjere za suočavanje s aktualnom izvanrednom situacijom. Mjere su u skladu s </w:t>
      </w:r>
      <w:r>
        <w:rPr>
          <w:noProof/>
          <w:color w:val="0000FF"/>
        </w:rPr>
        <w:lastRenderedPageBreak/>
        <w:t>Komisijinim prijedlogom Instrumenta Europske unije za oporavak utvrđenim u predloženoj Uredbi (EU) XXX/XX.</w:t>
      </w:r>
    </w:p>
    <w:p>
      <w:pPr>
        <w:ind w:left="850"/>
        <w:rPr>
          <w:noProof/>
          <w:color w:val="0000FF"/>
        </w:rPr>
      </w:pPr>
    </w:p>
    <w:p>
      <w:pPr>
        <w:keepNext/>
        <w:outlineLvl w:val="2"/>
        <w:rPr>
          <w:rFonts w:eastAsiaTheme="majorEastAsia"/>
          <w:bCs/>
          <w:i/>
          <w:noProof/>
        </w:rPr>
      </w:pPr>
      <w:r>
        <w:rPr>
          <w:bCs/>
          <w:i/>
          <w:noProof/>
        </w:rPr>
        <w:t>Usklađenost i moguća sinergija s ostalim odgovarajućim instrumentima</w:t>
      </w:r>
    </w:p>
    <w:p>
      <w:pPr>
        <w:pBdr>
          <w:top w:val="single" w:sz="4" w:space="1" w:color="auto"/>
          <w:left w:val="single" w:sz="4" w:space="4" w:color="auto"/>
          <w:bottom w:val="single" w:sz="4" w:space="1" w:color="auto"/>
          <w:right w:val="single" w:sz="4" w:space="4" w:color="auto"/>
        </w:pBdr>
        <w:ind w:left="850"/>
        <w:rPr>
          <w:noProof/>
        </w:rPr>
      </w:pPr>
      <w:r>
        <w:rPr>
          <w:noProof/>
          <w:color w:val="0000FF"/>
        </w:rPr>
        <w:t>Uz sinergije koje su već navedene za Obzor Europa i intervencije NDICI-ja i EPFRR-a u sklopu strateških planova u okviru ZPP-a u prethodnim prijedlozima Komisije iz 2018., ovom se posebnom inicijativom u kontekstu revidiranog prijedloga VFO-a utvrđuju snažne sinergije između tih programa i novog Instrumenta Europske unije za oporavak, utvrđenog predloženom Uredbom (EU) XXX/XX. Uredbom će se omogućiti osiguravanje sredstava za te sektorske programe u ograničenom vremenskom razdoblju iznad gornjih granica VFO-a kao rezultat komplementarnosti ciljeva i funkcioniranja tih instrumenata te imajući u vidu obrazloženja i dodanu vrijednost koji su navedeni u prethodnom odjeljku 1.4.2.</w:t>
      </w:r>
    </w:p>
    <w:p>
      <w:pPr>
        <w:ind w:left="720"/>
        <w:rPr>
          <w:noProof/>
        </w:rPr>
      </w:pPr>
    </w:p>
    <w:p>
      <w:pPr>
        <w:ind w:left="850"/>
        <w:rPr>
          <w:noProof/>
          <w:color w:val="0000FF"/>
        </w:rPr>
      </w:pPr>
    </w:p>
    <w:p>
      <w:pPr>
        <w:ind w:left="850"/>
        <w:rPr>
          <w:noProof/>
        </w:rPr>
      </w:pPr>
    </w:p>
    <w:p>
      <w:pPr>
        <w:keepNext/>
        <w:outlineLvl w:val="1"/>
        <w:rPr>
          <w:rFonts w:eastAsiaTheme="majorEastAsia"/>
          <w:b/>
          <w:noProof/>
          <w:szCs w:val="24"/>
        </w:rPr>
      </w:pPr>
      <w:r>
        <w:rPr>
          <w:noProof/>
        </w:rPr>
        <w:br w:type="page"/>
      </w:r>
      <w:r>
        <w:rPr>
          <w:b/>
          <w:bCs/>
          <w:noProof/>
          <w:szCs w:val="26"/>
        </w:rPr>
        <w:lastRenderedPageBreak/>
        <w:t xml:space="preserve">Trajanje i financijski učinak </w:t>
      </w:r>
    </w:p>
    <w:p>
      <w:pPr>
        <w:ind w:left="850"/>
        <w:rPr>
          <w:noProof/>
        </w:rPr>
      </w:pPr>
      <w:r>
        <w:rPr>
          <w:noProof/>
        </w:rPr>
        <w:sym w:font="Wingdings" w:char="F0A8"/>
      </w:r>
      <w:r>
        <w:rPr>
          <w:b/>
          <w:i/>
          <w:noProof/>
        </w:rPr>
        <w:t xml:space="preserve"> </w:t>
      </w:r>
      <w:r>
        <w:rPr>
          <w:b/>
          <w:noProof/>
        </w:rPr>
        <w:t xml:space="preserve">ograničeno trajanje </w:t>
      </w:r>
    </w:p>
    <w:p>
      <w:pPr>
        <w:rPr>
          <w:rFonts w:eastAsia="Times New Roman"/>
          <w:noProof/>
        </w:rPr>
      </w:pPr>
      <w:r>
        <w:rPr>
          <w:noProof/>
        </w:rPr>
        <w:sym w:font="Wingdings" w:char="F0A8"/>
      </w:r>
      <w:r>
        <w:rPr>
          <w:noProof/>
        </w:rPr>
        <w:t xml:space="preserve"> na snazi od [DD/MM]GGGG do [DD/MM]GGGG </w:t>
      </w:r>
    </w:p>
    <w:p>
      <w:pPr>
        <w:rPr>
          <w:rFonts w:eastAsia="Times New Roman"/>
          <w:noProof/>
        </w:rPr>
      </w:pPr>
      <w:r>
        <w:rPr>
          <w:noProof/>
        </w:rPr>
        <w:sym w:font="Wingdings" w:char="F0A8"/>
      </w:r>
      <w:r>
        <w:rPr>
          <w:noProof/>
        </w:rPr>
        <w:t xml:space="preserve"> Financijski učinak od GGGG do GGGG za odobrena sredstva za preuzete obveze i od GGGG do GGGG za odobrena sredstva za plaćanje. </w:t>
      </w:r>
    </w:p>
    <w:p>
      <w:pPr>
        <w:ind w:left="850"/>
        <w:rPr>
          <w:noProof/>
        </w:rPr>
      </w:pPr>
      <w:r>
        <w:rPr>
          <w:noProof/>
        </w:rPr>
        <w:t>X</w:t>
      </w:r>
      <w:r>
        <w:rPr>
          <w:b/>
          <w:i/>
          <w:noProof/>
        </w:rPr>
        <w:t xml:space="preserve"> </w:t>
      </w:r>
      <w:r>
        <w:rPr>
          <w:b/>
          <w:noProof/>
        </w:rPr>
        <w:t>neograničeno trajanje</w:t>
      </w:r>
    </w:p>
    <w:p>
      <w:pPr>
        <w:rPr>
          <w:rFonts w:eastAsia="Times New Roman"/>
          <w:noProof/>
        </w:rPr>
      </w:pPr>
      <w:r>
        <w:rPr>
          <w:noProof/>
        </w:rPr>
        <w:t>Provedba s početnim razdobljem od 2021. nadalje,</w:t>
      </w:r>
    </w:p>
    <w:p>
      <w:pPr>
        <w:rPr>
          <w:rFonts w:eastAsia="Times New Roman"/>
          <w:noProof/>
        </w:rPr>
      </w:pPr>
      <w:r>
        <w:rPr>
          <w:noProof/>
        </w:rPr>
        <w:t>nakon čega slijedi redovna provedba.</w:t>
      </w:r>
    </w:p>
    <w:p>
      <w:pPr>
        <w:keepNext/>
        <w:outlineLvl w:val="1"/>
        <w:rPr>
          <w:rFonts w:eastAsiaTheme="majorEastAsia"/>
          <w:b/>
          <w:bCs/>
          <w:noProof/>
          <w:szCs w:val="26"/>
        </w:rPr>
      </w:pPr>
      <w:r>
        <w:rPr>
          <w:b/>
          <w:bCs/>
          <w:noProof/>
          <w:szCs w:val="26"/>
        </w:rPr>
        <w:t>Predviđeni načini upravljanja</w:t>
      </w:r>
      <w:r>
        <w:rPr>
          <w:rStyle w:val="FootnoteReference"/>
          <w:noProof/>
        </w:rPr>
        <w:footnoteReference w:id="5"/>
      </w:r>
      <w:r>
        <w:rPr>
          <w:b/>
          <w:bCs/>
          <w:noProof/>
          <w:szCs w:val="26"/>
          <w:vertAlign w:val="superscript"/>
        </w:rPr>
        <w:t xml:space="preserve"> </w:t>
      </w:r>
    </w:p>
    <w:p>
      <w:pPr>
        <w:ind w:left="850"/>
        <w:rPr>
          <w:noProof/>
        </w:rPr>
      </w:pPr>
      <w:r>
        <w:rPr>
          <w:i/>
          <w:noProof/>
        </w:rPr>
        <w:t>X</w:t>
      </w:r>
      <w:r>
        <w:rPr>
          <w:noProof/>
        </w:rPr>
        <w:t xml:space="preserve"> </w:t>
      </w:r>
      <w:r>
        <w:rPr>
          <w:b/>
          <w:noProof/>
        </w:rPr>
        <w:t>Izravno upravljanje</w:t>
      </w:r>
      <w:r>
        <w:rPr>
          <w:noProof/>
        </w:rPr>
        <w:t xml:space="preserve"> koje provodi Komisija</w:t>
      </w:r>
    </w:p>
    <w:p>
      <w:pPr>
        <w:rPr>
          <w:rFonts w:eastAsia="Times New Roman" w:cs="EUAlbertina"/>
          <w:noProof/>
        </w:rPr>
      </w:pPr>
      <w:r>
        <w:rPr>
          <w:noProof/>
        </w:rPr>
        <w:t xml:space="preserve">X putem svojih službi, uključujući osoblje u delegacijama Unije; </w:t>
      </w:r>
    </w:p>
    <w:p>
      <w:pPr>
        <w:rPr>
          <w:rFonts w:eastAsia="Times New Roman"/>
          <w:noProof/>
        </w:rPr>
      </w:pPr>
      <w:r>
        <w:rPr>
          <w:noProof/>
        </w:rPr>
        <w:t>X</w:t>
      </w:r>
      <w:r>
        <w:rPr>
          <w:noProof/>
        </w:rPr>
        <w:tab/>
        <w:t xml:space="preserve">putem izvršnih agencija </w:t>
      </w:r>
    </w:p>
    <w:p>
      <w:pPr>
        <w:ind w:left="850"/>
        <w:rPr>
          <w:noProof/>
        </w:rPr>
      </w:pPr>
      <w:r>
        <w:rPr>
          <w:noProof/>
        </w:rPr>
        <w:sym w:font="Wingdings" w:char="F0A8"/>
      </w:r>
      <w:r>
        <w:rPr>
          <w:b/>
          <w:i/>
          <w:noProof/>
        </w:rPr>
        <w:t xml:space="preserve"> </w:t>
      </w:r>
      <w:r>
        <w:rPr>
          <w:b/>
          <w:noProof/>
        </w:rPr>
        <w:t>Podijeljeno upravljanje</w:t>
      </w:r>
      <w:r>
        <w:rPr>
          <w:noProof/>
        </w:rPr>
        <w:t xml:space="preserve"> s državama članicama </w:t>
      </w:r>
    </w:p>
    <w:p>
      <w:pPr>
        <w:ind w:left="850"/>
        <w:rPr>
          <w:noProof/>
        </w:rPr>
      </w:pPr>
      <w:r>
        <w:rPr>
          <w:noProof/>
        </w:rPr>
        <w:t>X</w:t>
      </w:r>
      <w:r>
        <w:rPr>
          <w:i/>
          <w:noProof/>
        </w:rPr>
        <w:t xml:space="preserve"> </w:t>
      </w:r>
      <w:r>
        <w:rPr>
          <w:b/>
          <w:noProof/>
        </w:rPr>
        <w:t>Neizravno upravljanje</w:t>
      </w:r>
      <w:r>
        <w:rPr>
          <w:noProof/>
        </w:rPr>
        <w:t xml:space="preserve"> povjeravanjem zadaća izvršenja proračuna:</w:t>
      </w:r>
    </w:p>
    <w:p>
      <w:pPr>
        <w:rPr>
          <w:rFonts w:eastAsia="Times New Roman"/>
          <w:noProof/>
        </w:rPr>
      </w:pPr>
      <w:r>
        <w:rPr>
          <w:noProof/>
        </w:rPr>
        <w:t>X trećim zemljama ili tijelima koja su one odredile;</w:t>
      </w:r>
    </w:p>
    <w:p>
      <w:pPr>
        <w:rPr>
          <w:rFonts w:eastAsia="Times New Roman"/>
          <w:noProof/>
        </w:rPr>
      </w:pPr>
      <w:r>
        <w:rPr>
          <w:noProof/>
        </w:rPr>
        <w:t>X međunarodnim organizacijama i njihovim agencijama (navesti);</w:t>
      </w:r>
    </w:p>
    <w:p>
      <w:pPr>
        <w:rPr>
          <w:rFonts w:eastAsia="Times New Roman"/>
          <w:noProof/>
        </w:rPr>
      </w:pPr>
      <w:r>
        <w:rPr>
          <w:noProof/>
        </w:rPr>
        <w:t>X EIB-u i Europskom investicijskom fondu;</w:t>
      </w:r>
    </w:p>
    <w:p>
      <w:pPr>
        <w:rPr>
          <w:rFonts w:eastAsia="Times New Roman"/>
          <w:noProof/>
        </w:rPr>
      </w:pPr>
      <w:r>
        <w:rPr>
          <w:noProof/>
        </w:rPr>
        <w:t>X tijelima iz članaka 70. i 71. Financijske uredbe;</w:t>
      </w:r>
    </w:p>
    <w:p>
      <w:pPr>
        <w:rPr>
          <w:rFonts w:eastAsia="Times New Roman"/>
          <w:noProof/>
        </w:rPr>
      </w:pPr>
      <w:r>
        <w:rPr>
          <w:noProof/>
        </w:rPr>
        <w:t>X tijelima javnog prava;</w:t>
      </w:r>
    </w:p>
    <w:p>
      <w:pPr>
        <w:rPr>
          <w:rFonts w:eastAsia="Times New Roman"/>
          <w:noProof/>
        </w:rPr>
      </w:pPr>
      <w:r>
        <w:rPr>
          <w:noProof/>
        </w:rPr>
        <w:t>X tijelima uređenima privatnim pravom koja pružaju javne usluge u mjeri u kojoj daju odgovarajuća financijska jamstva;</w:t>
      </w:r>
    </w:p>
    <w:p>
      <w:pPr>
        <w:rPr>
          <w:rFonts w:eastAsia="Times New Roman"/>
          <w:noProof/>
        </w:rPr>
      </w:pPr>
      <w:r>
        <w:rPr>
          <w:noProof/>
        </w:rPr>
        <w:t>X tijelima uređenima privatnim pravom države članice kojima je povjerena provedba javno-privatnog partnerstva i koja daju odgovarajuća financijska jamstva;</w:t>
      </w:r>
    </w:p>
    <w:p>
      <w:pPr>
        <w:rPr>
          <w:rFonts w:eastAsia="Times New Roman"/>
          <w:noProof/>
        </w:rPr>
      </w:pPr>
      <w:r>
        <w:rPr>
          <w:noProof/>
        </w:rPr>
        <w:t>X osobama kojima je povjerena provedba određenih djelovanja u području ZVSP-a u skladu s glavom V. UEU-a i koje su navedene u odgovarajućem temeljnom aktu.</w:t>
      </w:r>
    </w:p>
    <w:p>
      <w:pPr>
        <w:rPr>
          <w:noProof/>
        </w:rPr>
      </w:pPr>
      <w:r>
        <w:rPr>
          <w:noProof/>
        </w:rPr>
        <w:t>Napomene:</w:t>
      </w:r>
    </w:p>
    <w:p>
      <w:pPr>
        <w:pBdr>
          <w:top w:val="single" w:sz="4" w:space="1" w:color="auto"/>
          <w:left w:val="single" w:sz="4" w:space="4" w:color="auto"/>
          <w:bottom w:val="single" w:sz="4" w:space="1" w:color="auto"/>
          <w:right w:val="single" w:sz="4" w:space="4" w:color="auto"/>
        </w:pBdr>
        <w:rPr>
          <w:noProof/>
        </w:rPr>
      </w:pPr>
      <w:r>
        <w:rPr>
          <w:noProof/>
        </w:rPr>
        <w:t>Komisija može odlučiti delegirati dio provedbe Obzora Europa izvršnoj agenciji u skladu s načinom upravljanja aktivnostima koje će se pojačati.</w:t>
      </w:r>
    </w:p>
    <w:p>
      <w:pPr>
        <w:rPr>
          <w:noProof/>
        </w:rPr>
      </w:pPr>
    </w:p>
    <w:p>
      <w:pPr>
        <w:rPr>
          <w:noProof/>
        </w:rPr>
        <w:sectPr>
          <w:pgSz w:w="11907" w:h="16840" w:code="9"/>
          <w:pgMar w:top="1134" w:right="1418" w:bottom="1134" w:left="1418" w:header="709" w:footer="709" w:gutter="0"/>
          <w:cols w:space="708"/>
          <w:docGrid w:linePitch="360"/>
        </w:sectPr>
      </w:pPr>
    </w:p>
    <w:p>
      <w:pPr>
        <w:keepNext/>
        <w:spacing w:before="360"/>
        <w:outlineLvl w:val="0"/>
        <w:rPr>
          <w:rFonts w:eastAsiaTheme="majorEastAsia"/>
          <w:b/>
          <w:smallCaps/>
          <w:noProof/>
          <w:szCs w:val="24"/>
        </w:rPr>
      </w:pPr>
      <w:r>
        <w:rPr>
          <w:b/>
          <w:bCs/>
          <w:smallCaps/>
          <w:noProof/>
          <w:szCs w:val="28"/>
        </w:rPr>
        <w:lastRenderedPageBreak/>
        <w:t xml:space="preserve">MJERE UPRAVLJANJA </w:t>
      </w:r>
    </w:p>
    <w:p>
      <w:pPr>
        <w:keepNext/>
        <w:outlineLvl w:val="1"/>
        <w:rPr>
          <w:rFonts w:eastAsiaTheme="majorEastAsia"/>
          <w:b/>
          <w:bCs/>
          <w:noProof/>
          <w:szCs w:val="26"/>
        </w:rPr>
      </w:pPr>
      <w:r>
        <w:rPr>
          <w:b/>
          <w:bCs/>
          <w:noProof/>
          <w:szCs w:val="26"/>
        </w:rPr>
        <w:t xml:space="preserve">Pravila nadzora i izvješćivanja </w:t>
      </w:r>
    </w:p>
    <w:p>
      <w:pPr>
        <w:ind w:left="850"/>
        <w:rPr>
          <w:i/>
          <w:noProof/>
          <w:sz w:val="20"/>
          <w:szCs w:val="20"/>
        </w:rPr>
      </w:pPr>
      <w:r>
        <w:rPr>
          <w:i/>
          <w:noProof/>
          <w:sz w:val="20"/>
          <w:szCs w:val="20"/>
        </w:rPr>
        <w:t>Navesti učestalost i uvjete.</w:t>
      </w:r>
    </w:p>
    <w:p>
      <w:pPr>
        <w:pBdr>
          <w:top w:val="single" w:sz="4" w:space="1" w:color="auto"/>
          <w:left w:val="single" w:sz="4" w:space="4" w:color="auto"/>
          <w:bottom w:val="single" w:sz="4" w:space="1" w:color="auto"/>
          <w:right w:val="single" w:sz="4" w:space="4" w:color="auto"/>
        </w:pBdr>
        <w:ind w:left="850"/>
        <w:rPr>
          <w:noProof/>
        </w:rPr>
      </w:pPr>
      <w:r>
        <w:rPr>
          <w:noProof/>
          <w:color w:val="0000FF"/>
        </w:rPr>
        <w:t>Vidjeti zakonodavne financijske izvještaje prijedloga Komisije: COM(2018) 460 final, COM(2018) 435 final, COM(2018) 436 final, (COM(2018) 392) final</w:t>
      </w:r>
    </w:p>
    <w:p>
      <w:pPr>
        <w:keepNext/>
        <w:outlineLvl w:val="1"/>
        <w:rPr>
          <w:rFonts w:eastAsiaTheme="majorEastAsia"/>
          <w:b/>
          <w:noProof/>
          <w:szCs w:val="24"/>
        </w:rPr>
      </w:pPr>
      <w:r>
        <w:rPr>
          <w:b/>
          <w:bCs/>
          <w:noProof/>
          <w:szCs w:val="26"/>
        </w:rPr>
        <w:t xml:space="preserve">Sustav upravljanja i kontrole </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Vidjeti zakonodavne financijske izvještaje prijedloga Komisije: COM(2018) 460 final, COM(2018) 435 final, COM(2018) 436 final, (COM(2018) 392) final</w:t>
      </w:r>
    </w:p>
    <w:p>
      <w:pPr>
        <w:pBdr>
          <w:top w:val="single" w:sz="4" w:space="1" w:color="auto"/>
          <w:left w:val="single" w:sz="4" w:space="4" w:color="auto"/>
          <w:bottom w:val="single" w:sz="4" w:space="1" w:color="auto"/>
          <w:right w:val="single" w:sz="4" w:space="4" w:color="auto"/>
        </w:pBdr>
        <w:ind w:left="850"/>
        <w:rPr>
          <w:noProof/>
        </w:rPr>
      </w:pPr>
    </w:p>
    <w:p>
      <w:pPr>
        <w:keepNext/>
        <w:outlineLvl w:val="1"/>
        <w:rPr>
          <w:rFonts w:eastAsiaTheme="majorEastAsia"/>
          <w:b/>
          <w:noProof/>
          <w:szCs w:val="24"/>
        </w:rPr>
      </w:pPr>
      <w:r>
        <w:rPr>
          <w:b/>
          <w:bCs/>
          <w:noProof/>
          <w:szCs w:val="26"/>
        </w:rPr>
        <w:t xml:space="preserve">Mjere za sprečavanje prijevara i nepravilnosti </w:t>
      </w:r>
    </w:p>
    <w:p>
      <w:pPr>
        <w:ind w:left="850"/>
        <w:rPr>
          <w:i/>
          <w:noProof/>
          <w:sz w:val="20"/>
          <w:szCs w:val="20"/>
        </w:rPr>
      </w:pPr>
      <w:r>
        <w:rPr>
          <w:i/>
          <w:noProof/>
          <w:sz w:val="20"/>
          <w:szCs w:val="20"/>
        </w:rPr>
        <w:t>Navesti postojeće ili predviđene mjere za sprečavanje i zaštitu, npr. iz strategije za borbu protiv prijevara.</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Vidjeti zakonodavne financijske izvještaje prijedloga Komisije: COM(2018) 460 final, COM(2018) 435 final, COM(2018) 436 final, (COM(2018) 392) final</w:t>
      </w:r>
    </w:p>
    <w:p>
      <w:pPr>
        <w:pBdr>
          <w:top w:val="single" w:sz="4" w:space="1" w:color="auto"/>
          <w:left w:val="single" w:sz="4" w:space="4" w:color="auto"/>
          <w:bottom w:val="single" w:sz="4" w:space="1" w:color="auto"/>
          <w:right w:val="single" w:sz="4" w:space="4" w:color="auto"/>
        </w:pBdr>
        <w:ind w:left="850"/>
        <w:rPr>
          <w:noProof/>
        </w:rPr>
      </w:pPr>
    </w:p>
    <w:p>
      <w:pPr>
        <w:keepNext/>
        <w:spacing w:before="360"/>
        <w:outlineLvl w:val="0"/>
        <w:rPr>
          <w:rFonts w:eastAsiaTheme="majorEastAsia"/>
          <w:b/>
          <w:smallCaps/>
          <w:noProof/>
          <w:szCs w:val="24"/>
        </w:rPr>
      </w:pPr>
      <w:r>
        <w:rPr>
          <w:b/>
          <w:bCs/>
          <w:smallCaps/>
          <w:noProof/>
          <w:color w:val="0000FF"/>
          <w:szCs w:val="28"/>
        </w:rPr>
        <w:t xml:space="preserve"> </w:t>
      </w:r>
      <w:r>
        <w:rPr>
          <w:b/>
          <w:bCs/>
          <w:smallCaps/>
          <w:noProof/>
          <w:szCs w:val="28"/>
        </w:rPr>
        <w:t xml:space="preserve">PROCIJENJENI FINANCIJSKI UČINAK PRIJEDLOGA/INICIJATIVE </w:t>
      </w:r>
    </w:p>
    <w:p>
      <w:pPr>
        <w:keepNext/>
        <w:outlineLvl w:val="1"/>
        <w:rPr>
          <w:rFonts w:eastAsiaTheme="majorEastAsia"/>
          <w:b/>
          <w:bCs/>
          <w:noProof/>
          <w:szCs w:val="26"/>
        </w:rPr>
      </w:pPr>
      <w:r>
        <w:rPr>
          <w:b/>
          <w:bCs/>
          <w:noProof/>
          <w:szCs w:val="26"/>
        </w:rPr>
        <w:t xml:space="preserve">Naslovi višegodišnjeg financijskog okvira i predložene nove proračunske linije rashoda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Align w:val="center"/>
          </w:tcPr>
          <w:p>
            <w:pPr>
              <w:spacing w:before="60" w:after="60"/>
              <w:jc w:val="center"/>
              <w:rPr>
                <w:noProof/>
                <w:sz w:val="18"/>
              </w:rPr>
            </w:pPr>
          </w:p>
        </w:tc>
        <w:tc>
          <w:tcPr>
            <w:tcW w:w="3960" w:type="dxa"/>
            <w:vAlign w:val="center"/>
          </w:tcPr>
          <w:p>
            <w:pPr>
              <w:spacing w:before="60" w:after="60"/>
              <w:jc w:val="center"/>
              <w:rPr>
                <w:noProof/>
                <w:sz w:val="20"/>
              </w:rPr>
            </w:pPr>
          </w:p>
        </w:tc>
        <w:tc>
          <w:tcPr>
            <w:tcW w:w="1080" w:type="dxa"/>
            <w:vAlign w:val="center"/>
          </w:tcPr>
          <w:p>
            <w:pPr>
              <w:spacing w:before="60" w:after="60"/>
              <w:jc w:val="center"/>
              <w:rPr>
                <w:noProof/>
                <w:sz w:val="18"/>
              </w:rPr>
            </w:pPr>
          </w:p>
        </w:tc>
        <w:tc>
          <w:tcPr>
            <w:tcW w:w="4440" w:type="dxa"/>
            <w:gridSpan w:val="4"/>
            <w:vAlign w:val="center"/>
          </w:tcPr>
          <w:p>
            <w:pPr>
              <w:spacing w:before="60" w:after="60"/>
              <w:jc w:val="center"/>
              <w:rPr>
                <w:noProof/>
                <w:sz w:val="20"/>
              </w:rPr>
            </w:pPr>
          </w:p>
        </w:tc>
      </w:tr>
      <w:tr>
        <w:tc>
          <w:tcPr>
            <w:tcW w:w="1080" w:type="dxa"/>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Align w:val="center"/>
          </w:tcPr>
          <w:p>
            <w:pPr>
              <w:jc w:val="center"/>
              <w:rPr>
                <w:noProof/>
              </w:rPr>
            </w:pPr>
          </w:p>
        </w:tc>
        <w:tc>
          <w:tcPr>
            <w:tcW w:w="3960" w:type="dxa"/>
            <w:vAlign w:val="center"/>
          </w:tcPr>
          <w:p>
            <w:pPr>
              <w:rPr>
                <w:b/>
                <w:noProof/>
                <w:sz w:val="20"/>
              </w:rPr>
            </w:pPr>
            <w:r>
              <w:rPr>
                <w:b/>
                <w:noProof/>
                <w:sz w:val="20"/>
              </w:rPr>
              <w:t>Naslov 1. Jedinstveno tržište, inovacije i digitalno gospodarstvo</w:t>
            </w:r>
          </w:p>
        </w:tc>
        <w:tc>
          <w:tcPr>
            <w:tcW w:w="1080" w:type="dxa"/>
            <w:vAlign w:val="center"/>
          </w:tcPr>
          <w:p>
            <w:pPr>
              <w:jc w:val="center"/>
              <w:rPr>
                <w:noProof/>
                <w:sz w:val="18"/>
              </w:rPr>
            </w:pPr>
            <w:r>
              <w:rPr>
                <w:noProof/>
                <w:sz w:val="18"/>
                <w:szCs w:val="18"/>
              </w:rPr>
              <w:t>Dif./nedif.</w:t>
            </w:r>
            <w:r>
              <w:rPr>
                <w:rStyle w:val="FootnoteReference"/>
                <w:noProof/>
              </w:rPr>
              <w:footnoteReference w:id="6"/>
            </w:r>
          </w:p>
        </w:tc>
        <w:tc>
          <w:tcPr>
            <w:tcW w:w="1044" w:type="dxa"/>
            <w:vAlign w:val="center"/>
          </w:tcPr>
          <w:p>
            <w:pPr>
              <w:jc w:val="center"/>
              <w:rPr>
                <w:noProof/>
              </w:rPr>
            </w:pPr>
            <w:r>
              <w:rPr>
                <w:noProof/>
                <w:sz w:val="18"/>
                <w:szCs w:val="18"/>
              </w:rPr>
              <w:t>zemalja EFTA-e</w:t>
            </w:r>
            <w:r>
              <w:rPr>
                <w:rStyle w:val="FootnoteReference"/>
                <w:noProof/>
              </w:rPr>
              <w:footnoteReference w:id="7"/>
            </w:r>
          </w:p>
          <w:p>
            <w:pPr>
              <w:jc w:val="center"/>
              <w:rPr>
                <w:noProof/>
                <w:sz w:val="18"/>
              </w:rPr>
            </w:pPr>
          </w:p>
        </w:tc>
        <w:tc>
          <w:tcPr>
            <w:tcW w:w="1134" w:type="dxa"/>
            <w:vAlign w:val="center"/>
          </w:tcPr>
          <w:p>
            <w:pPr>
              <w:jc w:val="center"/>
              <w:rPr>
                <w:noProof/>
              </w:rPr>
            </w:pPr>
            <w:r>
              <w:rPr>
                <w:noProof/>
                <w:sz w:val="18"/>
                <w:szCs w:val="18"/>
              </w:rPr>
              <w:t>zemalja kandidatkinja</w:t>
            </w:r>
            <w:r>
              <w:rPr>
                <w:rStyle w:val="FootnoteReference"/>
                <w:noProof/>
              </w:rPr>
              <w:footnoteReference w:id="8"/>
            </w:r>
          </w:p>
          <w:p>
            <w:pPr>
              <w:jc w:val="center"/>
              <w:rPr>
                <w:noProof/>
                <w:sz w:val="18"/>
              </w:rPr>
            </w:pPr>
          </w:p>
        </w:tc>
        <w:tc>
          <w:tcPr>
            <w:tcW w:w="814" w:type="dxa"/>
            <w:vAlign w:val="center"/>
          </w:tcPr>
          <w:p>
            <w:pPr>
              <w:jc w:val="center"/>
              <w:rPr>
                <w:noProof/>
                <w:sz w:val="18"/>
              </w:rPr>
            </w:pPr>
            <w:r>
              <w:rPr>
                <w:noProof/>
                <w:sz w:val="18"/>
              </w:rPr>
              <w:t>trećih zemalja</w:t>
            </w:r>
          </w:p>
        </w:tc>
        <w:tc>
          <w:tcPr>
            <w:tcW w:w="1448" w:type="dxa"/>
            <w:vAlign w:val="center"/>
          </w:tcPr>
          <w:p>
            <w:pPr>
              <w:jc w:val="center"/>
              <w:rPr>
                <w:noProof/>
                <w:sz w:val="16"/>
              </w:rPr>
            </w:pPr>
            <w:r>
              <w:rPr>
                <w:noProof/>
                <w:sz w:val="16"/>
              </w:rPr>
              <w:t xml:space="preserve">u smislu članka [21. stavka 2. točke (b)] Financijske uredbe </w:t>
            </w:r>
          </w:p>
        </w:tc>
      </w:tr>
      <w:tr>
        <w:tc>
          <w:tcPr>
            <w:tcW w:w="1080" w:type="dxa"/>
            <w:vAlign w:val="center"/>
          </w:tcPr>
          <w:p>
            <w:pPr>
              <w:jc w:val="center"/>
              <w:rPr>
                <w:noProof/>
                <w:color w:val="0000FF"/>
              </w:rPr>
            </w:pPr>
            <w:r>
              <w:rPr>
                <w:noProof/>
                <w:color w:val="0000FF"/>
              </w:rPr>
              <w:t>1.</w:t>
            </w:r>
          </w:p>
        </w:tc>
        <w:tc>
          <w:tcPr>
            <w:tcW w:w="3960" w:type="dxa"/>
            <w:vAlign w:val="center"/>
          </w:tcPr>
          <w:p>
            <w:pPr>
              <w:spacing w:before="60"/>
              <w:rPr>
                <w:noProof/>
                <w:color w:val="0000FF"/>
                <w:sz w:val="22"/>
              </w:rPr>
            </w:pPr>
            <w:r>
              <w:rPr>
                <w:noProof/>
                <w:color w:val="0000FF"/>
                <w:sz w:val="22"/>
              </w:rPr>
              <w:t>01 01 01 01, 01 01 01 02, 01 01 01 03, 01 01 01 61, 01 01 01 62, 01 01 01 62, 01 01 01 63, 01 01 01 64 Rashodi za potporu za „Obzor Europa“, uključujući doprinose izvršnim agencijama koje provode program</w:t>
            </w:r>
          </w:p>
          <w:p>
            <w:pPr>
              <w:rPr>
                <w:noProof/>
                <w:sz w:val="20"/>
              </w:rPr>
            </w:pPr>
          </w:p>
        </w:tc>
        <w:tc>
          <w:tcPr>
            <w:tcW w:w="1080" w:type="dxa"/>
            <w:vAlign w:val="center"/>
          </w:tcPr>
          <w:p>
            <w:pPr>
              <w:jc w:val="center"/>
              <w:rPr>
                <w:noProof/>
                <w:sz w:val="22"/>
              </w:rPr>
            </w:pPr>
            <w:r>
              <w:rPr>
                <w:noProof/>
                <w:sz w:val="22"/>
              </w:rPr>
              <w:t>Nedif.</w:t>
            </w:r>
          </w:p>
        </w:tc>
        <w:tc>
          <w:tcPr>
            <w:tcW w:w="1044" w:type="dxa"/>
            <w:vAlign w:val="center"/>
          </w:tcPr>
          <w:p>
            <w:pPr>
              <w:jc w:val="center"/>
              <w:rPr>
                <w:noProof/>
                <w:sz w:val="18"/>
              </w:rPr>
            </w:pPr>
            <w:r>
              <w:rPr>
                <w:noProof/>
                <w:sz w:val="22"/>
              </w:rPr>
              <w:t>DA</w:t>
            </w:r>
          </w:p>
        </w:tc>
        <w:tc>
          <w:tcPr>
            <w:tcW w:w="1134" w:type="dxa"/>
            <w:vAlign w:val="center"/>
          </w:tcPr>
          <w:p>
            <w:pPr>
              <w:jc w:val="center"/>
              <w:rPr>
                <w:noProof/>
                <w:sz w:val="18"/>
              </w:rPr>
            </w:pPr>
            <w:r>
              <w:rPr>
                <w:noProof/>
                <w:sz w:val="22"/>
              </w:rPr>
              <w:t>DA</w:t>
            </w:r>
          </w:p>
        </w:tc>
        <w:tc>
          <w:tcPr>
            <w:tcW w:w="814" w:type="dxa"/>
            <w:vAlign w:val="center"/>
          </w:tcPr>
          <w:p>
            <w:pPr>
              <w:jc w:val="center"/>
              <w:rPr>
                <w:noProof/>
                <w:sz w:val="18"/>
              </w:rPr>
            </w:pPr>
            <w:r>
              <w:rPr>
                <w:noProof/>
                <w:sz w:val="22"/>
              </w:rPr>
              <w:t>DA</w:t>
            </w:r>
          </w:p>
        </w:tc>
        <w:tc>
          <w:tcPr>
            <w:tcW w:w="1448" w:type="dxa"/>
            <w:vAlign w:val="center"/>
          </w:tcPr>
          <w:p>
            <w:pPr>
              <w:jc w:val="center"/>
              <w:rPr>
                <w:noProof/>
                <w:sz w:val="16"/>
              </w:rPr>
            </w:pPr>
            <w:r>
              <w:rPr>
                <w:noProof/>
                <w:sz w:val="22"/>
              </w:rPr>
              <w:t>NE</w:t>
            </w:r>
          </w:p>
        </w:tc>
      </w:tr>
      <w:tr>
        <w:tc>
          <w:tcPr>
            <w:tcW w:w="1080" w:type="dxa"/>
            <w:vAlign w:val="center"/>
          </w:tcPr>
          <w:p>
            <w:pPr>
              <w:jc w:val="center"/>
              <w:rPr>
                <w:noProof/>
                <w:color w:val="0000FF"/>
              </w:rPr>
            </w:pPr>
            <w:r>
              <w:rPr>
                <w:noProof/>
                <w:color w:val="0000FF"/>
              </w:rPr>
              <w:t>1.</w:t>
            </w:r>
          </w:p>
        </w:tc>
        <w:tc>
          <w:tcPr>
            <w:tcW w:w="3960" w:type="dxa"/>
            <w:vAlign w:val="center"/>
          </w:tcPr>
          <w:p>
            <w:pPr>
              <w:spacing w:before="60"/>
              <w:rPr>
                <w:noProof/>
                <w:color w:val="0000FF"/>
                <w:sz w:val="22"/>
              </w:rPr>
            </w:pPr>
            <w:r>
              <w:rPr>
                <w:noProof/>
                <w:color w:val="0000FF"/>
                <w:sz w:val="22"/>
              </w:rPr>
              <w:t>01 02 02 10 klaster „Zdravlje”</w:t>
            </w:r>
          </w:p>
        </w:tc>
        <w:tc>
          <w:tcPr>
            <w:tcW w:w="1080" w:type="dxa"/>
            <w:vAlign w:val="center"/>
          </w:tcPr>
          <w:p>
            <w:pPr>
              <w:jc w:val="center"/>
              <w:rPr>
                <w:noProof/>
                <w:sz w:val="18"/>
              </w:rPr>
            </w:pPr>
            <w:r>
              <w:rPr>
                <w:noProof/>
                <w:sz w:val="22"/>
              </w:rPr>
              <w:t>Dif.</w:t>
            </w:r>
          </w:p>
        </w:tc>
        <w:tc>
          <w:tcPr>
            <w:tcW w:w="1044" w:type="dxa"/>
            <w:vAlign w:val="center"/>
          </w:tcPr>
          <w:p>
            <w:pPr>
              <w:jc w:val="center"/>
              <w:rPr>
                <w:noProof/>
                <w:sz w:val="18"/>
              </w:rPr>
            </w:pPr>
            <w:r>
              <w:rPr>
                <w:noProof/>
                <w:sz w:val="22"/>
              </w:rPr>
              <w:t>DA</w:t>
            </w:r>
          </w:p>
        </w:tc>
        <w:tc>
          <w:tcPr>
            <w:tcW w:w="1134" w:type="dxa"/>
            <w:vAlign w:val="center"/>
          </w:tcPr>
          <w:p>
            <w:pPr>
              <w:jc w:val="center"/>
              <w:rPr>
                <w:noProof/>
                <w:sz w:val="18"/>
              </w:rPr>
            </w:pPr>
            <w:r>
              <w:rPr>
                <w:noProof/>
                <w:sz w:val="22"/>
              </w:rPr>
              <w:t>DA</w:t>
            </w:r>
          </w:p>
        </w:tc>
        <w:tc>
          <w:tcPr>
            <w:tcW w:w="814" w:type="dxa"/>
            <w:vAlign w:val="center"/>
          </w:tcPr>
          <w:p>
            <w:pPr>
              <w:jc w:val="center"/>
              <w:rPr>
                <w:noProof/>
                <w:sz w:val="18"/>
              </w:rPr>
            </w:pPr>
            <w:r>
              <w:rPr>
                <w:noProof/>
                <w:sz w:val="22"/>
              </w:rPr>
              <w:t>DA</w:t>
            </w:r>
          </w:p>
        </w:tc>
        <w:tc>
          <w:tcPr>
            <w:tcW w:w="1448" w:type="dxa"/>
            <w:vAlign w:val="center"/>
          </w:tcPr>
          <w:p>
            <w:pPr>
              <w:jc w:val="center"/>
              <w:rPr>
                <w:noProof/>
                <w:sz w:val="16"/>
              </w:rPr>
            </w:pPr>
            <w:r>
              <w:rPr>
                <w:noProof/>
                <w:sz w:val="22"/>
              </w:rPr>
              <w:t>NE</w:t>
            </w:r>
          </w:p>
        </w:tc>
      </w:tr>
      <w:tr>
        <w:tc>
          <w:tcPr>
            <w:tcW w:w="1080" w:type="dxa"/>
            <w:vAlign w:val="center"/>
          </w:tcPr>
          <w:p>
            <w:pPr>
              <w:jc w:val="center"/>
              <w:rPr>
                <w:noProof/>
                <w:color w:val="0000FF"/>
              </w:rPr>
            </w:pPr>
            <w:r>
              <w:rPr>
                <w:noProof/>
                <w:color w:val="0000FF"/>
              </w:rPr>
              <w:t>1.</w:t>
            </w:r>
          </w:p>
        </w:tc>
        <w:tc>
          <w:tcPr>
            <w:tcW w:w="3960" w:type="dxa"/>
            <w:vAlign w:val="center"/>
          </w:tcPr>
          <w:p>
            <w:pPr>
              <w:spacing w:before="60"/>
              <w:rPr>
                <w:noProof/>
                <w:color w:val="0000FF"/>
                <w:sz w:val="22"/>
              </w:rPr>
            </w:pPr>
            <w:r>
              <w:rPr>
                <w:noProof/>
                <w:color w:val="0000FF"/>
                <w:sz w:val="22"/>
              </w:rPr>
              <w:t xml:space="preserve">01 02 02 40 klaster „Digitalizacija, </w:t>
            </w:r>
            <w:r>
              <w:rPr>
                <w:noProof/>
                <w:color w:val="0000FF"/>
                <w:sz w:val="22"/>
              </w:rPr>
              <w:lastRenderedPageBreak/>
              <w:t>industrija i svemir”</w:t>
            </w:r>
          </w:p>
        </w:tc>
        <w:tc>
          <w:tcPr>
            <w:tcW w:w="1080" w:type="dxa"/>
            <w:vAlign w:val="center"/>
          </w:tcPr>
          <w:p>
            <w:pPr>
              <w:jc w:val="center"/>
              <w:rPr>
                <w:noProof/>
                <w:sz w:val="18"/>
              </w:rPr>
            </w:pPr>
            <w:r>
              <w:rPr>
                <w:noProof/>
                <w:sz w:val="22"/>
              </w:rPr>
              <w:lastRenderedPageBreak/>
              <w:t>Dif.</w:t>
            </w:r>
          </w:p>
        </w:tc>
        <w:tc>
          <w:tcPr>
            <w:tcW w:w="1044" w:type="dxa"/>
            <w:vAlign w:val="center"/>
          </w:tcPr>
          <w:p>
            <w:pPr>
              <w:jc w:val="center"/>
              <w:rPr>
                <w:noProof/>
                <w:sz w:val="18"/>
              </w:rPr>
            </w:pPr>
            <w:r>
              <w:rPr>
                <w:noProof/>
                <w:sz w:val="22"/>
              </w:rPr>
              <w:t>DA</w:t>
            </w:r>
          </w:p>
        </w:tc>
        <w:tc>
          <w:tcPr>
            <w:tcW w:w="1134" w:type="dxa"/>
            <w:vAlign w:val="center"/>
          </w:tcPr>
          <w:p>
            <w:pPr>
              <w:jc w:val="center"/>
              <w:rPr>
                <w:noProof/>
                <w:sz w:val="18"/>
              </w:rPr>
            </w:pPr>
            <w:r>
              <w:rPr>
                <w:noProof/>
                <w:sz w:val="22"/>
              </w:rPr>
              <w:t>DA</w:t>
            </w:r>
          </w:p>
        </w:tc>
        <w:tc>
          <w:tcPr>
            <w:tcW w:w="814" w:type="dxa"/>
            <w:vAlign w:val="center"/>
          </w:tcPr>
          <w:p>
            <w:pPr>
              <w:jc w:val="center"/>
              <w:rPr>
                <w:noProof/>
                <w:sz w:val="18"/>
              </w:rPr>
            </w:pPr>
            <w:r>
              <w:rPr>
                <w:noProof/>
                <w:sz w:val="22"/>
              </w:rPr>
              <w:t>DA</w:t>
            </w:r>
          </w:p>
        </w:tc>
        <w:tc>
          <w:tcPr>
            <w:tcW w:w="1448" w:type="dxa"/>
            <w:vAlign w:val="center"/>
          </w:tcPr>
          <w:p>
            <w:pPr>
              <w:jc w:val="center"/>
              <w:rPr>
                <w:noProof/>
                <w:sz w:val="16"/>
              </w:rPr>
            </w:pPr>
            <w:r>
              <w:rPr>
                <w:noProof/>
                <w:sz w:val="22"/>
              </w:rPr>
              <w:t>NE</w:t>
            </w:r>
          </w:p>
        </w:tc>
      </w:tr>
      <w:tr>
        <w:tc>
          <w:tcPr>
            <w:tcW w:w="1080" w:type="dxa"/>
            <w:vAlign w:val="center"/>
          </w:tcPr>
          <w:p>
            <w:pPr>
              <w:jc w:val="center"/>
              <w:rPr>
                <w:noProof/>
                <w:color w:val="0000FF"/>
              </w:rPr>
            </w:pPr>
            <w:r>
              <w:rPr>
                <w:noProof/>
                <w:color w:val="0000FF"/>
              </w:rPr>
              <w:lastRenderedPageBreak/>
              <w:t>1.</w:t>
            </w:r>
          </w:p>
        </w:tc>
        <w:tc>
          <w:tcPr>
            <w:tcW w:w="3960" w:type="dxa"/>
            <w:vAlign w:val="center"/>
          </w:tcPr>
          <w:p>
            <w:pPr>
              <w:spacing w:before="60"/>
              <w:rPr>
                <w:noProof/>
                <w:color w:val="0000FF"/>
                <w:sz w:val="22"/>
              </w:rPr>
            </w:pPr>
            <w:r>
              <w:rPr>
                <w:noProof/>
                <w:color w:val="0000FF"/>
                <w:sz w:val="22"/>
              </w:rPr>
              <w:t>01 02 02 50 klaster „Klima, energija i mobilnost”</w:t>
            </w:r>
          </w:p>
        </w:tc>
        <w:tc>
          <w:tcPr>
            <w:tcW w:w="1080" w:type="dxa"/>
            <w:vAlign w:val="center"/>
          </w:tcPr>
          <w:p>
            <w:pPr>
              <w:jc w:val="center"/>
              <w:rPr>
                <w:noProof/>
                <w:sz w:val="18"/>
              </w:rPr>
            </w:pPr>
            <w:r>
              <w:rPr>
                <w:noProof/>
                <w:sz w:val="22"/>
              </w:rPr>
              <w:t>Dif.</w:t>
            </w:r>
          </w:p>
        </w:tc>
        <w:tc>
          <w:tcPr>
            <w:tcW w:w="1044" w:type="dxa"/>
            <w:vAlign w:val="center"/>
          </w:tcPr>
          <w:p>
            <w:pPr>
              <w:jc w:val="center"/>
              <w:rPr>
                <w:noProof/>
                <w:sz w:val="18"/>
              </w:rPr>
            </w:pPr>
            <w:r>
              <w:rPr>
                <w:noProof/>
                <w:sz w:val="22"/>
              </w:rPr>
              <w:t>DA</w:t>
            </w:r>
          </w:p>
        </w:tc>
        <w:tc>
          <w:tcPr>
            <w:tcW w:w="1134" w:type="dxa"/>
            <w:vAlign w:val="center"/>
          </w:tcPr>
          <w:p>
            <w:pPr>
              <w:jc w:val="center"/>
              <w:rPr>
                <w:noProof/>
                <w:sz w:val="18"/>
              </w:rPr>
            </w:pPr>
            <w:r>
              <w:rPr>
                <w:noProof/>
                <w:sz w:val="22"/>
              </w:rPr>
              <w:t>DA</w:t>
            </w:r>
          </w:p>
        </w:tc>
        <w:tc>
          <w:tcPr>
            <w:tcW w:w="814" w:type="dxa"/>
            <w:vAlign w:val="center"/>
          </w:tcPr>
          <w:p>
            <w:pPr>
              <w:jc w:val="center"/>
              <w:rPr>
                <w:noProof/>
                <w:sz w:val="18"/>
              </w:rPr>
            </w:pPr>
            <w:r>
              <w:rPr>
                <w:noProof/>
                <w:sz w:val="22"/>
              </w:rPr>
              <w:t>DA</w:t>
            </w:r>
          </w:p>
        </w:tc>
        <w:tc>
          <w:tcPr>
            <w:tcW w:w="1448" w:type="dxa"/>
            <w:vAlign w:val="center"/>
          </w:tcPr>
          <w:p>
            <w:pPr>
              <w:jc w:val="center"/>
              <w:rPr>
                <w:noProof/>
                <w:sz w:val="16"/>
              </w:rPr>
            </w:pPr>
            <w:r>
              <w:rPr>
                <w:noProof/>
                <w:sz w:val="22"/>
              </w:rPr>
              <w:t>NE</w:t>
            </w:r>
          </w:p>
        </w:tc>
      </w:tr>
      <w:tr>
        <w:tc>
          <w:tcPr>
            <w:tcW w:w="1080" w:type="dxa"/>
            <w:vAlign w:val="center"/>
          </w:tcPr>
          <w:p>
            <w:pPr>
              <w:jc w:val="center"/>
              <w:rPr>
                <w:noProof/>
                <w:color w:val="0000FF"/>
              </w:rPr>
            </w:pPr>
            <w:r>
              <w:rPr>
                <w:noProof/>
                <w:color w:val="0000FF"/>
              </w:rPr>
              <w:t>1.</w:t>
            </w:r>
          </w:p>
        </w:tc>
        <w:tc>
          <w:tcPr>
            <w:tcW w:w="3960" w:type="dxa"/>
            <w:vAlign w:val="center"/>
          </w:tcPr>
          <w:p>
            <w:pPr>
              <w:spacing w:before="60"/>
              <w:rPr>
                <w:noProof/>
                <w:color w:val="0000FF"/>
                <w:sz w:val="22"/>
              </w:rPr>
            </w:pPr>
            <w:r>
              <w:rPr>
                <w:noProof/>
                <w:color w:val="0000FF"/>
                <w:sz w:val="22"/>
              </w:rPr>
              <w:t>01 02 03 01 Europsko vijeće za inovacije</w:t>
            </w:r>
          </w:p>
        </w:tc>
        <w:tc>
          <w:tcPr>
            <w:tcW w:w="1080" w:type="dxa"/>
            <w:vAlign w:val="center"/>
          </w:tcPr>
          <w:p>
            <w:pPr>
              <w:jc w:val="center"/>
              <w:rPr>
                <w:noProof/>
                <w:sz w:val="18"/>
              </w:rPr>
            </w:pPr>
            <w:r>
              <w:rPr>
                <w:noProof/>
                <w:sz w:val="22"/>
              </w:rPr>
              <w:t>Dif.</w:t>
            </w:r>
          </w:p>
        </w:tc>
        <w:tc>
          <w:tcPr>
            <w:tcW w:w="1044" w:type="dxa"/>
            <w:vAlign w:val="center"/>
          </w:tcPr>
          <w:p>
            <w:pPr>
              <w:jc w:val="center"/>
              <w:rPr>
                <w:noProof/>
                <w:sz w:val="18"/>
              </w:rPr>
            </w:pPr>
            <w:r>
              <w:rPr>
                <w:noProof/>
                <w:sz w:val="22"/>
              </w:rPr>
              <w:t>DA</w:t>
            </w:r>
          </w:p>
        </w:tc>
        <w:tc>
          <w:tcPr>
            <w:tcW w:w="1134" w:type="dxa"/>
            <w:vAlign w:val="center"/>
          </w:tcPr>
          <w:p>
            <w:pPr>
              <w:jc w:val="center"/>
              <w:rPr>
                <w:noProof/>
                <w:sz w:val="18"/>
              </w:rPr>
            </w:pPr>
            <w:r>
              <w:rPr>
                <w:noProof/>
                <w:sz w:val="22"/>
              </w:rPr>
              <w:t>DA</w:t>
            </w:r>
          </w:p>
        </w:tc>
        <w:tc>
          <w:tcPr>
            <w:tcW w:w="814" w:type="dxa"/>
            <w:vAlign w:val="center"/>
          </w:tcPr>
          <w:p>
            <w:pPr>
              <w:jc w:val="center"/>
              <w:rPr>
                <w:noProof/>
                <w:sz w:val="18"/>
              </w:rPr>
            </w:pPr>
            <w:r>
              <w:rPr>
                <w:noProof/>
                <w:sz w:val="22"/>
              </w:rPr>
              <w:t>DA</w:t>
            </w:r>
          </w:p>
        </w:tc>
        <w:tc>
          <w:tcPr>
            <w:tcW w:w="1448" w:type="dxa"/>
            <w:vAlign w:val="center"/>
          </w:tcPr>
          <w:p>
            <w:pPr>
              <w:jc w:val="center"/>
              <w:rPr>
                <w:noProof/>
                <w:sz w:val="16"/>
              </w:rPr>
            </w:pPr>
            <w:r>
              <w:rPr>
                <w:noProof/>
                <w:sz w:val="22"/>
              </w:rPr>
              <w:t>NE</w:t>
            </w:r>
          </w:p>
        </w:tc>
      </w:tr>
      <w:tr>
        <w:tc>
          <w:tcPr>
            <w:tcW w:w="1080" w:type="dxa"/>
            <w:vAlign w:val="center"/>
          </w:tcPr>
          <w:p>
            <w:pPr>
              <w:jc w:val="center"/>
              <w:rPr>
                <w:noProof/>
              </w:rPr>
            </w:pPr>
          </w:p>
        </w:tc>
        <w:tc>
          <w:tcPr>
            <w:tcW w:w="3960" w:type="dxa"/>
            <w:vAlign w:val="center"/>
          </w:tcPr>
          <w:p>
            <w:pPr>
              <w:rPr>
                <w:b/>
                <w:noProof/>
                <w:sz w:val="20"/>
                <w:szCs w:val="20"/>
              </w:rPr>
            </w:pPr>
            <w:r>
              <w:rPr>
                <w:b/>
                <w:noProof/>
                <w:sz w:val="20"/>
                <w:szCs w:val="20"/>
              </w:rPr>
              <w:t>Naslov 3. Prirodni resursi i okoliš</w:t>
            </w:r>
          </w:p>
        </w:tc>
        <w:tc>
          <w:tcPr>
            <w:tcW w:w="1080" w:type="dxa"/>
            <w:vAlign w:val="center"/>
          </w:tcPr>
          <w:p>
            <w:pPr>
              <w:jc w:val="center"/>
              <w:rPr>
                <w:noProof/>
                <w:sz w:val="18"/>
                <w:szCs w:val="18"/>
              </w:rPr>
            </w:pPr>
            <w:r>
              <w:rPr>
                <w:noProof/>
                <w:sz w:val="18"/>
                <w:szCs w:val="18"/>
              </w:rPr>
              <w:t>Dif./nedif.</w:t>
            </w:r>
            <w:r>
              <w:rPr>
                <w:rStyle w:val="FootnoteReference"/>
                <w:noProof/>
              </w:rPr>
              <w:footnoteReference w:id="9"/>
            </w:r>
          </w:p>
        </w:tc>
        <w:tc>
          <w:tcPr>
            <w:tcW w:w="1044" w:type="dxa"/>
            <w:vAlign w:val="center"/>
          </w:tcPr>
          <w:p>
            <w:pPr>
              <w:jc w:val="center"/>
              <w:rPr>
                <w:noProof/>
              </w:rPr>
            </w:pPr>
            <w:r>
              <w:rPr>
                <w:noProof/>
                <w:sz w:val="18"/>
                <w:szCs w:val="18"/>
              </w:rPr>
              <w:t>zemalja EFTA-e</w:t>
            </w:r>
            <w:r>
              <w:rPr>
                <w:rStyle w:val="FootnoteReference"/>
                <w:noProof/>
              </w:rPr>
              <w:footnoteReference w:id="10"/>
            </w:r>
          </w:p>
          <w:p>
            <w:pPr>
              <w:jc w:val="center"/>
              <w:rPr>
                <w:noProof/>
                <w:sz w:val="18"/>
                <w:szCs w:val="18"/>
              </w:rPr>
            </w:pPr>
          </w:p>
        </w:tc>
        <w:tc>
          <w:tcPr>
            <w:tcW w:w="1134" w:type="dxa"/>
            <w:vAlign w:val="center"/>
          </w:tcPr>
          <w:p>
            <w:pPr>
              <w:jc w:val="center"/>
              <w:rPr>
                <w:noProof/>
              </w:rPr>
            </w:pPr>
            <w:r>
              <w:rPr>
                <w:noProof/>
                <w:sz w:val="18"/>
                <w:szCs w:val="18"/>
              </w:rPr>
              <w:t>zemalja kandidatkinja</w:t>
            </w:r>
            <w:r>
              <w:rPr>
                <w:rStyle w:val="FootnoteReference"/>
                <w:noProof/>
              </w:rPr>
              <w:footnoteReference w:id="11"/>
            </w:r>
          </w:p>
          <w:p>
            <w:pPr>
              <w:jc w:val="center"/>
              <w:rPr>
                <w:noProof/>
                <w:sz w:val="18"/>
                <w:szCs w:val="18"/>
              </w:rPr>
            </w:pPr>
          </w:p>
        </w:tc>
        <w:tc>
          <w:tcPr>
            <w:tcW w:w="814" w:type="dxa"/>
            <w:vAlign w:val="center"/>
          </w:tcPr>
          <w:p>
            <w:pPr>
              <w:jc w:val="center"/>
              <w:rPr>
                <w:noProof/>
                <w:sz w:val="18"/>
                <w:szCs w:val="18"/>
              </w:rPr>
            </w:pPr>
            <w:r>
              <w:rPr>
                <w:noProof/>
                <w:sz w:val="18"/>
                <w:szCs w:val="18"/>
              </w:rPr>
              <w:t>trećih zemalja</w:t>
            </w:r>
          </w:p>
        </w:tc>
        <w:tc>
          <w:tcPr>
            <w:tcW w:w="1448" w:type="dxa"/>
            <w:vAlign w:val="center"/>
          </w:tcPr>
          <w:p>
            <w:pPr>
              <w:jc w:val="center"/>
              <w:rPr>
                <w:noProof/>
                <w:sz w:val="16"/>
                <w:szCs w:val="16"/>
              </w:rPr>
            </w:pPr>
            <w:r>
              <w:rPr>
                <w:noProof/>
                <w:sz w:val="16"/>
                <w:szCs w:val="16"/>
              </w:rPr>
              <w:t xml:space="preserve">u smislu članka [21. stavka 2. točke (b)] Financijske uredbe </w:t>
            </w:r>
          </w:p>
        </w:tc>
      </w:tr>
      <w:tr>
        <w:tc>
          <w:tcPr>
            <w:tcW w:w="1080" w:type="dxa"/>
            <w:vAlign w:val="center"/>
          </w:tcPr>
          <w:p>
            <w:pPr>
              <w:jc w:val="center"/>
              <w:rPr>
                <w:noProof/>
              </w:rPr>
            </w:pPr>
            <w:r>
              <w:rPr>
                <w:noProof/>
              </w:rPr>
              <w:t>3.</w:t>
            </w:r>
          </w:p>
        </w:tc>
        <w:tc>
          <w:tcPr>
            <w:tcW w:w="3960" w:type="dxa"/>
            <w:vAlign w:val="center"/>
          </w:tcPr>
          <w:p>
            <w:pPr>
              <w:rPr>
                <w:b/>
                <w:noProof/>
                <w:sz w:val="20"/>
                <w:szCs w:val="20"/>
              </w:rPr>
            </w:pPr>
            <w:r>
              <w:rPr>
                <w:b/>
                <w:noProof/>
                <w:sz w:val="20"/>
                <w:szCs w:val="20"/>
              </w:rPr>
              <w:t>08 01 02 Rashodi za potporu za Europski poljoprivredni fond za ruralni razvoj (EPFRR)</w:t>
            </w:r>
          </w:p>
        </w:tc>
        <w:tc>
          <w:tcPr>
            <w:tcW w:w="1080" w:type="dxa"/>
            <w:vAlign w:val="center"/>
          </w:tcPr>
          <w:p>
            <w:pPr>
              <w:jc w:val="center"/>
              <w:rPr>
                <w:noProof/>
                <w:sz w:val="18"/>
                <w:szCs w:val="18"/>
              </w:rPr>
            </w:pPr>
            <w:r>
              <w:rPr>
                <w:noProof/>
                <w:sz w:val="22"/>
              </w:rPr>
              <w:t>Nedif.</w:t>
            </w:r>
          </w:p>
        </w:tc>
        <w:tc>
          <w:tcPr>
            <w:tcW w:w="1044" w:type="dxa"/>
            <w:vAlign w:val="center"/>
          </w:tcPr>
          <w:p>
            <w:pPr>
              <w:jc w:val="center"/>
              <w:rPr>
                <w:noProof/>
                <w:sz w:val="18"/>
                <w:szCs w:val="18"/>
              </w:rPr>
            </w:pPr>
            <w:r>
              <w:rPr>
                <w:noProof/>
                <w:sz w:val="22"/>
              </w:rPr>
              <w:t>NE</w:t>
            </w:r>
          </w:p>
        </w:tc>
        <w:tc>
          <w:tcPr>
            <w:tcW w:w="1134" w:type="dxa"/>
            <w:vAlign w:val="center"/>
          </w:tcPr>
          <w:p>
            <w:pPr>
              <w:jc w:val="center"/>
              <w:rPr>
                <w:noProof/>
                <w:sz w:val="18"/>
                <w:szCs w:val="18"/>
              </w:rPr>
            </w:pPr>
            <w:r>
              <w:rPr>
                <w:noProof/>
                <w:sz w:val="22"/>
              </w:rPr>
              <w:t>NE</w:t>
            </w:r>
          </w:p>
        </w:tc>
        <w:tc>
          <w:tcPr>
            <w:tcW w:w="814" w:type="dxa"/>
            <w:vAlign w:val="center"/>
          </w:tcPr>
          <w:p>
            <w:pPr>
              <w:jc w:val="center"/>
              <w:rPr>
                <w:noProof/>
                <w:sz w:val="18"/>
                <w:szCs w:val="18"/>
              </w:rPr>
            </w:pPr>
            <w:r>
              <w:rPr>
                <w:noProof/>
                <w:sz w:val="22"/>
              </w:rPr>
              <w:t>NE</w:t>
            </w:r>
          </w:p>
        </w:tc>
        <w:tc>
          <w:tcPr>
            <w:tcW w:w="1448" w:type="dxa"/>
            <w:vAlign w:val="center"/>
          </w:tcPr>
          <w:p>
            <w:pPr>
              <w:jc w:val="center"/>
              <w:rPr>
                <w:noProof/>
                <w:sz w:val="16"/>
                <w:szCs w:val="16"/>
              </w:rPr>
            </w:pPr>
            <w:r>
              <w:rPr>
                <w:noProof/>
                <w:sz w:val="22"/>
              </w:rPr>
              <w:t>NE</w:t>
            </w:r>
          </w:p>
        </w:tc>
      </w:tr>
      <w:tr>
        <w:tc>
          <w:tcPr>
            <w:tcW w:w="1080" w:type="dxa"/>
            <w:vAlign w:val="center"/>
          </w:tcPr>
          <w:p>
            <w:pPr>
              <w:jc w:val="center"/>
              <w:rPr>
                <w:noProof/>
              </w:rPr>
            </w:pPr>
            <w:r>
              <w:rPr>
                <w:noProof/>
              </w:rPr>
              <w:t>3.</w:t>
            </w:r>
          </w:p>
        </w:tc>
        <w:tc>
          <w:tcPr>
            <w:tcW w:w="3960" w:type="dxa"/>
            <w:vAlign w:val="center"/>
          </w:tcPr>
          <w:p>
            <w:pPr>
              <w:rPr>
                <w:b/>
                <w:noProof/>
                <w:sz w:val="20"/>
                <w:szCs w:val="20"/>
              </w:rPr>
            </w:pPr>
            <w:r>
              <w:rPr>
                <w:b/>
                <w:noProof/>
                <w:sz w:val="20"/>
                <w:szCs w:val="20"/>
              </w:rPr>
              <w:t xml:space="preserve">08 03 01 03 Vrste intervencija za ruralni razvoj u sklopu strateških planova u okviru ZPP-a koji se financiraju iz Instrumenta Europske unije za oporavak (EURI)  </w:t>
            </w:r>
          </w:p>
        </w:tc>
        <w:tc>
          <w:tcPr>
            <w:tcW w:w="1080" w:type="dxa"/>
            <w:vAlign w:val="center"/>
          </w:tcPr>
          <w:p>
            <w:pPr>
              <w:jc w:val="center"/>
              <w:rPr>
                <w:noProof/>
                <w:sz w:val="18"/>
                <w:szCs w:val="18"/>
              </w:rPr>
            </w:pPr>
            <w:r>
              <w:rPr>
                <w:noProof/>
                <w:sz w:val="22"/>
              </w:rPr>
              <w:t>Dif.</w:t>
            </w:r>
          </w:p>
        </w:tc>
        <w:tc>
          <w:tcPr>
            <w:tcW w:w="1044" w:type="dxa"/>
            <w:vAlign w:val="center"/>
          </w:tcPr>
          <w:p>
            <w:pPr>
              <w:jc w:val="center"/>
              <w:rPr>
                <w:noProof/>
                <w:sz w:val="18"/>
                <w:szCs w:val="18"/>
              </w:rPr>
            </w:pPr>
            <w:r>
              <w:rPr>
                <w:noProof/>
                <w:sz w:val="22"/>
              </w:rPr>
              <w:t>NE</w:t>
            </w:r>
          </w:p>
        </w:tc>
        <w:tc>
          <w:tcPr>
            <w:tcW w:w="1134" w:type="dxa"/>
            <w:vAlign w:val="center"/>
          </w:tcPr>
          <w:p>
            <w:pPr>
              <w:jc w:val="center"/>
              <w:rPr>
                <w:noProof/>
                <w:sz w:val="18"/>
                <w:szCs w:val="18"/>
              </w:rPr>
            </w:pPr>
            <w:r>
              <w:rPr>
                <w:noProof/>
                <w:sz w:val="22"/>
              </w:rPr>
              <w:t>NE</w:t>
            </w:r>
          </w:p>
        </w:tc>
        <w:tc>
          <w:tcPr>
            <w:tcW w:w="814" w:type="dxa"/>
            <w:vAlign w:val="center"/>
          </w:tcPr>
          <w:p>
            <w:pPr>
              <w:jc w:val="center"/>
              <w:rPr>
                <w:noProof/>
                <w:sz w:val="18"/>
                <w:szCs w:val="18"/>
              </w:rPr>
            </w:pPr>
            <w:r>
              <w:rPr>
                <w:noProof/>
                <w:sz w:val="22"/>
              </w:rPr>
              <w:t>NE</w:t>
            </w:r>
          </w:p>
        </w:tc>
        <w:tc>
          <w:tcPr>
            <w:tcW w:w="1448" w:type="dxa"/>
            <w:vAlign w:val="center"/>
          </w:tcPr>
          <w:p>
            <w:pPr>
              <w:jc w:val="center"/>
              <w:rPr>
                <w:noProof/>
                <w:sz w:val="16"/>
                <w:szCs w:val="16"/>
              </w:rPr>
            </w:pPr>
            <w:r>
              <w:rPr>
                <w:noProof/>
                <w:sz w:val="22"/>
              </w:rPr>
              <w:t>NE</w:t>
            </w:r>
          </w:p>
        </w:tc>
      </w:tr>
      <w:tr>
        <w:tc>
          <w:tcPr>
            <w:tcW w:w="1080" w:type="dxa"/>
            <w:vAlign w:val="center"/>
          </w:tcPr>
          <w:p>
            <w:pPr>
              <w:jc w:val="center"/>
              <w:rPr>
                <w:noProof/>
              </w:rPr>
            </w:pPr>
            <w:r>
              <w:rPr>
                <w:noProof/>
              </w:rPr>
              <w:t>3.</w:t>
            </w:r>
          </w:p>
        </w:tc>
        <w:tc>
          <w:tcPr>
            <w:tcW w:w="3960" w:type="dxa"/>
            <w:vAlign w:val="center"/>
          </w:tcPr>
          <w:p>
            <w:pPr>
              <w:rPr>
                <w:b/>
                <w:noProof/>
                <w:sz w:val="20"/>
                <w:szCs w:val="20"/>
              </w:rPr>
            </w:pPr>
            <w:r>
              <w:rPr>
                <w:b/>
                <w:noProof/>
                <w:sz w:val="20"/>
                <w:szCs w:val="20"/>
              </w:rPr>
              <w:t>08 03 02 EPFRR – Operativna tehnička pomoć</w:t>
            </w: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rPr>
            </w:pPr>
          </w:p>
        </w:tc>
        <w:tc>
          <w:tcPr>
            <w:tcW w:w="3960" w:type="dxa"/>
            <w:vAlign w:val="center"/>
          </w:tcPr>
          <w:p>
            <w:pPr>
              <w:rPr>
                <w:b/>
                <w:noProof/>
              </w:rPr>
            </w:pPr>
            <w:r>
              <w:rPr>
                <w:b/>
                <w:noProof/>
                <w:sz w:val="20"/>
              </w:rPr>
              <w:t>Naslov 6. Susjedstvo i svijet</w:t>
            </w:r>
          </w:p>
        </w:tc>
        <w:tc>
          <w:tcPr>
            <w:tcW w:w="1080" w:type="dxa"/>
            <w:vAlign w:val="center"/>
          </w:tcPr>
          <w:p>
            <w:pPr>
              <w:jc w:val="center"/>
              <w:rPr>
                <w:noProof/>
              </w:rPr>
            </w:pPr>
            <w:r>
              <w:rPr>
                <w:noProof/>
                <w:sz w:val="18"/>
                <w:szCs w:val="18"/>
              </w:rPr>
              <w:t>Dif./nedif.</w:t>
            </w:r>
            <w:r>
              <w:rPr>
                <w:rStyle w:val="FootnoteReference"/>
                <w:noProof/>
              </w:rPr>
              <w:footnoteReference w:id="12"/>
            </w:r>
          </w:p>
        </w:tc>
        <w:tc>
          <w:tcPr>
            <w:tcW w:w="1044" w:type="dxa"/>
            <w:vAlign w:val="center"/>
          </w:tcPr>
          <w:p>
            <w:pPr>
              <w:jc w:val="center"/>
              <w:rPr>
                <w:noProof/>
              </w:rPr>
            </w:pPr>
            <w:r>
              <w:rPr>
                <w:noProof/>
                <w:sz w:val="18"/>
                <w:szCs w:val="18"/>
              </w:rPr>
              <w:t>zemalja EFTA-e</w:t>
            </w:r>
            <w:r>
              <w:rPr>
                <w:rStyle w:val="FootnoteReference"/>
                <w:noProof/>
              </w:rPr>
              <w:footnoteReference w:id="13"/>
            </w:r>
          </w:p>
          <w:p>
            <w:pPr>
              <w:spacing w:before="0" w:after="0"/>
              <w:jc w:val="center"/>
              <w:rPr>
                <w:b/>
                <w:noProof/>
                <w:sz w:val="18"/>
              </w:rPr>
            </w:pPr>
          </w:p>
        </w:tc>
        <w:tc>
          <w:tcPr>
            <w:tcW w:w="1134" w:type="dxa"/>
            <w:vAlign w:val="center"/>
          </w:tcPr>
          <w:p>
            <w:pPr>
              <w:jc w:val="center"/>
              <w:rPr>
                <w:noProof/>
              </w:rPr>
            </w:pPr>
            <w:r>
              <w:rPr>
                <w:noProof/>
                <w:sz w:val="18"/>
                <w:szCs w:val="18"/>
              </w:rPr>
              <w:t>zemalja kandidatkinja</w:t>
            </w:r>
            <w:r>
              <w:rPr>
                <w:rStyle w:val="FootnoteReference"/>
                <w:noProof/>
              </w:rPr>
              <w:footnoteReference w:id="14"/>
            </w:r>
          </w:p>
          <w:p>
            <w:pPr>
              <w:spacing w:before="0" w:after="0"/>
              <w:jc w:val="center"/>
              <w:rPr>
                <w:noProof/>
                <w:sz w:val="18"/>
              </w:rPr>
            </w:pPr>
          </w:p>
        </w:tc>
        <w:tc>
          <w:tcPr>
            <w:tcW w:w="814"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color w:val="0000FF"/>
              </w:rPr>
            </w:pPr>
            <w:r>
              <w:rPr>
                <w:noProof/>
                <w:color w:val="0000FF"/>
              </w:rPr>
              <w:t>6.</w:t>
            </w:r>
          </w:p>
        </w:tc>
        <w:tc>
          <w:tcPr>
            <w:tcW w:w="3960" w:type="dxa"/>
            <w:vAlign w:val="center"/>
          </w:tcPr>
          <w:p>
            <w:pPr>
              <w:spacing w:before="60"/>
              <w:rPr>
                <w:noProof/>
                <w:color w:val="0000FF"/>
                <w:sz w:val="22"/>
              </w:rPr>
            </w:pPr>
            <w:r>
              <w:rPr>
                <w:noProof/>
                <w:color w:val="0000FF"/>
                <w:sz w:val="22"/>
              </w:rPr>
              <w:t>15 01 01 Rashodi za potporu za Instrument za susjedstvo, razvoj i međunarodnu suradnju</w:t>
            </w:r>
          </w:p>
          <w:p>
            <w:pPr>
              <w:spacing w:after="60"/>
              <w:rPr>
                <w:noProof/>
              </w:rPr>
            </w:pPr>
          </w:p>
        </w:tc>
        <w:tc>
          <w:tcPr>
            <w:tcW w:w="1080" w:type="dxa"/>
            <w:vAlign w:val="center"/>
          </w:tcPr>
          <w:p>
            <w:pPr>
              <w:jc w:val="center"/>
              <w:rPr>
                <w:noProof/>
                <w:color w:val="0000FF"/>
              </w:rPr>
            </w:pPr>
            <w:r>
              <w:rPr>
                <w:noProof/>
                <w:sz w:val="22"/>
              </w:rPr>
              <w:t>Nedif.</w:t>
            </w:r>
          </w:p>
        </w:tc>
        <w:tc>
          <w:tcPr>
            <w:tcW w:w="1044" w:type="dxa"/>
            <w:vAlign w:val="center"/>
          </w:tcPr>
          <w:p>
            <w:pPr>
              <w:jc w:val="center"/>
              <w:rPr>
                <w:noProof/>
              </w:rPr>
            </w:pPr>
            <w:r>
              <w:rPr>
                <w:noProof/>
                <w:sz w:val="22"/>
              </w:rPr>
              <w:t>NE</w:t>
            </w:r>
          </w:p>
        </w:tc>
        <w:tc>
          <w:tcPr>
            <w:tcW w:w="1134" w:type="dxa"/>
            <w:vAlign w:val="center"/>
          </w:tcPr>
          <w:p>
            <w:pPr>
              <w:jc w:val="center"/>
              <w:rPr>
                <w:noProof/>
              </w:rPr>
            </w:pPr>
            <w:r>
              <w:rPr>
                <w:noProof/>
                <w:sz w:val="22"/>
              </w:rPr>
              <w:t>NE</w:t>
            </w:r>
          </w:p>
        </w:tc>
        <w:tc>
          <w:tcPr>
            <w:tcW w:w="814"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r>
        <w:tc>
          <w:tcPr>
            <w:tcW w:w="1080" w:type="dxa"/>
            <w:vAlign w:val="center"/>
          </w:tcPr>
          <w:p>
            <w:pPr>
              <w:jc w:val="center"/>
              <w:rPr>
                <w:noProof/>
                <w:color w:val="0000FF"/>
              </w:rPr>
            </w:pPr>
            <w:r>
              <w:rPr>
                <w:noProof/>
                <w:color w:val="0000FF"/>
              </w:rPr>
              <w:t>6.</w:t>
            </w:r>
          </w:p>
        </w:tc>
        <w:tc>
          <w:tcPr>
            <w:tcW w:w="3960" w:type="dxa"/>
            <w:vAlign w:val="center"/>
          </w:tcPr>
          <w:p>
            <w:pPr>
              <w:spacing w:before="60"/>
              <w:rPr>
                <w:noProof/>
                <w:color w:val="0000FF"/>
                <w:sz w:val="22"/>
              </w:rPr>
            </w:pPr>
            <w:r>
              <w:rPr>
                <w:noProof/>
                <w:color w:val="0000FF"/>
                <w:sz w:val="22"/>
              </w:rPr>
              <w:t>15 02 01 07 Rezervacije Instrumenta Europske unije za oporavak u korist Jamstva za vanjsko djelovanje</w:t>
            </w: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DA</w:t>
            </w:r>
          </w:p>
        </w:tc>
        <w:tc>
          <w:tcPr>
            <w:tcW w:w="1134" w:type="dxa"/>
            <w:vAlign w:val="center"/>
          </w:tcPr>
          <w:p>
            <w:pPr>
              <w:jc w:val="center"/>
              <w:rPr>
                <w:noProof/>
                <w:sz w:val="22"/>
              </w:rPr>
            </w:pPr>
            <w:r>
              <w:rPr>
                <w:noProof/>
                <w:sz w:val="22"/>
              </w:rPr>
              <w:t>DA</w:t>
            </w:r>
          </w:p>
        </w:tc>
        <w:tc>
          <w:tcPr>
            <w:tcW w:w="814" w:type="dxa"/>
            <w:vAlign w:val="center"/>
          </w:tcPr>
          <w:p>
            <w:pPr>
              <w:jc w:val="center"/>
              <w:rPr>
                <w:noProof/>
                <w:sz w:val="22"/>
              </w:rPr>
            </w:pPr>
            <w:r>
              <w:rPr>
                <w:noProof/>
                <w:sz w:val="22"/>
              </w:rPr>
              <w:t>DA</w:t>
            </w:r>
          </w:p>
        </w:tc>
        <w:tc>
          <w:tcPr>
            <w:tcW w:w="1448" w:type="dxa"/>
            <w:vAlign w:val="center"/>
          </w:tcPr>
          <w:p>
            <w:pPr>
              <w:jc w:val="center"/>
              <w:rPr>
                <w:noProof/>
                <w:sz w:val="22"/>
              </w:rPr>
            </w:pPr>
            <w:r>
              <w:rPr>
                <w:noProof/>
                <w:sz w:val="22"/>
              </w:rPr>
              <w:t>NE</w:t>
            </w:r>
          </w:p>
        </w:tc>
      </w:tr>
    </w:tbl>
    <w:p>
      <w:pPr>
        <w:rPr>
          <w:noProof/>
        </w:rPr>
        <w:sectPr>
          <w:pgSz w:w="11907" w:h="16840" w:code="1"/>
          <w:pgMar w:top="1134" w:right="1418" w:bottom="1134" w:left="1418" w:header="709" w:footer="709" w:gutter="0"/>
          <w:cols w:space="708"/>
          <w:docGrid w:linePitch="360"/>
        </w:sectPr>
      </w:pPr>
    </w:p>
    <w:p>
      <w:pPr>
        <w:keepNext/>
        <w:outlineLvl w:val="1"/>
        <w:rPr>
          <w:rFonts w:eastAsiaTheme="majorEastAsia"/>
          <w:b/>
          <w:noProof/>
          <w:szCs w:val="24"/>
        </w:rPr>
      </w:pPr>
      <w:r>
        <w:rPr>
          <w:b/>
          <w:bCs/>
          <w:noProof/>
          <w:szCs w:val="26"/>
        </w:rPr>
        <w:lastRenderedPageBreak/>
        <w:t xml:space="preserve">Procijenjeni učinak na rashode </w:t>
      </w:r>
    </w:p>
    <w:p>
      <w:pPr>
        <w:keepNext/>
        <w:outlineLvl w:val="2"/>
        <w:rPr>
          <w:rFonts w:eastAsiaTheme="majorEastAsia"/>
          <w:bCs/>
          <w:i/>
          <w:noProof/>
          <w:u w:val="single"/>
        </w:rPr>
      </w:pPr>
      <w:r>
        <w:rPr>
          <w:bCs/>
          <w:i/>
          <w:noProof/>
        </w:rPr>
        <w:t xml:space="preserve">Sažetak procijenjenog učinka na rashode </w:t>
      </w:r>
    </w:p>
    <w:p>
      <w:pPr>
        <w:jc w:val="right"/>
        <w:rPr>
          <w:noProof/>
          <w:sz w:val="20"/>
        </w:rPr>
      </w:pPr>
      <w:r>
        <w:rPr>
          <w:noProof/>
          <w:sz w:val="20"/>
        </w:rPr>
        <w:t>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clear" w:color="auto" w:fill="auto"/>
            <w:vAlign w:val="center"/>
          </w:tcPr>
          <w:p>
            <w:pPr>
              <w:spacing w:before="60" w:after="60"/>
              <w:jc w:val="center"/>
              <w:rPr>
                <w:b/>
                <w:noProof/>
              </w:rPr>
            </w:pPr>
            <w:r>
              <w:rPr>
                <w:b/>
                <w:noProof/>
                <w:sz w:val="22"/>
              </w:rPr>
              <w:t xml:space="preserve">Naslov višegodišnjeg financijskog </w:t>
            </w:r>
            <w:r>
              <w:rPr>
                <w:noProof/>
                <w:sz w:val="22"/>
              </w:rPr>
              <w:br/>
            </w:r>
            <w:r>
              <w:rPr>
                <w:b/>
                <w:noProof/>
                <w:sz w:val="22"/>
              </w:rPr>
              <w:t xml:space="preserve">okvira </w:t>
            </w:r>
          </w:p>
        </w:tc>
        <w:tc>
          <w:tcPr>
            <w:tcW w:w="1080" w:type="dxa"/>
            <w:vAlign w:val="center"/>
          </w:tcPr>
          <w:p>
            <w:pPr>
              <w:spacing w:before="60" w:after="60"/>
              <w:jc w:val="center"/>
              <w:rPr>
                <w:noProof/>
              </w:rPr>
            </w:pPr>
            <w:r>
              <w:rPr>
                <w:b/>
                <w:noProof/>
                <w:sz w:val="22"/>
              </w:rPr>
              <w:t>&lt; 1., 3. i 6.&gt;</w:t>
            </w:r>
          </w:p>
        </w:tc>
        <w:tc>
          <w:tcPr>
            <w:tcW w:w="7817" w:type="dxa"/>
            <w:vAlign w:val="center"/>
          </w:tcPr>
          <w:p>
            <w:pPr>
              <w:spacing w:before="60" w:after="60"/>
              <w:jc w:val="left"/>
              <w:rPr>
                <w:noProof/>
              </w:rPr>
            </w:pPr>
            <w:r>
              <w:rPr>
                <w:noProof/>
                <w:color w:val="0000FF"/>
                <w:sz w:val="22"/>
              </w:rPr>
              <w:t xml:space="preserve"> </w:t>
            </w:r>
            <w:r>
              <w:rPr>
                <w:noProof/>
                <w:sz w:val="22"/>
              </w:rPr>
              <w:t>[Naslov 1. – Jedinstveno tržište, inovacije i digitalno gospodarstvo, Naslov 3. – Prirodni resursi i okoliš, Naslov 6. – Susjedstvo i svijet]</w:t>
            </w:r>
          </w:p>
        </w:tc>
      </w:tr>
    </w:tbl>
    <w:p>
      <w:pPr>
        <w:rPr>
          <w:i/>
          <w:iCs/>
          <w:noProof/>
        </w:rPr>
      </w:pPr>
    </w:p>
    <w:p>
      <w:pPr>
        <w:rPr>
          <w:i/>
          <w:noProof/>
        </w:rPr>
      </w:pPr>
      <w:r>
        <w:rPr>
          <w:i/>
          <w:iCs/>
          <w:noProof/>
        </w:rPr>
        <w:t xml:space="preserve">Uz financijsku omotnicu definiranu </w:t>
      </w:r>
      <w:r>
        <w:rPr>
          <w:i/>
          <w:noProof/>
        </w:rPr>
        <w:t>člankom 9. predložene Uredbe COM(2018)435 („</w:t>
      </w:r>
      <w:r>
        <w:rPr>
          <w:i/>
          <w:iCs/>
          <w:noProof/>
        </w:rPr>
        <w:t>Uredba o Okvirnom programu Obzor Europa”) i člankom 4. predložene Odluke o posebnom programu Obzor Europa, na raspolaganju će biti 14 647 milijuna EUR (u tekućim cijenama) kao vanjski namjenski prihodi u smislu članka 21. stavka 5. Financijske uredbe kao financiranje iz Instrumenta Europske unije za oporavak. Od tog iznosa, do 689,160 milijuna EUR može se namijeniti za administrativne rashode, uključujući troškove vanjskog osoblja.</w:t>
      </w:r>
    </w:p>
    <w:p>
      <w:pPr>
        <w:rPr>
          <w:i/>
          <w:noProof/>
        </w:rPr>
      </w:pPr>
      <w:r>
        <w:rPr>
          <w:i/>
          <w:noProof/>
        </w:rPr>
        <w:t>Okvirna raščlamba rashoda iz vanjskih namjenskih prihoda je sljedeća:</w:t>
      </w:r>
    </w:p>
    <w:p>
      <w:pPr>
        <w:rPr>
          <w:i/>
          <w:noProof/>
        </w:rPr>
      </w:pPr>
    </w:p>
    <w:p>
      <w:pPr>
        <w:rPr>
          <w:i/>
          <w:noProof/>
        </w:rPr>
      </w:pPr>
    </w:p>
    <w:tbl>
      <w:tblPr>
        <w:tblW w:w="14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388"/>
        <w:gridCol w:w="540"/>
        <w:gridCol w:w="1049"/>
        <w:gridCol w:w="990"/>
        <w:gridCol w:w="990"/>
        <w:gridCol w:w="976"/>
        <w:gridCol w:w="1004"/>
        <w:gridCol w:w="990"/>
        <w:gridCol w:w="990"/>
        <w:gridCol w:w="1033"/>
        <w:gridCol w:w="1127"/>
      </w:tblGrid>
      <w:tr>
        <w:tc>
          <w:tcPr>
            <w:tcW w:w="3510" w:type="dxa"/>
            <w:vAlign w:val="center"/>
          </w:tcPr>
          <w:p>
            <w:pPr>
              <w:jc w:val="center"/>
              <w:rPr>
                <w:noProof/>
              </w:rPr>
            </w:pPr>
            <w:r>
              <w:rPr>
                <w:noProof/>
                <w:sz w:val="22"/>
              </w:rPr>
              <w:t>[Obzor Europa]</w:t>
            </w:r>
          </w:p>
        </w:tc>
        <w:tc>
          <w:tcPr>
            <w:tcW w:w="1388" w:type="dxa"/>
          </w:tcPr>
          <w:p>
            <w:pPr>
              <w:rPr>
                <w:noProof/>
                <w:sz w:val="20"/>
              </w:rPr>
            </w:pPr>
          </w:p>
        </w:tc>
        <w:tc>
          <w:tcPr>
            <w:tcW w:w="540" w:type="dxa"/>
          </w:tcPr>
          <w:p>
            <w:pPr>
              <w:jc w:val="center"/>
              <w:rPr>
                <w:noProof/>
                <w:sz w:val="20"/>
              </w:rPr>
            </w:pPr>
          </w:p>
        </w:tc>
        <w:tc>
          <w:tcPr>
            <w:tcW w:w="1049" w:type="dxa"/>
            <w:vAlign w:val="center"/>
          </w:tcPr>
          <w:p>
            <w:pPr>
              <w:jc w:val="center"/>
              <w:rPr>
                <w:noProof/>
                <w:sz w:val="20"/>
              </w:rPr>
            </w:pPr>
            <w:r>
              <w:rPr>
                <w:b/>
                <w:noProof/>
                <w:sz w:val="20"/>
              </w:rPr>
              <w:t>2021.</w:t>
            </w:r>
          </w:p>
        </w:tc>
        <w:tc>
          <w:tcPr>
            <w:tcW w:w="990" w:type="dxa"/>
            <w:vAlign w:val="center"/>
          </w:tcPr>
          <w:p>
            <w:pPr>
              <w:jc w:val="center"/>
              <w:rPr>
                <w:noProof/>
                <w:sz w:val="20"/>
              </w:rPr>
            </w:pPr>
            <w:r>
              <w:rPr>
                <w:b/>
                <w:noProof/>
                <w:sz w:val="20"/>
              </w:rPr>
              <w:t>2022.</w:t>
            </w:r>
          </w:p>
        </w:tc>
        <w:tc>
          <w:tcPr>
            <w:tcW w:w="990" w:type="dxa"/>
            <w:vAlign w:val="center"/>
          </w:tcPr>
          <w:p>
            <w:pPr>
              <w:jc w:val="center"/>
              <w:rPr>
                <w:noProof/>
                <w:sz w:val="20"/>
              </w:rPr>
            </w:pPr>
            <w:r>
              <w:rPr>
                <w:b/>
                <w:noProof/>
                <w:sz w:val="20"/>
              </w:rPr>
              <w:t>2023.</w:t>
            </w:r>
          </w:p>
        </w:tc>
        <w:tc>
          <w:tcPr>
            <w:tcW w:w="976" w:type="dxa"/>
            <w:vAlign w:val="center"/>
          </w:tcPr>
          <w:p>
            <w:pPr>
              <w:jc w:val="center"/>
              <w:rPr>
                <w:noProof/>
                <w:sz w:val="20"/>
              </w:rPr>
            </w:pPr>
            <w:r>
              <w:rPr>
                <w:b/>
                <w:noProof/>
                <w:sz w:val="20"/>
              </w:rPr>
              <w:t>2024.</w:t>
            </w:r>
          </w:p>
        </w:tc>
        <w:tc>
          <w:tcPr>
            <w:tcW w:w="1004" w:type="dxa"/>
            <w:vAlign w:val="center"/>
          </w:tcPr>
          <w:p>
            <w:pPr>
              <w:jc w:val="center"/>
              <w:rPr>
                <w:b/>
                <w:noProof/>
                <w:sz w:val="20"/>
              </w:rPr>
            </w:pPr>
            <w:r>
              <w:rPr>
                <w:b/>
                <w:noProof/>
                <w:sz w:val="20"/>
              </w:rPr>
              <w:t>2025.</w:t>
            </w:r>
          </w:p>
        </w:tc>
        <w:tc>
          <w:tcPr>
            <w:tcW w:w="990" w:type="dxa"/>
            <w:vAlign w:val="center"/>
          </w:tcPr>
          <w:p>
            <w:pPr>
              <w:jc w:val="center"/>
              <w:rPr>
                <w:b/>
                <w:noProof/>
                <w:sz w:val="20"/>
              </w:rPr>
            </w:pPr>
            <w:r>
              <w:rPr>
                <w:b/>
                <w:noProof/>
                <w:sz w:val="20"/>
              </w:rPr>
              <w:t>2026.</w:t>
            </w:r>
          </w:p>
        </w:tc>
        <w:tc>
          <w:tcPr>
            <w:tcW w:w="990" w:type="dxa"/>
            <w:vAlign w:val="center"/>
          </w:tcPr>
          <w:p>
            <w:pPr>
              <w:jc w:val="center"/>
              <w:rPr>
                <w:b/>
                <w:noProof/>
                <w:sz w:val="20"/>
              </w:rPr>
            </w:pPr>
            <w:r>
              <w:rPr>
                <w:b/>
                <w:noProof/>
                <w:sz w:val="20"/>
              </w:rPr>
              <w:t>2027.</w:t>
            </w:r>
          </w:p>
        </w:tc>
        <w:tc>
          <w:tcPr>
            <w:tcW w:w="1033" w:type="dxa"/>
          </w:tcPr>
          <w:p>
            <w:pPr>
              <w:jc w:val="center"/>
              <w:rPr>
                <w:b/>
                <w:noProof/>
                <w:sz w:val="20"/>
              </w:rPr>
            </w:pPr>
            <w:r>
              <w:rPr>
                <w:b/>
                <w:i/>
                <w:noProof/>
                <w:sz w:val="20"/>
              </w:rPr>
              <w:t>Nakon 2027.</w:t>
            </w:r>
          </w:p>
        </w:tc>
        <w:tc>
          <w:tcPr>
            <w:tcW w:w="1127" w:type="dxa"/>
            <w:vAlign w:val="center"/>
          </w:tcPr>
          <w:p>
            <w:pPr>
              <w:jc w:val="center"/>
              <w:rPr>
                <w:b/>
                <w:noProof/>
                <w:sz w:val="20"/>
              </w:rPr>
            </w:pPr>
            <w:r>
              <w:rPr>
                <w:b/>
                <w:noProof/>
                <w:sz w:val="20"/>
              </w:rPr>
              <w:t>UKUPNO</w:t>
            </w:r>
          </w:p>
        </w:tc>
      </w:tr>
      <w:tr>
        <w:tc>
          <w:tcPr>
            <w:tcW w:w="3510"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Rashodi poslovanja iz vanjskih namjenskih prihoda Instrumenta Europske unije za oporavak</w:t>
            </w: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Obveze</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w:t>
            </w:r>
          </w:p>
        </w:tc>
        <w:tc>
          <w:tcPr>
            <w:tcW w:w="104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4 919,020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4 739,320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2 558,890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1 740,610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p>
        </w:tc>
        <w:tc>
          <w:tcPr>
            <w:tcW w:w="1033" w:type="dxa"/>
            <w:tcBorders>
              <w:top w:val="single" w:sz="4" w:space="0" w:color="auto"/>
              <w:left w:val="single" w:sz="4" w:space="0" w:color="auto"/>
              <w:bottom w:val="single" w:sz="4" w:space="0" w:color="auto"/>
              <w:right w:val="single" w:sz="4" w:space="0" w:color="auto"/>
            </w:tcBorders>
          </w:tcPr>
          <w:p>
            <w:pPr>
              <w:jc w:val="center"/>
              <w:rPr>
                <w:b/>
                <w:i/>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13 957,840</w:t>
            </w:r>
          </w:p>
        </w:tc>
      </w:tr>
      <w:tr>
        <w:tc>
          <w:tcPr>
            <w:tcW w:w="3510"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Plaćanja</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(2)</w:t>
            </w:r>
          </w:p>
        </w:tc>
        <w:tc>
          <w:tcPr>
            <w:tcW w:w="104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433,668</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3 479,853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2 708,187</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2 475,285</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1 978,160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1 860,712</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909,443</w:t>
            </w:r>
          </w:p>
        </w:tc>
        <w:tc>
          <w:tcPr>
            <w:tcW w:w="1033"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112,532</w:t>
            </w: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13 957,840</w:t>
            </w:r>
          </w:p>
        </w:tc>
      </w:tr>
      <w:tr>
        <w:tc>
          <w:tcPr>
            <w:tcW w:w="3510"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Rashodi za administrativnu potporu iz vanjskih namjenskih prihoda Instrumenta Europske unije za oporavak</w:t>
            </w:r>
          </w:p>
        </w:tc>
        <w:tc>
          <w:tcPr>
            <w:tcW w:w="1388"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18"/>
              </w:rPr>
              <w:t>Obveze = plaćanja</w:t>
            </w:r>
          </w:p>
        </w:tc>
        <w:tc>
          <w:tcPr>
            <w:tcW w:w="540"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14"/>
              </w:rPr>
              <w:t>(3)</w:t>
            </w:r>
          </w:p>
        </w:tc>
        <w:tc>
          <w:tcPr>
            <w:tcW w:w="104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126,980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197,680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132,110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106,390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b/>
                <w:noProof/>
                <w:sz w:val="18"/>
                <w:szCs w:val="18"/>
              </w:rPr>
              <w:t>51,000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b/>
                <w:noProof/>
                <w:sz w:val="18"/>
                <w:szCs w:val="18"/>
              </w:rPr>
              <w:t>37,000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b/>
                <w:noProof/>
                <w:sz w:val="18"/>
                <w:szCs w:val="18"/>
              </w:rPr>
              <w:t>38,000</w:t>
            </w:r>
          </w:p>
        </w:tc>
        <w:tc>
          <w:tcPr>
            <w:tcW w:w="1033"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689,160</w:t>
            </w:r>
          </w:p>
        </w:tc>
      </w:tr>
      <w:tr>
        <w:tc>
          <w:tcPr>
            <w:tcW w:w="3510"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Ukupni vanjski namjenski prihodi</w:t>
            </w: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Obveze</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=1+3</w:t>
            </w:r>
          </w:p>
        </w:tc>
        <w:tc>
          <w:tcPr>
            <w:tcW w:w="104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5 046,000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4 937,000</w:t>
            </w:r>
          </w:p>
        </w:tc>
        <w:tc>
          <w:tcPr>
            <w:tcW w:w="990" w:type="dxa"/>
            <w:tcBorders>
              <w:top w:val="single" w:sz="4" w:space="0" w:color="auto"/>
              <w:left w:val="single" w:sz="4" w:space="0" w:color="auto"/>
              <w:bottom w:val="single" w:sz="4" w:space="0" w:color="auto"/>
              <w:right w:val="single" w:sz="4" w:space="0" w:color="auto"/>
            </w:tcBorders>
            <w:vAlign w:val="center"/>
          </w:tcPr>
          <w:p>
            <w:pPr>
              <w:rPr>
                <w:b/>
                <w:noProof/>
                <w:sz w:val="18"/>
                <w:szCs w:val="18"/>
              </w:rPr>
            </w:pPr>
            <w:r>
              <w:rPr>
                <w:b/>
                <w:noProof/>
                <w:sz w:val="18"/>
                <w:szCs w:val="18"/>
              </w:rPr>
              <w:t>2 691,000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1 847,000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b/>
                <w:noProof/>
                <w:sz w:val="18"/>
                <w:szCs w:val="18"/>
              </w:rPr>
              <w:t>51,000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b/>
                <w:noProof/>
                <w:sz w:val="18"/>
                <w:szCs w:val="18"/>
              </w:rPr>
              <w:t>37,000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rPr>
            </w:pPr>
            <w:r>
              <w:rPr>
                <w:b/>
                <w:noProof/>
                <w:sz w:val="18"/>
                <w:szCs w:val="18"/>
              </w:rPr>
              <w:t>38,000</w:t>
            </w:r>
          </w:p>
        </w:tc>
        <w:tc>
          <w:tcPr>
            <w:tcW w:w="1033" w:type="dxa"/>
            <w:tcBorders>
              <w:top w:val="single" w:sz="4" w:space="0" w:color="auto"/>
              <w:left w:val="single" w:sz="4" w:space="0" w:color="auto"/>
              <w:bottom w:val="single" w:sz="4" w:space="0" w:color="auto"/>
              <w:right w:val="single" w:sz="4" w:space="0" w:color="auto"/>
            </w:tcBorders>
            <w:vAlign w:val="center"/>
          </w:tcPr>
          <w:p>
            <w:pPr>
              <w:jc w:val="center"/>
              <w:rPr>
                <w:b/>
                <w:i/>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14 647,000</w:t>
            </w:r>
          </w:p>
        </w:tc>
      </w:tr>
      <w:tr>
        <w:tc>
          <w:tcPr>
            <w:tcW w:w="3510"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Plaćanja</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14"/>
              </w:rPr>
            </w:pPr>
            <w:r>
              <w:rPr>
                <w:noProof/>
                <w:sz w:val="14"/>
              </w:rPr>
              <w:t>=2+3</w:t>
            </w:r>
          </w:p>
        </w:tc>
        <w:tc>
          <w:tcPr>
            <w:tcW w:w="104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560,648</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3 677,533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2 840,297</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2 581,675</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2 029,160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1 897,712</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947,443</w:t>
            </w:r>
          </w:p>
        </w:tc>
        <w:tc>
          <w:tcPr>
            <w:tcW w:w="1033"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112,532</w:t>
            </w: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14 647,000</w:t>
            </w:r>
          </w:p>
        </w:tc>
      </w:tr>
    </w:tbl>
    <w:p>
      <w:pPr>
        <w:rPr>
          <w:i/>
          <w:noProof/>
        </w:rPr>
      </w:pPr>
    </w:p>
    <w:p>
      <w:pPr>
        <w:rPr>
          <w:i/>
          <w:noProof/>
        </w:rPr>
      </w:pPr>
      <w:r>
        <w:rPr>
          <w:i/>
          <w:iCs/>
          <w:noProof/>
        </w:rPr>
        <w:lastRenderedPageBreak/>
        <w:t xml:space="preserve">Uz financijsku omotnicu definiranu člankom </w:t>
      </w:r>
      <w:r>
        <w:rPr>
          <w:i/>
          <w:noProof/>
        </w:rPr>
        <w:t xml:space="preserve">83. predložene Uredbe COM(2018) 392 („intervencije EPFRR-a u sklopu strateških planova u okviru ZPP-a”), na raspolaganju će biti </w:t>
      </w:r>
      <w:r>
        <w:rPr>
          <w:i/>
          <w:iCs/>
          <w:noProof/>
        </w:rPr>
        <w:t>16 483 milijuna EUR (u tekućim cijenama) kao vanjski namjenski prihodi za razdoblje 2022.–2024.</w:t>
      </w:r>
      <w:r>
        <w:rPr>
          <w:rStyle w:val="FootnoteReference"/>
          <w:i/>
          <w:iCs/>
          <w:noProof/>
        </w:rPr>
        <w:footnoteReference w:id="15"/>
      </w:r>
      <w:r>
        <w:rPr>
          <w:i/>
          <w:iCs/>
          <w:noProof/>
        </w:rPr>
        <w:t xml:space="preserve"> u smislu članka 21. stavka 5. Financijske uredbe kao financiranje iz Instrumenta Europske unije za oporavak. Od tog iznosa, do 6,000 milijuna EUR može se namijeniti za administrativne rashode, uključujući troškove vanjskog osoblja. Operativna tehnička pomoć uključena je u iznos za operativne rashode i izračunat će se kada se raščlamba dodatnih sredstava iz stavka 1. za svaku državu članicu odredi u skladu s člankom 83. stavkom 3. prijedloga COM(2018) 392.</w:t>
      </w:r>
    </w:p>
    <w:p>
      <w:pPr>
        <w:rPr>
          <w:i/>
          <w:noProof/>
        </w:rPr>
      </w:pPr>
      <w:r>
        <w:rPr>
          <w:i/>
          <w:noProof/>
        </w:rPr>
        <w:t>Okvirna raščlamba rashoda iz vanjskih namjenskih prihoda je sljedeća:</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388"/>
        <w:gridCol w:w="540"/>
        <w:gridCol w:w="990"/>
        <w:gridCol w:w="990"/>
        <w:gridCol w:w="990"/>
        <w:gridCol w:w="976"/>
        <w:gridCol w:w="1004"/>
        <w:gridCol w:w="990"/>
        <w:gridCol w:w="990"/>
        <w:gridCol w:w="1033"/>
        <w:gridCol w:w="1127"/>
      </w:tblGrid>
      <w:tr>
        <w:tc>
          <w:tcPr>
            <w:tcW w:w="3652" w:type="dxa"/>
            <w:vAlign w:val="center"/>
          </w:tcPr>
          <w:p>
            <w:pPr>
              <w:jc w:val="center"/>
              <w:rPr>
                <w:noProof/>
              </w:rPr>
            </w:pPr>
            <w:r>
              <w:rPr>
                <w:noProof/>
                <w:sz w:val="22"/>
              </w:rPr>
              <w:t>[EPFRR]</w:t>
            </w:r>
          </w:p>
        </w:tc>
        <w:tc>
          <w:tcPr>
            <w:tcW w:w="1388" w:type="dxa"/>
          </w:tcPr>
          <w:p>
            <w:pPr>
              <w:rPr>
                <w:noProof/>
                <w:sz w:val="20"/>
              </w:rPr>
            </w:pPr>
          </w:p>
        </w:tc>
        <w:tc>
          <w:tcPr>
            <w:tcW w:w="540" w:type="dxa"/>
          </w:tcPr>
          <w:p>
            <w:pPr>
              <w:jc w:val="center"/>
              <w:rPr>
                <w:noProof/>
                <w:sz w:val="20"/>
              </w:rPr>
            </w:pPr>
          </w:p>
        </w:tc>
        <w:tc>
          <w:tcPr>
            <w:tcW w:w="990" w:type="dxa"/>
            <w:vAlign w:val="center"/>
          </w:tcPr>
          <w:p>
            <w:pPr>
              <w:jc w:val="center"/>
              <w:rPr>
                <w:noProof/>
                <w:sz w:val="20"/>
                <w:szCs w:val="20"/>
              </w:rPr>
            </w:pPr>
            <w:r>
              <w:rPr>
                <w:b/>
                <w:noProof/>
                <w:sz w:val="20"/>
                <w:szCs w:val="20"/>
              </w:rPr>
              <w:t>2021.</w:t>
            </w:r>
          </w:p>
        </w:tc>
        <w:tc>
          <w:tcPr>
            <w:tcW w:w="990" w:type="dxa"/>
            <w:vAlign w:val="center"/>
          </w:tcPr>
          <w:p>
            <w:pPr>
              <w:jc w:val="center"/>
              <w:rPr>
                <w:noProof/>
                <w:sz w:val="20"/>
                <w:szCs w:val="20"/>
              </w:rPr>
            </w:pPr>
            <w:r>
              <w:rPr>
                <w:b/>
                <w:noProof/>
                <w:sz w:val="20"/>
                <w:szCs w:val="20"/>
              </w:rPr>
              <w:t>2022.</w:t>
            </w:r>
          </w:p>
        </w:tc>
        <w:tc>
          <w:tcPr>
            <w:tcW w:w="990" w:type="dxa"/>
            <w:vAlign w:val="center"/>
          </w:tcPr>
          <w:p>
            <w:pPr>
              <w:jc w:val="center"/>
              <w:rPr>
                <w:noProof/>
                <w:sz w:val="20"/>
                <w:szCs w:val="20"/>
              </w:rPr>
            </w:pPr>
            <w:r>
              <w:rPr>
                <w:b/>
                <w:noProof/>
                <w:sz w:val="20"/>
                <w:szCs w:val="20"/>
              </w:rPr>
              <w:t>2023.</w:t>
            </w:r>
          </w:p>
        </w:tc>
        <w:tc>
          <w:tcPr>
            <w:tcW w:w="976" w:type="dxa"/>
            <w:vAlign w:val="center"/>
          </w:tcPr>
          <w:p>
            <w:pPr>
              <w:jc w:val="center"/>
              <w:rPr>
                <w:noProof/>
                <w:sz w:val="20"/>
                <w:szCs w:val="20"/>
              </w:rPr>
            </w:pPr>
            <w:r>
              <w:rPr>
                <w:b/>
                <w:noProof/>
                <w:sz w:val="20"/>
                <w:szCs w:val="20"/>
              </w:rPr>
              <w:t>2024.</w:t>
            </w:r>
          </w:p>
        </w:tc>
        <w:tc>
          <w:tcPr>
            <w:tcW w:w="1004" w:type="dxa"/>
            <w:vAlign w:val="center"/>
          </w:tcPr>
          <w:p>
            <w:pPr>
              <w:jc w:val="center"/>
              <w:rPr>
                <w:b/>
                <w:noProof/>
                <w:sz w:val="20"/>
                <w:szCs w:val="20"/>
              </w:rPr>
            </w:pPr>
            <w:r>
              <w:rPr>
                <w:b/>
                <w:noProof/>
                <w:sz w:val="20"/>
                <w:szCs w:val="20"/>
              </w:rPr>
              <w:t>2025.</w:t>
            </w:r>
          </w:p>
        </w:tc>
        <w:tc>
          <w:tcPr>
            <w:tcW w:w="990" w:type="dxa"/>
            <w:vAlign w:val="center"/>
          </w:tcPr>
          <w:p>
            <w:pPr>
              <w:jc w:val="center"/>
              <w:rPr>
                <w:b/>
                <w:noProof/>
                <w:sz w:val="20"/>
                <w:szCs w:val="20"/>
              </w:rPr>
            </w:pPr>
            <w:r>
              <w:rPr>
                <w:b/>
                <w:noProof/>
                <w:sz w:val="20"/>
                <w:szCs w:val="20"/>
              </w:rPr>
              <w:t>2026.</w:t>
            </w:r>
          </w:p>
        </w:tc>
        <w:tc>
          <w:tcPr>
            <w:tcW w:w="990" w:type="dxa"/>
            <w:vAlign w:val="center"/>
          </w:tcPr>
          <w:p>
            <w:pPr>
              <w:jc w:val="center"/>
              <w:rPr>
                <w:b/>
                <w:noProof/>
                <w:sz w:val="20"/>
                <w:szCs w:val="20"/>
              </w:rPr>
            </w:pPr>
            <w:r>
              <w:rPr>
                <w:b/>
                <w:noProof/>
                <w:sz w:val="20"/>
                <w:szCs w:val="20"/>
              </w:rPr>
              <w:t>2027.</w:t>
            </w:r>
          </w:p>
        </w:tc>
        <w:tc>
          <w:tcPr>
            <w:tcW w:w="1033" w:type="dxa"/>
          </w:tcPr>
          <w:p>
            <w:pPr>
              <w:jc w:val="center"/>
              <w:rPr>
                <w:b/>
                <w:noProof/>
                <w:sz w:val="20"/>
                <w:szCs w:val="20"/>
              </w:rPr>
            </w:pPr>
            <w:r>
              <w:rPr>
                <w:b/>
                <w:i/>
                <w:noProof/>
                <w:sz w:val="20"/>
                <w:szCs w:val="20"/>
              </w:rPr>
              <w:t>Nakon 2027.</w:t>
            </w:r>
          </w:p>
        </w:tc>
        <w:tc>
          <w:tcPr>
            <w:tcW w:w="1127" w:type="dxa"/>
            <w:vAlign w:val="center"/>
          </w:tcPr>
          <w:p>
            <w:pPr>
              <w:jc w:val="center"/>
              <w:rPr>
                <w:b/>
                <w:noProof/>
                <w:sz w:val="20"/>
                <w:szCs w:val="20"/>
              </w:rPr>
            </w:pPr>
            <w:r>
              <w:rPr>
                <w:b/>
                <w:noProof/>
                <w:sz w:val="20"/>
                <w:szCs w:val="20"/>
              </w:rPr>
              <w:t>UKUPNO</w:t>
            </w:r>
          </w:p>
        </w:tc>
      </w:tr>
      <w:tr>
        <w:tc>
          <w:tcPr>
            <w:tcW w:w="3652"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Rashodi poslovanja koji se financiraju iz vanjskih namjenskih prihoda Instrumenta Europske unije za oporavak</w:t>
            </w:r>
          </w:p>
        </w:tc>
        <w:tc>
          <w:tcPr>
            <w:tcW w:w="1388" w:type="dxa"/>
            <w:tcBorders>
              <w:top w:val="single" w:sz="4" w:space="0" w:color="auto"/>
              <w:left w:val="single" w:sz="4" w:space="0" w:color="auto"/>
              <w:bottom w:val="single" w:sz="4" w:space="0" w:color="auto"/>
              <w:right w:val="single" w:sz="4" w:space="0" w:color="auto"/>
            </w:tcBorders>
          </w:tcPr>
          <w:p>
            <w:pPr>
              <w:rPr>
                <w:noProof/>
                <w:sz w:val="20"/>
                <w:szCs w:val="20"/>
              </w:rPr>
            </w:pPr>
            <w:r>
              <w:rPr>
                <w:noProof/>
                <w:sz w:val="20"/>
                <w:szCs w:val="20"/>
              </w:rPr>
              <w:t>Obveze</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14"/>
                <w:szCs w:val="14"/>
              </w:rPr>
              <w:t>(1)</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8 116,000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4 139,000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4 222,000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1033" w:type="dxa"/>
            <w:tcBorders>
              <w:top w:val="single" w:sz="4" w:space="0" w:color="auto"/>
              <w:left w:val="single" w:sz="4" w:space="0" w:color="auto"/>
              <w:bottom w:val="single" w:sz="4" w:space="0" w:color="auto"/>
              <w:right w:val="single" w:sz="4" w:space="0" w:color="auto"/>
            </w:tcBorders>
          </w:tcPr>
          <w:p>
            <w:pPr>
              <w:jc w:val="center"/>
              <w:rPr>
                <w:b/>
                <w:i/>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16 477,000</w:t>
            </w:r>
          </w:p>
        </w:tc>
      </w:tr>
      <w:tr>
        <w:tc>
          <w:tcPr>
            <w:tcW w:w="3652"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szCs w:val="20"/>
              </w:rPr>
            </w:pPr>
            <w:r>
              <w:rPr>
                <w:noProof/>
                <w:sz w:val="20"/>
                <w:szCs w:val="20"/>
              </w:rPr>
              <w:t>Plaćanja</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14"/>
                <w:szCs w:val="14"/>
              </w:rPr>
              <w:t>(2)</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2 029,000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3 875,350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4 938,950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3 531,000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1 680,500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422,200</w:t>
            </w:r>
          </w:p>
        </w:tc>
        <w:tc>
          <w:tcPr>
            <w:tcW w:w="1033" w:type="dxa"/>
            <w:tcBorders>
              <w:top w:val="single" w:sz="4" w:space="0" w:color="auto"/>
              <w:left w:val="single" w:sz="4" w:space="0" w:color="auto"/>
              <w:bottom w:val="single" w:sz="4" w:space="0" w:color="auto"/>
              <w:right w:val="single" w:sz="4" w:space="0" w:color="auto"/>
            </w:tcBorders>
          </w:tcPr>
          <w:p>
            <w:pPr>
              <w:jc w:val="center"/>
              <w:rPr>
                <w:b/>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16 477,000</w:t>
            </w:r>
          </w:p>
        </w:tc>
      </w:tr>
      <w:tr>
        <w:tc>
          <w:tcPr>
            <w:tcW w:w="3652" w:type="dxa"/>
            <w:vMerge w:val="restart"/>
            <w:tcBorders>
              <w:left w:val="single" w:sz="4" w:space="0" w:color="auto"/>
              <w:right w:val="single" w:sz="4" w:space="0" w:color="auto"/>
            </w:tcBorders>
            <w:vAlign w:val="center"/>
          </w:tcPr>
          <w:p>
            <w:pPr>
              <w:jc w:val="center"/>
              <w:rPr>
                <w:noProof/>
                <w:sz w:val="22"/>
              </w:rPr>
            </w:pPr>
            <w:r>
              <w:rPr>
                <w:noProof/>
                <w:sz w:val="22"/>
              </w:rPr>
              <w:t>EPFRR – Operativna tehnička pomoć (doprinos iz vanjskih namjenskih prihoda Instrumenta Europske unije za oporavak)</w:t>
            </w:r>
          </w:p>
        </w:tc>
        <w:tc>
          <w:tcPr>
            <w:tcW w:w="1388" w:type="dxa"/>
            <w:tcBorders>
              <w:top w:val="single" w:sz="4" w:space="0" w:color="auto"/>
              <w:left w:val="single" w:sz="4" w:space="0" w:color="auto"/>
              <w:bottom w:val="single" w:sz="4" w:space="0" w:color="auto"/>
              <w:right w:val="single" w:sz="4" w:space="0" w:color="auto"/>
            </w:tcBorders>
          </w:tcPr>
          <w:p>
            <w:pPr>
              <w:rPr>
                <w:noProof/>
                <w:sz w:val="20"/>
                <w:szCs w:val="20"/>
              </w:rPr>
            </w:pPr>
            <w:r>
              <w:rPr>
                <w:noProof/>
                <w:sz w:val="20"/>
                <w:szCs w:val="20"/>
              </w:rPr>
              <w:t>Obveze</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14"/>
                <w:szCs w:val="14"/>
              </w:rPr>
            </w:pPr>
            <w:r>
              <w:rPr>
                <w:noProof/>
                <w:sz w:val="14"/>
                <w:szCs w:val="14"/>
              </w:rPr>
              <w:t>(1)</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p.m.</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p.m.</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p.m.</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1033" w:type="dxa"/>
            <w:tcBorders>
              <w:top w:val="single" w:sz="4" w:space="0" w:color="auto"/>
              <w:left w:val="single" w:sz="4" w:space="0" w:color="auto"/>
              <w:bottom w:val="single" w:sz="4" w:space="0" w:color="auto"/>
              <w:right w:val="single" w:sz="4" w:space="0" w:color="auto"/>
            </w:tcBorders>
          </w:tcPr>
          <w:p>
            <w:pPr>
              <w:jc w:val="center"/>
              <w:rPr>
                <w:b/>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p.m.</w:t>
            </w:r>
          </w:p>
        </w:tc>
      </w:tr>
      <w:tr>
        <w:tc>
          <w:tcPr>
            <w:tcW w:w="3652"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szCs w:val="20"/>
              </w:rPr>
            </w:pPr>
            <w:r>
              <w:rPr>
                <w:noProof/>
                <w:sz w:val="20"/>
                <w:szCs w:val="20"/>
              </w:rPr>
              <w:t>Plaćanja</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14"/>
                <w:szCs w:val="14"/>
              </w:rPr>
            </w:pPr>
            <w:r>
              <w:rPr>
                <w:noProof/>
                <w:sz w:val="14"/>
                <w:szCs w:val="14"/>
              </w:rPr>
              <w:t>(2)</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976"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1004"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1033"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c>
          <w:tcPr>
            <w:tcW w:w="1127" w:type="dxa"/>
            <w:tcBorders>
              <w:top w:val="single" w:sz="4" w:space="0" w:color="auto"/>
              <w:left w:val="single" w:sz="4" w:space="0" w:color="auto"/>
              <w:bottom w:val="single" w:sz="4" w:space="0" w:color="auto"/>
              <w:right w:val="single" w:sz="4" w:space="0" w:color="auto"/>
            </w:tcBorders>
          </w:tcPr>
          <w:p>
            <w:pPr>
              <w:jc w:val="center"/>
              <w:rPr>
                <w:b/>
                <w:noProof/>
                <w:sz w:val="18"/>
                <w:szCs w:val="18"/>
              </w:rPr>
            </w:pPr>
            <w:r>
              <w:rPr>
                <w:b/>
                <w:noProof/>
                <w:sz w:val="18"/>
                <w:szCs w:val="18"/>
              </w:rPr>
              <w:t>p.m.</w:t>
            </w:r>
          </w:p>
        </w:tc>
      </w:tr>
      <w:tr>
        <w:tc>
          <w:tcPr>
            <w:tcW w:w="3652"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Rashodi za administrativnu potporu (doprinos iz vanjskih namjenskih prihoda Instrumenta Europske unije za oporavak)</w:t>
            </w:r>
          </w:p>
        </w:tc>
        <w:tc>
          <w:tcPr>
            <w:tcW w:w="138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18"/>
                <w:szCs w:val="18"/>
              </w:rPr>
              <w:t>Obveze = plaćanja</w:t>
            </w:r>
          </w:p>
        </w:tc>
        <w:tc>
          <w:tcPr>
            <w:tcW w:w="540"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14"/>
                <w:szCs w:val="14"/>
              </w:rPr>
              <w:t>(3)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1033"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6,000</w:t>
            </w:r>
          </w:p>
        </w:tc>
      </w:tr>
      <w:tr>
        <w:tc>
          <w:tcPr>
            <w:tcW w:w="3652"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Ukupni vanjski namjenski prihodi</w:t>
            </w:r>
          </w:p>
        </w:tc>
        <w:tc>
          <w:tcPr>
            <w:tcW w:w="1388" w:type="dxa"/>
            <w:tcBorders>
              <w:top w:val="single" w:sz="4" w:space="0" w:color="auto"/>
              <w:left w:val="single" w:sz="4" w:space="0" w:color="auto"/>
              <w:bottom w:val="single" w:sz="4" w:space="0" w:color="auto"/>
              <w:right w:val="single" w:sz="4" w:space="0" w:color="auto"/>
            </w:tcBorders>
          </w:tcPr>
          <w:p>
            <w:pPr>
              <w:rPr>
                <w:noProof/>
                <w:sz w:val="20"/>
                <w:szCs w:val="20"/>
              </w:rPr>
            </w:pPr>
            <w:r>
              <w:rPr>
                <w:noProof/>
                <w:sz w:val="20"/>
                <w:szCs w:val="20"/>
              </w:rPr>
              <w:t>Obveze</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14"/>
                <w:szCs w:val="14"/>
              </w:rPr>
              <w:t>=1+3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8 117,000</w:t>
            </w:r>
          </w:p>
        </w:tc>
        <w:tc>
          <w:tcPr>
            <w:tcW w:w="990" w:type="dxa"/>
            <w:tcBorders>
              <w:top w:val="single" w:sz="4" w:space="0" w:color="auto"/>
              <w:left w:val="single" w:sz="4" w:space="0" w:color="auto"/>
              <w:bottom w:val="single" w:sz="4" w:space="0" w:color="auto"/>
              <w:right w:val="single" w:sz="4" w:space="0" w:color="auto"/>
            </w:tcBorders>
            <w:vAlign w:val="center"/>
          </w:tcPr>
          <w:p>
            <w:pPr>
              <w:rPr>
                <w:b/>
                <w:noProof/>
                <w:sz w:val="18"/>
                <w:szCs w:val="18"/>
              </w:rPr>
            </w:pPr>
            <w:r>
              <w:rPr>
                <w:b/>
                <w:noProof/>
                <w:sz w:val="18"/>
                <w:szCs w:val="18"/>
              </w:rPr>
              <w:t>4 140,000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4 223,000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1,000</w:t>
            </w:r>
          </w:p>
        </w:tc>
        <w:tc>
          <w:tcPr>
            <w:tcW w:w="1033" w:type="dxa"/>
            <w:tcBorders>
              <w:top w:val="single" w:sz="4" w:space="0" w:color="auto"/>
              <w:left w:val="single" w:sz="4" w:space="0" w:color="auto"/>
              <w:bottom w:val="single" w:sz="4" w:space="0" w:color="auto"/>
              <w:right w:val="single" w:sz="4" w:space="0" w:color="auto"/>
            </w:tcBorders>
            <w:vAlign w:val="center"/>
          </w:tcPr>
          <w:p>
            <w:pPr>
              <w:jc w:val="center"/>
              <w:rPr>
                <w:b/>
                <w:i/>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16 483,000</w:t>
            </w:r>
          </w:p>
        </w:tc>
      </w:tr>
      <w:tr>
        <w:tc>
          <w:tcPr>
            <w:tcW w:w="3652"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szCs w:val="20"/>
              </w:rPr>
            </w:pPr>
            <w:r>
              <w:rPr>
                <w:noProof/>
                <w:sz w:val="20"/>
                <w:szCs w:val="20"/>
              </w:rPr>
              <w:t>Plaćanja</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14"/>
                <w:szCs w:val="14"/>
              </w:rPr>
            </w:pPr>
            <w:r>
              <w:rPr>
                <w:noProof/>
                <w:sz w:val="14"/>
                <w:szCs w:val="14"/>
              </w:rPr>
              <w:t>=2+3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2 030,000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3 876,350</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4 939,950</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3 532,000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1 681,500</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423,200</w:t>
            </w:r>
          </w:p>
        </w:tc>
        <w:tc>
          <w:tcPr>
            <w:tcW w:w="1033" w:type="dxa"/>
            <w:tcBorders>
              <w:top w:val="single" w:sz="4" w:space="0" w:color="auto"/>
              <w:left w:val="single" w:sz="4" w:space="0" w:color="auto"/>
              <w:bottom w:val="single" w:sz="4" w:space="0" w:color="auto"/>
              <w:right w:val="single" w:sz="4" w:space="0" w:color="auto"/>
            </w:tcBorders>
          </w:tcPr>
          <w:p>
            <w:pPr>
              <w:jc w:val="center"/>
              <w:rPr>
                <w:b/>
                <w:noProof/>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szCs w:val="18"/>
              </w:rPr>
              <w:t>16 483,000</w:t>
            </w:r>
          </w:p>
        </w:tc>
      </w:tr>
    </w:tbl>
    <w:p>
      <w:pPr>
        <w:rPr>
          <w:i/>
          <w:noProof/>
        </w:rPr>
      </w:pPr>
      <w:r>
        <w:rPr>
          <w:i/>
          <w:iCs/>
          <w:noProof/>
        </w:rPr>
        <w:lastRenderedPageBreak/>
        <w:t>Uz financijsku omotnicu definiranu člankom 6. Uredbe</w:t>
      </w:r>
      <w:r>
        <w:rPr>
          <w:noProof/>
        </w:rPr>
        <w:t xml:space="preserve"> </w:t>
      </w:r>
      <w:r>
        <w:rPr>
          <w:noProof/>
          <w:color w:val="0000FF"/>
        </w:rPr>
        <w:t xml:space="preserve">COM(2018) 460 final, </w:t>
      </w:r>
      <w:r>
        <w:rPr>
          <w:i/>
          <w:iCs/>
          <w:noProof/>
        </w:rPr>
        <w:t xml:space="preserve"> („NDICI“), na raspolaganju će biti 11 448,070 milijuna EUR (u tekućim cijenama) kao vanjski namjenski prihodi u smislu članka 21. stavka 5. Financijske uredbe kao financiranje iz Instrumenta Europske unije za oporavak. Od tog iznosa, do 162,308 milijuna EUR može se namijeniti za administrativne rashode, uključujući troškove vanjskog osoblja.</w:t>
      </w:r>
    </w:p>
    <w:p>
      <w:pPr>
        <w:rPr>
          <w:noProof/>
          <w:color w:val="0000FF"/>
        </w:rPr>
      </w:pPr>
    </w:p>
    <w:p>
      <w:pPr>
        <w:rPr>
          <w:i/>
          <w:noProof/>
        </w:rPr>
      </w:pPr>
      <w:r>
        <w:rPr>
          <w:i/>
          <w:noProof/>
        </w:rPr>
        <w:t>Okvirna raščlamba rashoda iz vanjskih namjenskih prihoda je sljedeća:</w:t>
      </w:r>
    </w:p>
    <w:p>
      <w:pPr>
        <w:rPr>
          <w:i/>
          <w:noProof/>
        </w:rPr>
      </w:pP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388"/>
        <w:gridCol w:w="540"/>
        <w:gridCol w:w="990"/>
        <w:gridCol w:w="990"/>
        <w:gridCol w:w="990"/>
        <w:gridCol w:w="976"/>
        <w:gridCol w:w="1004"/>
        <w:gridCol w:w="990"/>
        <w:gridCol w:w="990"/>
        <w:gridCol w:w="1127"/>
      </w:tblGrid>
      <w:tr>
        <w:tc>
          <w:tcPr>
            <w:tcW w:w="3652" w:type="dxa"/>
            <w:vAlign w:val="center"/>
          </w:tcPr>
          <w:p>
            <w:pPr>
              <w:jc w:val="center"/>
              <w:rPr>
                <w:noProof/>
              </w:rPr>
            </w:pPr>
            <w:r>
              <w:rPr>
                <w:noProof/>
                <w:sz w:val="22"/>
              </w:rPr>
              <w:t>[Jamstvo za vanjsko djelovanje – NDICI]</w:t>
            </w:r>
          </w:p>
        </w:tc>
        <w:tc>
          <w:tcPr>
            <w:tcW w:w="1388" w:type="dxa"/>
          </w:tcPr>
          <w:p>
            <w:pPr>
              <w:rPr>
                <w:noProof/>
                <w:sz w:val="20"/>
              </w:rPr>
            </w:pPr>
          </w:p>
        </w:tc>
        <w:tc>
          <w:tcPr>
            <w:tcW w:w="540" w:type="dxa"/>
          </w:tcPr>
          <w:p>
            <w:pPr>
              <w:jc w:val="center"/>
              <w:rPr>
                <w:noProof/>
                <w:sz w:val="20"/>
              </w:rPr>
            </w:pPr>
          </w:p>
        </w:tc>
        <w:tc>
          <w:tcPr>
            <w:tcW w:w="990" w:type="dxa"/>
            <w:vAlign w:val="center"/>
          </w:tcPr>
          <w:p>
            <w:pPr>
              <w:jc w:val="center"/>
              <w:rPr>
                <w:noProof/>
                <w:sz w:val="20"/>
              </w:rPr>
            </w:pPr>
            <w:r>
              <w:rPr>
                <w:b/>
                <w:noProof/>
                <w:sz w:val="20"/>
              </w:rPr>
              <w:t>2021.</w:t>
            </w:r>
          </w:p>
        </w:tc>
        <w:tc>
          <w:tcPr>
            <w:tcW w:w="990" w:type="dxa"/>
            <w:vAlign w:val="center"/>
          </w:tcPr>
          <w:p>
            <w:pPr>
              <w:jc w:val="center"/>
              <w:rPr>
                <w:noProof/>
                <w:sz w:val="20"/>
              </w:rPr>
            </w:pPr>
            <w:r>
              <w:rPr>
                <w:b/>
                <w:noProof/>
                <w:sz w:val="20"/>
              </w:rPr>
              <w:t>2022.</w:t>
            </w:r>
          </w:p>
        </w:tc>
        <w:tc>
          <w:tcPr>
            <w:tcW w:w="990" w:type="dxa"/>
            <w:vAlign w:val="center"/>
          </w:tcPr>
          <w:p>
            <w:pPr>
              <w:jc w:val="center"/>
              <w:rPr>
                <w:noProof/>
                <w:sz w:val="20"/>
              </w:rPr>
            </w:pPr>
            <w:r>
              <w:rPr>
                <w:b/>
                <w:noProof/>
                <w:sz w:val="20"/>
              </w:rPr>
              <w:t>2023.</w:t>
            </w:r>
          </w:p>
        </w:tc>
        <w:tc>
          <w:tcPr>
            <w:tcW w:w="976" w:type="dxa"/>
            <w:vAlign w:val="center"/>
          </w:tcPr>
          <w:p>
            <w:pPr>
              <w:jc w:val="center"/>
              <w:rPr>
                <w:noProof/>
                <w:sz w:val="20"/>
              </w:rPr>
            </w:pPr>
            <w:r>
              <w:rPr>
                <w:b/>
                <w:noProof/>
                <w:sz w:val="20"/>
              </w:rPr>
              <w:t>2024.</w:t>
            </w:r>
          </w:p>
        </w:tc>
        <w:tc>
          <w:tcPr>
            <w:tcW w:w="1004" w:type="dxa"/>
            <w:vAlign w:val="center"/>
          </w:tcPr>
          <w:p>
            <w:pPr>
              <w:jc w:val="center"/>
              <w:rPr>
                <w:b/>
                <w:noProof/>
                <w:sz w:val="20"/>
              </w:rPr>
            </w:pPr>
            <w:r>
              <w:rPr>
                <w:b/>
                <w:noProof/>
                <w:sz w:val="20"/>
              </w:rPr>
              <w:t>2025.</w:t>
            </w:r>
          </w:p>
        </w:tc>
        <w:tc>
          <w:tcPr>
            <w:tcW w:w="990" w:type="dxa"/>
            <w:vAlign w:val="center"/>
          </w:tcPr>
          <w:p>
            <w:pPr>
              <w:jc w:val="center"/>
              <w:rPr>
                <w:b/>
                <w:noProof/>
                <w:sz w:val="20"/>
              </w:rPr>
            </w:pPr>
            <w:r>
              <w:rPr>
                <w:b/>
                <w:noProof/>
                <w:sz w:val="20"/>
              </w:rPr>
              <w:t>2026.</w:t>
            </w:r>
          </w:p>
        </w:tc>
        <w:tc>
          <w:tcPr>
            <w:tcW w:w="990" w:type="dxa"/>
            <w:vAlign w:val="center"/>
          </w:tcPr>
          <w:p>
            <w:pPr>
              <w:jc w:val="center"/>
              <w:rPr>
                <w:b/>
                <w:noProof/>
                <w:sz w:val="20"/>
              </w:rPr>
            </w:pPr>
            <w:r>
              <w:rPr>
                <w:b/>
                <w:noProof/>
                <w:sz w:val="20"/>
              </w:rPr>
              <w:t>2027.</w:t>
            </w:r>
          </w:p>
        </w:tc>
        <w:tc>
          <w:tcPr>
            <w:tcW w:w="1127" w:type="dxa"/>
            <w:vAlign w:val="center"/>
          </w:tcPr>
          <w:p>
            <w:pPr>
              <w:jc w:val="center"/>
              <w:rPr>
                <w:b/>
                <w:noProof/>
                <w:sz w:val="20"/>
              </w:rPr>
            </w:pPr>
            <w:r>
              <w:rPr>
                <w:b/>
                <w:noProof/>
                <w:sz w:val="20"/>
              </w:rPr>
              <w:t>UKUPNO</w:t>
            </w:r>
          </w:p>
        </w:tc>
      </w:tr>
      <w:tr>
        <w:tc>
          <w:tcPr>
            <w:tcW w:w="3652"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Rashodi poslovanja iz vanjskih namjenskih prihoda Instrumenta Europske unije za oporavak</w:t>
            </w:r>
          </w:p>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Obveze</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3 265,383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3 331,093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2 274,063 </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2 320,063 </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27,383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33,389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34,389 </w:t>
            </w: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11 285,762 </w:t>
            </w:r>
          </w:p>
        </w:tc>
      </w:tr>
      <w:tr>
        <w:tc>
          <w:tcPr>
            <w:tcW w:w="3652"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Plaćanja</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(2)</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23,133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1 883,383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1 883,383 </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1 883,383 </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1 883,383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1 888,389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1 840,709 </w:t>
            </w: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11 285,762 </w:t>
            </w:r>
          </w:p>
        </w:tc>
      </w:tr>
      <w:tr>
        <w:tc>
          <w:tcPr>
            <w:tcW w:w="3652"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Rashodi za administrativnu potporu iz vanjskih namjenskih prihoda Instrumenta Europske unije za oporavak</w:t>
            </w:r>
          </w:p>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18"/>
              </w:rPr>
              <w:t>Obveze = plaćanja</w:t>
            </w:r>
          </w:p>
        </w:tc>
        <w:tc>
          <w:tcPr>
            <w:tcW w:w="540"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14"/>
              </w:rPr>
              <w:t>(3)</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24,617 </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24,617 </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24,617 </w:t>
            </w:r>
          </w:p>
        </w:tc>
        <w:tc>
          <w:tcPr>
            <w:tcW w:w="976"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24,617 </w:t>
            </w:r>
          </w:p>
        </w:tc>
        <w:tc>
          <w:tcPr>
            <w:tcW w:w="1004"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24,617 </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19,611 </w:t>
            </w:r>
          </w:p>
        </w:tc>
        <w:tc>
          <w:tcPr>
            <w:tcW w:w="990"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19,611 </w:t>
            </w:r>
          </w:p>
        </w:tc>
        <w:tc>
          <w:tcPr>
            <w:tcW w:w="1127" w:type="dxa"/>
            <w:tcBorders>
              <w:top w:val="single" w:sz="4" w:space="0" w:color="auto"/>
              <w:left w:val="single" w:sz="4" w:space="0" w:color="auto"/>
              <w:bottom w:val="single" w:sz="4" w:space="0" w:color="auto"/>
              <w:right w:val="single" w:sz="4" w:space="0" w:color="auto"/>
            </w:tcBorders>
          </w:tcPr>
          <w:p>
            <w:pPr>
              <w:jc w:val="center"/>
              <w:rPr>
                <w:b/>
                <w:noProof/>
                <w:sz w:val="16"/>
                <w:szCs w:val="16"/>
              </w:rPr>
            </w:pPr>
            <w:r>
              <w:rPr>
                <w:noProof/>
                <w:sz w:val="16"/>
                <w:szCs w:val="16"/>
              </w:rPr>
              <w:t xml:space="preserve"> 162,308 </w:t>
            </w:r>
          </w:p>
        </w:tc>
      </w:tr>
      <w:tr>
        <w:tc>
          <w:tcPr>
            <w:tcW w:w="3652" w:type="dxa"/>
            <w:vMerge w:val="restart"/>
            <w:tcBorders>
              <w:top w:val="single" w:sz="4" w:space="0" w:color="auto"/>
              <w:left w:val="single" w:sz="4" w:space="0" w:color="auto"/>
              <w:right w:val="single" w:sz="4" w:space="0" w:color="auto"/>
            </w:tcBorders>
            <w:vAlign w:val="center"/>
          </w:tcPr>
          <w:p>
            <w:pPr>
              <w:jc w:val="center"/>
              <w:rPr>
                <w:noProof/>
                <w:sz w:val="22"/>
              </w:rPr>
            </w:pPr>
            <w:r>
              <w:rPr>
                <w:noProof/>
                <w:sz w:val="22"/>
              </w:rPr>
              <w:t>Ukupni vanjski namjenski prihodi</w:t>
            </w: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Obveze</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20"/>
              </w:rPr>
            </w:pPr>
            <w:r>
              <w:rPr>
                <w:noProof/>
                <w:sz w:val="14"/>
              </w:rPr>
              <w:t>=1+3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3 290,000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3 355,710 </w:t>
            </w:r>
          </w:p>
        </w:tc>
        <w:tc>
          <w:tcPr>
            <w:tcW w:w="990" w:type="dxa"/>
            <w:tcBorders>
              <w:top w:val="single" w:sz="4" w:space="0" w:color="auto"/>
              <w:left w:val="single" w:sz="4" w:space="0" w:color="auto"/>
              <w:bottom w:val="single" w:sz="4" w:space="0" w:color="auto"/>
              <w:right w:val="single" w:sz="4" w:space="0" w:color="auto"/>
            </w:tcBorders>
            <w:vAlign w:val="center"/>
          </w:tcPr>
          <w:p>
            <w:pPr>
              <w:rPr>
                <w:b/>
                <w:noProof/>
                <w:sz w:val="16"/>
                <w:szCs w:val="16"/>
              </w:rPr>
            </w:pPr>
            <w:r>
              <w:rPr>
                <w:noProof/>
                <w:sz w:val="16"/>
                <w:szCs w:val="16"/>
              </w:rPr>
              <w:t xml:space="preserve"> 2 298,680 </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2 344,680 </w:t>
            </w:r>
          </w:p>
        </w:tc>
        <w:tc>
          <w:tcPr>
            <w:tcW w:w="1004"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52,000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53,000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54,000 </w:t>
            </w: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11 448,070 </w:t>
            </w:r>
          </w:p>
        </w:tc>
      </w:tr>
      <w:tr>
        <w:tc>
          <w:tcPr>
            <w:tcW w:w="3652" w:type="dxa"/>
            <w:vMerge/>
            <w:tcBorders>
              <w:left w:val="single" w:sz="4" w:space="0" w:color="auto"/>
              <w:bottom w:val="single" w:sz="4" w:space="0" w:color="auto"/>
              <w:right w:val="single" w:sz="4" w:space="0" w:color="auto"/>
            </w:tcBorders>
            <w:vAlign w:val="center"/>
          </w:tcPr>
          <w:p>
            <w:pPr>
              <w:jc w:val="center"/>
              <w:rPr>
                <w:noProof/>
                <w:sz w:val="22"/>
              </w:rPr>
            </w:pPr>
          </w:p>
        </w:tc>
        <w:tc>
          <w:tcPr>
            <w:tcW w:w="1388" w:type="dxa"/>
            <w:tcBorders>
              <w:top w:val="single" w:sz="4" w:space="0" w:color="auto"/>
              <w:left w:val="single" w:sz="4" w:space="0" w:color="auto"/>
              <w:bottom w:val="single" w:sz="4" w:space="0" w:color="auto"/>
              <w:right w:val="single" w:sz="4" w:space="0" w:color="auto"/>
            </w:tcBorders>
          </w:tcPr>
          <w:p>
            <w:pPr>
              <w:rPr>
                <w:noProof/>
                <w:sz w:val="20"/>
              </w:rPr>
            </w:pPr>
            <w:r>
              <w:rPr>
                <w:noProof/>
                <w:sz w:val="20"/>
              </w:rPr>
              <w:t>Plaćanja</w:t>
            </w:r>
          </w:p>
        </w:tc>
        <w:tc>
          <w:tcPr>
            <w:tcW w:w="540" w:type="dxa"/>
            <w:tcBorders>
              <w:top w:val="single" w:sz="4" w:space="0" w:color="auto"/>
              <w:left w:val="single" w:sz="4" w:space="0" w:color="auto"/>
              <w:bottom w:val="single" w:sz="4" w:space="0" w:color="auto"/>
              <w:right w:val="single" w:sz="4" w:space="0" w:color="auto"/>
            </w:tcBorders>
          </w:tcPr>
          <w:p>
            <w:pPr>
              <w:jc w:val="center"/>
              <w:rPr>
                <w:noProof/>
                <w:sz w:val="14"/>
              </w:rPr>
            </w:pPr>
            <w:r>
              <w:rPr>
                <w:noProof/>
                <w:sz w:val="14"/>
              </w:rPr>
              <w:t>=2+3</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47,750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1 908,000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1 908,000 </w:t>
            </w:r>
          </w:p>
        </w:tc>
        <w:tc>
          <w:tcPr>
            <w:tcW w:w="976"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1 908,000 </w:t>
            </w:r>
          </w:p>
        </w:tc>
        <w:tc>
          <w:tcPr>
            <w:tcW w:w="1004" w:type="dxa"/>
            <w:tcBorders>
              <w:top w:val="single" w:sz="4" w:space="0" w:color="auto"/>
              <w:left w:val="single" w:sz="4" w:space="0" w:color="auto"/>
              <w:bottom w:val="single" w:sz="4" w:space="0" w:color="auto"/>
              <w:right w:val="single" w:sz="4" w:space="0" w:color="auto"/>
            </w:tcBorders>
            <w:vAlign w:val="center"/>
          </w:tcPr>
          <w:p>
            <w:pPr>
              <w:rPr>
                <w:b/>
                <w:noProof/>
                <w:sz w:val="16"/>
                <w:szCs w:val="16"/>
              </w:rPr>
            </w:pPr>
            <w:r>
              <w:rPr>
                <w:noProof/>
                <w:sz w:val="16"/>
                <w:szCs w:val="16"/>
              </w:rPr>
              <w:t xml:space="preserve"> 1 908,000 </w:t>
            </w:r>
          </w:p>
        </w:tc>
        <w:tc>
          <w:tcPr>
            <w:tcW w:w="990"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1 908,000 </w:t>
            </w:r>
          </w:p>
        </w:tc>
        <w:tc>
          <w:tcPr>
            <w:tcW w:w="990" w:type="dxa"/>
            <w:tcBorders>
              <w:top w:val="single" w:sz="4" w:space="0" w:color="auto"/>
              <w:left w:val="single" w:sz="4" w:space="0" w:color="auto"/>
              <w:bottom w:val="single" w:sz="4" w:space="0" w:color="auto"/>
              <w:right w:val="single" w:sz="4" w:space="0" w:color="auto"/>
            </w:tcBorders>
            <w:vAlign w:val="center"/>
          </w:tcPr>
          <w:p>
            <w:pPr>
              <w:rPr>
                <w:b/>
                <w:noProof/>
                <w:sz w:val="16"/>
                <w:szCs w:val="16"/>
              </w:rPr>
            </w:pPr>
            <w:r>
              <w:rPr>
                <w:noProof/>
                <w:sz w:val="16"/>
                <w:szCs w:val="16"/>
              </w:rPr>
              <w:t xml:space="preserve"> 1 860,320 </w:t>
            </w:r>
          </w:p>
        </w:tc>
        <w:tc>
          <w:tcPr>
            <w:tcW w:w="1127" w:type="dxa"/>
            <w:tcBorders>
              <w:top w:val="single" w:sz="4" w:space="0" w:color="auto"/>
              <w:left w:val="single" w:sz="4" w:space="0" w:color="auto"/>
              <w:bottom w:val="single" w:sz="4" w:space="0" w:color="auto"/>
              <w:right w:val="single" w:sz="4" w:space="0" w:color="auto"/>
            </w:tcBorders>
            <w:vAlign w:val="center"/>
          </w:tcPr>
          <w:p>
            <w:pPr>
              <w:jc w:val="center"/>
              <w:rPr>
                <w:b/>
                <w:noProof/>
                <w:sz w:val="16"/>
                <w:szCs w:val="16"/>
              </w:rPr>
            </w:pPr>
            <w:r>
              <w:rPr>
                <w:noProof/>
                <w:sz w:val="16"/>
                <w:szCs w:val="16"/>
              </w:rPr>
              <w:t xml:space="preserve"> 11 448,070 </w:t>
            </w:r>
          </w:p>
        </w:tc>
      </w:tr>
    </w:tbl>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Naslov višegodišnjeg financijskog </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„Administrativni rashodi”</w:t>
            </w:r>
          </w:p>
        </w:tc>
      </w:tr>
    </w:tbl>
    <w:p>
      <w:pPr>
        <w:jc w:val="left"/>
        <w:rPr>
          <w:noProof/>
          <w:color w:val="0000FF"/>
        </w:rPr>
      </w:pPr>
    </w:p>
    <w:p>
      <w:pPr>
        <w:jc w:val="left"/>
        <w:rPr>
          <w:noProof/>
        </w:rPr>
      </w:pPr>
    </w:p>
    <w:p>
      <w:pPr>
        <w:jc w:val="right"/>
        <w:rPr>
          <w:noProof/>
          <w:sz w:val="20"/>
        </w:rPr>
      </w:pPr>
      <w:r>
        <w:rPr>
          <w:noProof/>
          <w:sz w:val="20"/>
        </w:rPr>
        <w:t>U milijunima EUR (do 3 decimalna mjesta)</w:t>
      </w:r>
    </w:p>
    <w:tbl>
      <w:tblPr>
        <w:tblW w:w="13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291" w:type="dxa"/>
            <w:vAlign w:val="center"/>
          </w:tcPr>
          <w:p>
            <w:pPr>
              <w:jc w:val="center"/>
              <w:rPr>
                <w:b/>
                <w:noProof/>
                <w:sz w:val="20"/>
              </w:rPr>
            </w:pPr>
            <w:r>
              <w:rPr>
                <w:b/>
                <w:noProof/>
                <w:sz w:val="20"/>
              </w:rPr>
              <w:t>UKUPNO</w:t>
            </w:r>
          </w:p>
        </w:tc>
      </w:tr>
      <w:tr>
        <w:trPr>
          <w:trHeight w:val="313"/>
          <w:jc w:val="center"/>
        </w:trPr>
        <w:tc>
          <w:tcPr>
            <w:tcW w:w="6245" w:type="dxa"/>
            <w:gridSpan w:val="2"/>
            <w:vAlign w:val="center"/>
          </w:tcPr>
          <w:p>
            <w:pPr>
              <w:spacing w:before="20" w:after="20"/>
              <w:rPr>
                <w:noProof/>
              </w:rPr>
            </w:pPr>
            <w:r>
              <w:rPr>
                <w:noProof/>
                <w:sz w:val="22"/>
              </w:rPr>
              <w:t xml:space="preserve">Ljudski resursi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6245" w:type="dxa"/>
            <w:gridSpan w:val="2"/>
            <w:vAlign w:val="center"/>
          </w:tcPr>
          <w:p>
            <w:pPr>
              <w:spacing w:before="20" w:after="20"/>
              <w:rPr>
                <w:noProof/>
              </w:rPr>
            </w:pPr>
            <w:r>
              <w:rPr>
                <w:noProof/>
                <w:sz w:val="22"/>
              </w:rPr>
              <w:t xml:space="preserve">Ostali administrativni rashodi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UKUPNA odobrena sredstva</w:t>
            </w:r>
            <w:r>
              <w:rPr>
                <w:b/>
                <w:noProof/>
                <w:sz w:val="22"/>
              </w:rPr>
              <w:br/>
              <w:t>iz NASLOVA 7</w:t>
            </w:r>
            <w:r>
              <w:rPr>
                <w:b/>
                <w:noProof/>
                <w:sz w:val="22"/>
              </w:rPr>
              <w:br/>
              <w:t>višegodišnjeg financijskog okvira</w:t>
            </w:r>
          </w:p>
        </w:tc>
        <w:tc>
          <w:tcPr>
            <w:tcW w:w="2046" w:type="dxa"/>
            <w:vAlign w:val="center"/>
          </w:tcPr>
          <w:p>
            <w:pPr>
              <w:spacing w:before="20" w:after="20"/>
              <w:rPr>
                <w:noProof/>
                <w:sz w:val="22"/>
              </w:rPr>
            </w:pPr>
            <w:r>
              <w:rPr>
                <w:noProof/>
                <w:sz w:val="18"/>
              </w:rPr>
              <w:t>(Ukupne obveze = ukupna plaćanja)</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1291" w:type="dxa"/>
            <w:vAlign w:val="center"/>
          </w:tcPr>
          <w:p>
            <w:pPr>
              <w:spacing w:before="20" w:after="20"/>
              <w:jc w:val="right"/>
              <w:rPr>
                <w:b/>
                <w:noProof/>
                <w:sz w:val="20"/>
              </w:rPr>
            </w:pPr>
            <w:r>
              <w:rPr>
                <w:b/>
                <w:noProof/>
                <w:sz w:val="20"/>
              </w:rPr>
              <w:t>-</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keepNext/>
        <w:outlineLvl w:val="2"/>
        <w:rPr>
          <w:rFonts w:eastAsiaTheme="majorEastAsia"/>
          <w:i/>
          <w:noProof/>
          <w:szCs w:val="24"/>
        </w:rPr>
      </w:pPr>
      <w:r>
        <w:rPr>
          <w:bCs/>
          <w:i/>
          <w:noProof/>
        </w:rPr>
        <w:lastRenderedPageBreak/>
        <w:t>Sažetak procijenjenog učinka na administrativna odobrena sredstva</w:t>
      </w:r>
    </w:p>
    <w:p>
      <w:pPr>
        <w:rPr>
          <w:rFonts w:eastAsia="Times New Roman"/>
          <w:noProof/>
        </w:rPr>
      </w:pPr>
      <w:r>
        <w:rPr>
          <w:noProof/>
        </w:rPr>
        <w:sym w:font="Wingdings" w:char="F0A8"/>
      </w:r>
      <w:r>
        <w:rPr>
          <w:noProof/>
        </w:rPr>
        <w:tab/>
        <w:t xml:space="preserve">Za prijedlog/inicijativu nisu potrebna administrativna odobrena sredstva </w:t>
      </w:r>
    </w:p>
    <w:p>
      <w:pPr>
        <w:rPr>
          <w:rFonts w:eastAsia="Times New Roman"/>
          <w:noProof/>
        </w:rPr>
      </w:pPr>
      <w:r>
        <w:rPr>
          <w:noProof/>
        </w:rPr>
        <w:t>X</w:t>
      </w:r>
      <w:r>
        <w:rPr>
          <w:noProof/>
        </w:rPr>
        <w:tab/>
        <w:t>Za prijedlog/inicijativu potrebna su sljedeća administrativna odobrena sredstva:</w:t>
      </w:r>
    </w:p>
    <w:p>
      <w:pPr>
        <w:rPr>
          <w:noProof/>
          <w:sz w:val="20"/>
        </w:rPr>
      </w:pPr>
      <w:r>
        <w:rPr>
          <w:noProof/>
          <w:sz w:val="20"/>
        </w:rPr>
        <w:t>U milijunima EUR (do 3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Godine</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before="60" w:after="60" w:line="200" w:lineRule="exact"/>
              <w:jc w:val="center"/>
              <w:rPr>
                <w:b/>
                <w:noProof/>
                <w:sz w:val="20"/>
              </w:rPr>
            </w:pPr>
            <w:r>
              <w:rPr>
                <w:b/>
                <w:noProof/>
                <w:sz w:val="20"/>
              </w:rPr>
              <w:t>2025.</w:t>
            </w:r>
          </w:p>
        </w:tc>
        <w:tc>
          <w:tcPr>
            <w:tcW w:w="1080" w:type="dxa"/>
            <w:vAlign w:val="center"/>
          </w:tcPr>
          <w:p>
            <w:pPr>
              <w:spacing w:before="60" w:after="60" w:line="200" w:lineRule="exact"/>
              <w:jc w:val="center"/>
              <w:rPr>
                <w:b/>
                <w:noProof/>
                <w:sz w:val="20"/>
              </w:rPr>
            </w:pPr>
            <w:r>
              <w:rPr>
                <w:b/>
                <w:noProof/>
                <w:sz w:val="20"/>
              </w:rPr>
              <w:t>2026.</w:t>
            </w:r>
          </w:p>
        </w:tc>
        <w:tc>
          <w:tcPr>
            <w:tcW w:w="1080" w:type="dxa"/>
            <w:vAlign w:val="center"/>
          </w:tcPr>
          <w:p>
            <w:pPr>
              <w:spacing w:before="60" w:after="60" w:line="200" w:lineRule="exact"/>
              <w:jc w:val="center"/>
              <w:rPr>
                <w:b/>
                <w:noProof/>
                <w:sz w:val="20"/>
              </w:rPr>
            </w:pPr>
            <w:r>
              <w:rPr>
                <w:b/>
                <w:noProof/>
                <w:sz w:val="20"/>
              </w:rPr>
              <w:t>2027.</w:t>
            </w:r>
          </w:p>
        </w:tc>
        <w:tc>
          <w:tcPr>
            <w:tcW w:w="1080" w:type="dxa"/>
            <w:vAlign w:val="center"/>
          </w:tcPr>
          <w:p>
            <w:pPr>
              <w:spacing w:before="60" w:after="60" w:line="200" w:lineRule="exact"/>
              <w:jc w:val="center"/>
              <w:rPr>
                <w:b/>
                <w:noProof/>
                <w:sz w:val="16"/>
                <w:szCs w:val="16"/>
              </w:rPr>
            </w:pPr>
            <w:r>
              <w:rPr>
                <w:b/>
                <w:noProof/>
                <w:sz w:val="20"/>
              </w:rPr>
              <w:t>UKUPNO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7.</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NASLOVA 7.</w:t>
            </w:r>
            <w:r>
              <w:rPr>
                <w:noProof/>
                <w:sz w:val="22"/>
              </w:rPr>
              <w:br/>
            </w:r>
            <w:r>
              <w:rPr>
                <w:b/>
                <w:noProof/>
                <w:sz w:val="16"/>
              </w:rPr>
              <w:t>višegodišnjeg financijskog okvira</w:t>
            </w:r>
          </w:p>
        </w:tc>
        <w:tc>
          <w:tcPr>
            <w:tcW w:w="1080" w:type="dxa"/>
            <w:vAlign w:val="center"/>
          </w:tcPr>
          <w:p>
            <w:pPr>
              <w:spacing w:before="60" w:after="60" w:line="200" w:lineRule="exact"/>
              <w:jc w:val="center"/>
              <w:rPr>
                <w:noProof/>
                <w:sz w:val="16"/>
                <w:szCs w:val="16"/>
              </w:rPr>
            </w:pPr>
            <w:r>
              <w:rPr>
                <w:noProof/>
                <w:sz w:val="16"/>
                <w:szCs w:val="16"/>
              </w:rPr>
              <w:t>-</w:t>
            </w:r>
          </w:p>
        </w:tc>
        <w:tc>
          <w:tcPr>
            <w:tcW w:w="1080" w:type="dxa"/>
            <w:vAlign w:val="center"/>
          </w:tcPr>
          <w:p>
            <w:pPr>
              <w:spacing w:before="60" w:after="60" w:line="200" w:lineRule="exact"/>
              <w:jc w:val="center"/>
              <w:rPr>
                <w:noProof/>
                <w:sz w:val="16"/>
                <w:szCs w:val="16"/>
              </w:rPr>
            </w:pPr>
            <w:r>
              <w:rPr>
                <w:noProof/>
                <w:sz w:val="16"/>
                <w:szCs w:val="16"/>
              </w:rPr>
              <w:t>-</w:t>
            </w:r>
          </w:p>
        </w:tc>
        <w:tc>
          <w:tcPr>
            <w:tcW w:w="1080" w:type="dxa"/>
            <w:vAlign w:val="center"/>
          </w:tcPr>
          <w:p>
            <w:pPr>
              <w:spacing w:before="60" w:after="60" w:line="200" w:lineRule="exact"/>
              <w:jc w:val="center"/>
              <w:rPr>
                <w:noProof/>
                <w:sz w:val="16"/>
                <w:szCs w:val="16"/>
              </w:rPr>
            </w:pPr>
            <w:r>
              <w:rPr>
                <w:noProof/>
                <w:sz w:val="16"/>
                <w:szCs w:val="16"/>
              </w:rPr>
              <w:t>-</w:t>
            </w:r>
          </w:p>
        </w:tc>
        <w:tc>
          <w:tcPr>
            <w:tcW w:w="1080" w:type="dxa"/>
            <w:vAlign w:val="center"/>
          </w:tcPr>
          <w:p>
            <w:pPr>
              <w:spacing w:before="60" w:after="60" w:line="200" w:lineRule="exact"/>
              <w:jc w:val="center"/>
              <w:rPr>
                <w:noProof/>
                <w:sz w:val="16"/>
                <w:szCs w:val="16"/>
              </w:rPr>
            </w:pPr>
            <w:r>
              <w:rPr>
                <w:noProof/>
                <w:sz w:val="16"/>
                <w:szCs w:val="16"/>
              </w:rPr>
              <w:t>-</w:t>
            </w:r>
          </w:p>
        </w:tc>
        <w:tc>
          <w:tcPr>
            <w:tcW w:w="1080" w:type="dxa"/>
            <w:vAlign w:val="center"/>
          </w:tcPr>
          <w:p>
            <w:pPr>
              <w:spacing w:before="60" w:after="60" w:line="200" w:lineRule="exact"/>
              <w:jc w:val="center"/>
              <w:rPr>
                <w:noProof/>
                <w:sz w:val="16"/>
                <w:szCs w:val="16"/>
              </w:rPr>
            </w:pPr>
            <w:r>
              <w:rPr>
                <w:noProof/>
                <w:sz w:val="16"/>
                <w:szCs w:val="16"/>
              </w:rPr>
              <w:t>-</w:t>
            </w:r>
          </w:p>
        </w:tc>
        <w:tc>
          <w:tcPr>
            <w:tcW w:w="1080" w:type="dxa"/>
            <w:vAlign w:val="center"/>
          </w:tcPr>
          <w:p>
            <w:pPr>
              <w:spacing w:before="60" w:after="60" w:line="200" w:lineRule="exact"/>
              <w:jc w:val="center"/>
              <w:rPr>
                <w:noProof/>
                <w:sz w:val="16"/>
                <w:szCs w:val="16"/>
              </w:rPr>
            </w:pPr>
            <w:r>
              <w:rPr>
                <w:noProof/>
                <w:sz w:val="16"/>
                <w:szCs w:val="16"/>
              </w:rPr>
              <w:t>-</w:t>
            </w:r>
          </w:p>
        </w:tc>
        <w:tc>
          <w:tcPr>
            <w:tcW w:w="1080" w:type="dxa"/>
            <w:vAlign w:val="center"/>
          </w:tcPr>
          <w:p>
            <w:pPr>
              <w:spacing w:before="60" w:after="60" w:line="200" w:lineRule="exact"/>
              <w:jc w:val="center"/>
              <w:rPr>
                <w:b/>
                <w:noProof/>
                <w:sz w:val="16"/>
                <w:szCs w:val="16"/>
              </w:rPr>
            </w:pPr>
            <w:r>
              <w:rPr>
                <w:b/>
                <w:noProof/>
                <w:sz w:val="16"/>
                <w:szCs w:val="16"/>
              </w:rPr>
              <w:t>-</w:t>
            </w:r>
          </w:p>
        </w:tc>
        <w:tc>
          <w:tcPr>
            <w:tcW w:w="1080" w:type="dxa"/>
            <w:vAlign w:val="center"/>
          </w:tcPr>
          <w:p>
            <w:pPr>
              <w:spacing w:before="60" w:after="60" w:line="200" w:lineRule="exact"/>
              <w:jc w:val="center"/>
              <w:rPr>
                <w:b/>
                <w:noProof/>
                <w:sz w:val="16"/>
                <w:szCs w:val="16"/>
              </w:rPr>
            </w:pPr>
            <w:r>
              <w:rPr>
                <w:b/>
                <w:noProof/>
                <w:sz w:val="16"/>
                <w:szCs w:val="16"/>
              </w:rPr>
              <w: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szCs w:val="16"/>
              </w:rPr>
              <w:t>Izvan NASLOVA 7.</w:t>
            </w:r>
            <w:r>
              <w:rPr>
                <w:rStyle w:val="FootnoteReference"/>
                <w:noProof/>
              </w:rPr>
              <w:footnoteReference w:id="16"/>
            </w:r>
            <w:r>
              <w:rPr>
                <w:noProof/>
                <w:sz w:val="22"/>
              </w:rPr>
              <w:br/>
            </w:r>
            <w:r>
              <w:rPr>
                <w:b/>
                <w:noProof/>
                <w:sz w:val="16"/>
                <w:szCs w:val="16"/>
              </w:rPr>
              <w:t xml:space="preserve"> višegodišnjeg financijskog okvira</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 xml:space="preserve">Ljudski resursi – vanjski namjenski prihodi (istraživanje) </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6,000</w:t>
            </w:r>
          </w:p>
        </w:tc>
        <w:tc>
          <w:tcPr>
            <w:tcW w:w="1080" w:type="dxa"/>
            <w:vAlign w:val="center"/>
          </w:tcPr>
          <w:p>
            <w:pPr>
              <w:spacing w:before="60" w:after="60" w:line="200" w:lineRule="exact"/>
              <w:jc w:val="right"/>
              <w:rPr>
                <w:noProof/>
                <w:sz w:val="16"/>
                <w:szCs w:val="16"/>
              </w:rPr>
            </w:pPr>
            <w:r>
              <w:rPr>
                <w:noProof/>
                <w:sz w:val="16"/>
                <w:szCs w:val="16"/>
              </w:rPr>
              <w:t>4,800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1,600</w:t>
            </w:r>
          </w:p>
        </w:tc>
        <w:tc>
          <w:tcPr>
            <w:tcW w:w="1080" w:type="dxa"/>
            <w:vAlign w:val="center"/>
          </w:tcPr>
          <w:p>
            <w:pPr>
              <w:spacing w:before="60" w:after="60" w:line="200" w:lineRule="exact"/>
              <w:jc w:val="right"/>
              <w:rPr>
                <w:b/>
                <w:noProof/>
                <w:sz w:val="16"/>
                <w:szCs w:val="16"/>
              </w:rPr>
            </w:pPr>
            <w:r>
              <w:rPr>
                <w:noProof/>
                <w:sz w:val="16"/>
                <w:szCs w:val="16"/>
              </w:rPr>
              <w:t>1,200</w:t>
            </w:r>
          </w:p>
        </w:tc>
        <w:tc>
          <w:tcPr>
            <w:tcW w:w="1080" w:type="dxa"/>
            <w:vAlign w:val="center"/>
          </w:tcPr>
          <w:p>
            <w:pPr>
              <w:spacing w:before="60" w:after="60" w:line="200" w:lineRule="exact"/>
              <w:jc w:val="right"/>
              <w:rPr>
                <w:b/>
                <w:noProof/>
                <w:sz w:val="16"/>
                <w:szCs w:val="16"/>
              </w:rPr>
            </w:pPr>
            <w:r>
              <w:rPr>
                <w:noProof/>
                <w:sz w:val="16"/>
                <w:szCs w:val="16"/>
              </w:rPr>
              <w:t>28,000</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 xml:space="preserve">Ostali rashodi </w:t>
            </w:r>
            <w:r>
              <w:rPr>
                <w:noProof/>
                <w:sz w:val="22"/>
              </w:rPr>
              <w:br/>
            </w:r>
            <w:r>
              <w:rPr>
                <w:noProof/>
                <w:sz w:val="16"/>
                <w:szCs w:val="16"/>
              </w:rPr>
              <w:t xml:space="preserve">administrativne prirode – vanjski namjenski prihodi (istraživanje) </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120,980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191,680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126,110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101,590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48,600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35,400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36,800</w:t>
            </w:r>
          </w:p>
        </w:tc>
        <w:tc>
          <w:tcPr>
            <w:tcW w:w="1080" w:type="dxa"/>
          </w:tcPr>
          <w:p>
            <w:pPr>
              <w:spacing w:before="60" w:after="60" w:line="200" w:lineRule="exact"/>
              <w:jc w:val="right"/>
              <w:rPr>
                <w:noProof/>
                <w:sz w:val="16"/>
                <w:szCs w:val="16"/>
              </w:rPr>
            </w:pPr>
          </w:p>
          <w:p>
            <w:pPr>
              <w:spacing w:before="60" w:after="60" w:line="200" w:lineRule="exact"/>
              <w:jc w:val="right"/>
              <w:rPr>
                <w:noProof/>
                <w:sz w:val="16"/>
                <w:szCs w:val="16"/>
              </w:rPr>
            </w:pPr>
            <w:r>
              <w:rPr>
                <w:noProof/>
                <w:sz w:val="16"/>
                <w:szCs w:val="16"/>
              </w:rPr>
              <w:t>661,160</w:t>
            </w:r>
          </w:p>
        </w:tc>
      </w:tr>
      <w:tr>
        <w:trPr>
          <w:trHeight w:val="585"/>
        </w:trPr>
        <w:tc>
          <w:tcPr>
            <w:tcW w:w="1980" w:type="dxa"/>
            <w:vAlign w:val="center"/>
          </w:tcPr>
          <w:p>
            <w:pPr>
              <w:spacing w:before="60" w:after="60" w:line="200" w:lineRule="exact"/>
              <w:ind w:left="72"/>
              <w:jc w:val="left"/>
              <w:rPr>
                <w:noProof/>
                <w:sz w:val="16"/>
              </w:rPr>
            </w:pPr>
            <w:r>
              <w:rPr>
                <w:noProof/>
                <w:sz w:val="16"/>
              </w:rPr>
              <w:t>Međuzbroj vanjskih namjenskih prihoda (istraživanje)</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126,980</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197,680</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132,110</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106,390</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51,000</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37,000</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noProof/>
                <w:sz w:val="16"/>
                <w:szCs w:val="16"/>
              </w:rPr>
            </w:pPr>
            <w:r>
              <w:rPr>
                <w:b/>
                <w:noProof/>
                <w:sz w:val="18"/>
                <w:szCs w:val="18"/>
              </w:rPr>
              <w:t>38,000</w:t>
            </w:r>
          </w:p>
        </w:tc>
        <w:tc>
          <w:tcPr>
            <w:tcW w:w="1080" w:type="dxa"/>
            <w:vAlign w:val="center"/>
          </w:tcPr>
          <w:p>
            <w:pPr>
              <w:spacing w:before="60" w:after="60" w:line="200" w:lineRule="exact"/>
              <w:jc w:val="right"/>
              <w:rPr>
                <w:noProof/>
                <w:sz w:val="16"/>
                <w:szCs w:val="16"/>
              </w:rPr>
            </w:pPr>
            <w:r>
              <w:rPr>
                <w:b/>
                <w:noProof/>
                <w:sz w:val="18"/>
                <w:szCs w:val="18"/>
              </w:rPr>
              <w:t>689,160</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Ljudski resursi – vanjski namjenski prihodi (nisu povezani s istraživanjem) – NDICI</w:t>
            </w:r>
          </w:p>
        </w:tc>
        <w:tc>
          <w:tcPr>
            <w:tcW w:w="1080" w:type="dxa"/>
          </w:tcPr>
          <w:p>
            <w:pPr>
              <w:spacing w:before="60" w:after="60" w:line="200" w:lineRule="exact"/>
              <w:jc w:val="right"/>
              <w:rPr>
                <w:noProof/>
                <w:sz w:val="16"/>
                <w:szCs w:val="16"/>
              </w:rPr>
            </w:pPr>
            <w:r>
              <w:rPr>
                <w:noProof/>
                <w:sz w:val="16"/>
                <w:szCs w:val="16"/>
              </w:rPr>
              <w:t xml:space="preserve"> 16,440 </w:t>
            </w:r>
          </w:p>
        </w:tc>
        <w:tc>
          <w:tcPr>
            <w:tcW w:w="1080" w:type="dxa"/>
          </w:tcPr>
          <w:p>
            <w:pPr>
              <w:spacing w:before="60" w:after="60" w:line="200" w:lineRule="exact"/>
              <w:jc w:val="right"/>
              <w:rPr>
                <w:noProof/>
                <w:sz w:val="16"/>
                <w:szCs w:val="16"/>
              </w:rPr>
            </w:pPr>
            <w:r>
              <w:rPr>
                <w:noProof/>
                <w:sz w:val="16"/>
                <w:szCs w:val="16"/>
              </w:rPr>
              <w:t xml:space="preserve"> 16,440 </w:t>
            </w:r>
          </w:p>
        </w:tc>
        <w:tc>
          <w:tcPr>
            <w:tcW w:w="1080" w:type="dxa"/>
          </w:tcPr>
          <w:p>
            <w:pPr>
              <w:spacing w:before="60" w:after="60" w:line="200" w:lineRule="exact"/>
              <w:jc w:val="right"/>
              <w:rPr>
                <w:noProof/>
                <w:sz w:val="16"/>
                <w:szCs w:val="16"/>
              </w:rPr>
            </w:pPr>
            <w:r>
              <w:rPr>
                <w:noProof/>
                <w:sz w:val="16"/>
                <w:szCs w:val="16"/>
              </w:rPr>
              <w:t xml:space="preserve"> 16,440 </w:t>
            </w:r>
          </w:p>
        </w:tc>
        <w:tc>
          <w:tcPr>
            <w:tcW w:w="1080" w:type="dxa"/>
          </w:tcPr>
          <w:p>
            <w:pPr>
              <w:spacing w:before="60" w:after="60" w:line="200" w:lineRule="exact"/>
              <w:jc w:val="right"/>
              <w:rPr>
                <w:noProof/>
                <w:sz w:val="16"/>
                <w:szCs w:val="16"/>
              </w:rPr>
            </w:pPr>
            <w:r>
              <w:rPr>
                <w:noProof/>
                <w:sz w:val="16"/>
                <w:szCs w:val="16"/>
              </w:rPr>
              <w:t xml:space="preserve"> 16,440 </w:t>
            </w:r>
          </w:p>
        </w:tc>
        <w:tc>
          <w:tcPr>
            <w:tcW w:w="1080" w:type="dxa"/>
          </w:tcPr>
          <w:p>
            <w:pPr>
              <w:spacing w:before="60" w:after="60" w:line="200" w:lineRule="exact"/>
              <w:jc w:val="right"/>
              <w:rPr>
                <w:noProof/>
                <w:sz w:val="16"/>
                <w:szCs w:val="16"/>
              </w:rPr>
            </w:pPr>
            <w:r>
              <w:rPr>
                <w:noProof/>
                <w:sz w:val="16"/>
                <w:szCs w:val="16"/>
              </w:rPr>
              <w:t xml:space="preserve"> 16,440 </w:t>
            </w:r>
          </w:p>
        </w:tc>
        <w:tc>
          <w:tcPr>
            <w:tcW w:w="1080" w:type="dxa"/>
          </w:tcPr>
          <w:p>
            <w:pPr>
              <w:spacing w:before="60" w:after="60" w:line="200" w:lineRule="exact"/>
              <w:jc w:val="right"/>
              <w:rPr>
                <w:noProof/>
                <w:sz w:val="16"/>
                <w:szCs w:val="16"/>
              </w:rPr>
            </w:pPr>
            <w:r>
              <w:rPr>
                <w:noProof/>
                <w:sz w:val="16"/>
                <w:szCs w:val="16"/>
              </w:rPr>
              <w:t xml:space="preserve"> 11,434 </w:t>
            </w:r>
          </w:p>
        </w:tc>
        <w:tc>
          <w:tcPr>
            <w:tcW w:w="1080" w:type="dxa"/>
          </w:tcPr>
          <w:p>
            <w:pPr>
              <w:spacing w:before="60" w:after="60" w:line="200" w:lineRule="exact"/>
              <w:jc w:val="right"/>
              <w:rPr>
                <w:noProof/>
                <w:sz w:val="16"/>
                <w:szCs w:val="16"/>
              </w:rPr>
            </w:pPr>
            <w:r>
              <w:rPr>
                <w:noProof/>
                <w:sz w:val="16"/>
                <w:szCs w:val="16"/>
              </w:rPr>
              <w:t xml:space="preserve"> 11,434 </w:t>
            </w:r>
          </w:p>
        </w:tc>
        <w:tc>
          <w:tcPr>
            <w:tcW w:w="1080" w:type="dxa"/>
          </w:tcPr>
          <w:p>
            <w:pPr>
              <w:spacing w:before="60" w:after="60" w:line="200" w:lineRule="exact"/>
              <w:jc w:val="right"/>
              <w:rPr>
                <w:noProof/>
                <w:sz w:val="16"/>
                <w:szCs w:val="16"/>
              </w:rPr>
            </w:pPr>
            <w:r>
              <w:rPr>
                <w:noProof/>
                <w:sz w:val="16"/>
                <w:szCs w:val="16"/>
              </w:rPr>
              <w:t xml:space="preserve">  105,068 </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Ostali rashodi</w:t>
            </w:r>
            <w:r>
              <w:rPr>
                <w:noProof/>
                <w:sz w:val="22"/>
              </w:rPr>
              <w:br/>
            </w:r>
            <w:r>
              <w:rPr>
                <w:noProof/>
                <w:sz w:val="16"/>
                <w:szCs w:val="16"/>
              </w:rPr>
              <w:t>administrativne prirode – vanjski namjenski prihodi (nisu povezani s istraživanjem) – NDICI</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8,177 </w:t>
            </w:r>
          </w:p>
        </w:tc>
        <w:tc>
          <w:tcPr>
            <w:tcW w:w="1080" w:type="dxa"/>
          </w:tcPr>
          <w:p>
            <w:pPr>
              <w:spacing w:before="60" w:after="60" w:line="200" w:lineRule="exact"/>
              <w:jc w:val="right"/>
              <w:rPr>
                <w:noProof/>
                <w:sz w:val="16"/>
                <w:szCs w:val="16"/>
              </w:rPr>
            </w:pPr>
            <w:r>
              <w:rPr>
                <w:noProof/>
                <w:sz w:val="16"/>
                <w:szCs w:val="16"/>
              </w:rPr>
              <w:t xml:space="preserve"> 57,240 </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Ljudski resursi – vanjski namjenski prihodi (nisu povezani s istraživanjem) – EPFRR</w:t>
            </w:r>
          </w:p>
        </w:tc>
        <w:tc>
          <w:tcPr>
            <w:tcW w:w="1080" w:type="dxa"/>
            <w:vAlign w:val="center"/>
          </w:tcPr>
          <w:p>
            <w:pPr>
              <w:spacing w:before="60" w:after="60" w:line="200" w:lineRule="exact"/>
              <w:jc w:val="right"/>
              <w:rPr>
                <w:noProof/>
                <w:sz w:val="16"/>
                <w:szCs w:val="16"/>
              </w:rPr>
            </w:pPr>
            <w:r>
              <w:rPr>
                <w:noProof/>
                <w:sz w:val="16"/>
                <w:szCs w:val="16"/>
              </w:rPr>
              <w:t>0,000</w:t>
            </w:r>
          </w:p>
        </w:tc>
        <w:tc>
          <w:tcPr>
            <w:tcW w:w="1080" w:type="dxa"/>
            <w:vAlign w:val="center"/>
          </w:tcPr>
          <w:p>
            <w:pPr>
              <w:spacing w:before="60" w:after="60" w:line="200" w:lineRule="exact"/>
              <w:jc w:val="right"/>
              <w:rPr>
                <w:noProof/>
                <w:sz w:val="16"/>
                <w:szCs w:val="16"/>
              </w:rPr>
            </w:pPr>
            <w:r>
              <w:rPr>
                <w:noProof/>
                <w:sz w:val="16"/>
                <w:szCs w:val="16"/>
              </w:rPr>
              <w:t>0,720</w:t>
            </w:r>
          </w:p>
        </w:tc>
        <w:tc>
          <w:tcPr>
            <w:tcW w:w="1080" w:type="dxa"/>
            <w:vAlign w:val="center"/>
          </w:tcPr>
          <w:p>
            <w:pPr>
              <w:spacing w:before="60" w:after="60" w:line="200" w:lineRule="exact"/>
              <w:jc w:val="right"/>
              <w:rPr>
                <w:noProof/>
                <w:sz w:val="16"/>
                <w:szCs w:val="16"/>
              </w:rPr>
            </w:pPr>
            <w:r>
              <w:rPr>
                <w:noProof/>
                <w:sz w:val="16"/>
                <w:szCs w:val="16"/>
              </w:rPr>
              <w:t>0,720</w:t>
            </w:r>
          </w:p>
        </w:tc>
        <w:tc>
          <w:tcPr>
            <w:tcW w:w="1080" w:type="dxa"/>
            <w:vAlign w:val="center"/>
          </w:tcPr>
          <w:p>
            <w:pPr>
              <w:spacing w:before="60" w:after="60" w:line="200" w:lineRule="exact"/>
              <w:jc w:val="right"/>
              <w:rPr>
                <w:noProof/>
                <w:sz w:val="16"/>
                <w:szCs w:val="16"/>
              </w:rPr>
            </w:pPr>
            <w:r>
              <w:rPr>
                <w:noProof/>
                <w:sz w:val="16"/>
                <w:szCs w:val="16"/>
              </w:rPr>
              <w:t>0,720</w:t>
            </w:r>
          </w:p>
        </w:tc>
        <w:tc>
          <w:tcPr>
            <w:tcW w:w="1080" w:type="dxa"/>
            <w:vAlign w:val="center"/>
          </w:tcPr>
          <w:p>
            <w:pPr>
              <w:spacing w:before="60" w:after="60" w:line="200" w:lineRule="exact"/>
              <w:jc w:val="right"/>
              <w:rPr>
                <w:noProof/>
                <w:sz w:val="16"/>
                <w:szCs w:val="16"/>
              </w:rPr>
            </w:pPr>
            <w:r>
              <w:rPr>
                <w:noProof/>
                <w:sz w:val="16"/>
                <w:szCs w:val="16"/>
              </w:rPr>
              <w:t>0,720</w:t>
            </w:r>
          </w:p>
        </w:tc>
        <w:tc>
          <w:tcPr>
            <w:tcW w:w="1080" w:type="dxa"/>
            <w:vAlign w:val="center"/>
          </w:tcPr>
          <w:p>
            <w:pPr>
              <w:spacing w:before="60" w:after="60" w:line="200" w:lineRule="exact"/>
              <w:jc w:val="right"/>
              <w:rPr>
                <w:noProof/>
                <w:sz w:val="16"/>
                <w:szCs w:val="16"/>
              </w:rPr>
            </w:pPr>
            <w:r>
              <w:rPr>
                <w:noProof/>
                <w:sz w:val="16"/>
                <w:szCs w:val="16"/>
              </w:rPr>
              <w:t>0,720</w:t>
            </w:r>
          </w:p>
        </w:tc>
        <w:tc>
          <w:tcPr>
            <w:tcW w:w="1080" w:type="dxa"/>
            <w:vAlign w:val="center"/>
          </w:tcPr>
          <w:p>
            <w:pPr>
              <w:spacing w:before="60" w:after="60" w:line="200" w:lineRule="exact"/>
              <w:jc w:val="right"/>
              <w:rPr>
                <w:noProof/>
                <w:sz w:val="16"/>
                <w:szCs w:val="16"/>
              </w:rPr>
            </w:pPr>
            <w:r>
              <w:rPr>
                <w:noProof/>
                <w:sz w:val="16"/>
                <w:szCs w:val="16"/>
              </w:rPr>
              <w:t>0,000</w:t>
            </w:r>
          </w:p>
        </w:tc>
        <w:tc>
          <w:tcPr>
            <w:tcW w:w="1080" w:type="dxa"/>
            <w:vAlign w:val="center"/>
          </w:tcPr>
          <w:p>
            <w:pPr>
              <w:spacing w:before="60" w:after="60" w:line="200" w:lineRule="exact"/>
              <w:jc w:val="right"/>
              <w:rPr>
                <w:noProof/>
                <w:sz w:val="16"/>
                <w:szCs w:val="16"/>
              </w:rPr>
            </w:pPr>
            <w:r>
              <w:rPr>
                <w:noProof/>
                <w:sz w:val="16"/>
                <w:szCs w:val="16"/>
              </w:rPr>
              <w:t>3,600</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Ostali rashodi</w:t>
            </w:r>
            <w:r>
              <w:rPr>
                <w:noProof/>
                <w:sz w:val="22"/>
              </w:rPr>
              <w:br/>
            </w:r>
            <w:r>
              <w:rPr>
                <w:noProof/>
                <w:sz w:val="16"/>
                <w:szCs w:val="16"/>
              </w:rPr>
              <w:t>administrativne prirode – vanjski namjenski prihodi (nisu povezani s istraživanjem) – EPFRR</w:t>
            </w:r>
          </w:p>
        </w:tc>
        <w:tc>
          <w:tcPr>
            <w:tcW w:w="1080" w:type="dxa"/>
            <w:vAlign w:val="center"/>
          </w:tcPr>
          <w:p>
            <w:pPr>
              <w:spacing w:before="60" w:after="60" w:line="200" w:lineRule="exact"/>
              <w:jc w:val="right"/>
              <w:rPr>
                <w:noProof/>
                <w:sz w:val="16"/>
                <w:szCs w:val="16"/>
              </w:rPr>
            </w:pPr>
            <w:r>
              <w:rPr>
                <w:noProof/>
                <w:sz w:val="16"/>
                <w:szCs w:val="16"/>
              </w:rPr>
              <w:t>0,000</w:t>
            </w:r>
          </w:p>
        </w:tc>
        <w:tc>
          <w:tcPr>
            <w:tcW w:w="1080" w:type="dxa"/>
            <w:vAlign w:val="center"/>
          </w:tcPr>
          <w:p>
            <w:pPr>
              <w:spacing w:before="60" w:after="60" w:line="200" w:lineRule="exact"/>
              <w:jc w:val="right"/>
              <w:rPr>
                <w:noProof/>
                <w:sz w:val="16"/>
                <w:szCs w:val="16"/>
              </w:rPr>
            </w:pPr>
            <w:r>
              <w:rPr>
                <w:noProof/>
                <w:sz w:val="16"/>
                <w:szCs w:val="16"/>
              </w:rPr>
              <w:t>0,280</w:t>
            </w:r>
          </w:p>
        </w:tc>
        <w:tc>
          <w:tcPr>
            <w:tcW w:w="1080" w:type="dxa"/>
            <w:vAlign w:val="center"/>
          </w:tcPr>
          <w:p>
            <w:pPr>
              <w:spacing w:before="60" w:after="60" w:line="200" w:lineRule="exact"/>
              <w:jc w:val="right"/>
              <w:rPr>
                <w:noProof/>
                <w:sz w:val="16"/>
                <w:szCs w:val="16"/>
              </w:rPr>
            </w:pPr>
            <w:r>
              <w:rPr>
                <w:noProof/>
                <w:sz w:val="16"/>
                <w:szCs w:val="16"/>
              </w:rPr>
              <w:t>0,280</w:t>
            </w:r>
          </w:p>
        </w:tc>
        <w:tc>
          <w:tcPr>
            <w:tcW w:w="1080" w:type="dxa"/>
            <w:vAlign w:val="center"/>
          </w:tcPr>
          <w:p>
            <w:pPr>
              <w:spacing w:before="60" w:after="60" w:line="200" w:lineRule="exact"/>
              <w:jc w:val="right"/>
              <w:rPr>
                <w:noProof/>
                <w:sz w:val="16"/>
                <w:szCs w:val="16"/>
              </w:rPr>
            </w:pPr>
            <w:r>
              <w:rPr>
                <w:noProof/>
                <w:sz w:val="16"/>
                <w:szCs w:val="16"/>
              </w:rPr>
              <w:t>0,280</w:t>
            </w:r>
          </w:p>
        </w:tc>
        <w:tc>
          <w:tcPr>
            <w:tcW w:w="1080" w:type="dxa"/>
            <w:vAlign w:val="center"/>
          </w:tcPr>
          <w:p>
            <w:pPr>
              <w:spacing w:before="60" w:after="60" w:line="200" w:lineRule="exact"/>
              <w:jc w:val="right"/>
              <w:rPr>
                <w:noProof/>
                <w:sz w:val="16"/>
                <w:szCs w:val="16"/>
              </w:rPr>
            </w:pPr>
            <w:r>
              <w:rPr>
                <w:noProof/>
                <w:sz w:val="16"/>
                <w:szCs w:val="16"/>
              </w:rPr>
              <w:t>0,280</w:t>
            </w:r>
          </w:p>
        </w:tc>
        <w:tc>
          <w:tcPr>
            <w:tcW w:w="1080" w:type="dxa"/>
            <w:vAlign w:val="center"/>
          </w:tcPr>
          <w:p>
            <w:pPr>
              <w:spacing w:before="60" w:after="60" w:line="200" w:lineRule="exact"/>
              <w:jc w:val="right"/>
              <w:rPr>
                <w:noProof/>
                <w:sz w:val="16"/>
                <w:szCs w:val="16"/>
              </w:rPr>
            </w:pPr>
            <w:r>
              <w:rPr>
                <w:noProof/>
                <w:sz w:val="16"/>
                <w:szCs w:val="16"/>
              </w:rPr>
              <w:t>0,280</w:t>
            </w:r>
          </w:p>
        </w:tc>
        <w:tc>
          <w:tcPr>
            <w:tcW w:w="1080" w:type="dxa"/>
            <w:vAlign w:val="center"/>
          </w:tcPr>
          <w:p>
            <w:pPr>
              <w:spacing w:before="60" w:after="60" w:line="200" w:lineRule="exact"/>
              <w:jc w:val="right"/>
              <w:rPr>
                <w:noProof/>
                <w:sz w:val="16"/>
                <w:szCs w:val="16"/>
              </w:rPr>
            </w:pPr>
            <w:r>
              <w:rPr>
                <w:noProof/>
                <w:sz w:val="16"/>
                <w:szCs w:val="16"/>
              </w:rPr>
              <w:t>1,000</w:t>
            </w:r>
          </w:p>
        </w:tc>
        <w:tc>
          <w:tcPr>
            <w:tcW w:w="1080" w:type="dxa"/>
            <w:vAlign w:val="center"/>
          </w:tcPr>
          <w:p>
            <w:pPr>
              <w:spacing w:before="60" w:after="60" w:line="200" w:lineRule="exact"/>
              <w:jc w:val="right"/>
              <w:rPr>
                <w:noProof/>
                <w:sz w:val="16"/>
                <w:szCs w:val="16"/>
              </w:rPr>
            </w:pPr>
            <w:r>
              <w:rPr>
                <w:noProof/>
                <w:sz w:val="16"/>
                <w:szCs w:val="16"/>
              </w:rPr>
              <w:t>2,400</w:t>
            </w:r>
          </w:p>
        </w:tc>
      </w:tr>
      <w:tr>
        <w:trPr>
          <w:trHeight w:val="585"/>
        </w:trPr>
        <w:tc>
          <w:tcPr>
            <w:tcW w:w="1980" w:type="dxa"/>
            <w:vAlign w:val="center"/>
          </w:tcPr>
          <w:p>
            <w:pPr>
              <w:spacing w:before="60" w:after="60" w:line="200" w:lineRule="exact"/>
              <w:ind w:left="72"/>
              <w:jc w:val="left"/>
              <w:rPr>
                <w:noProof/>
                <w:sz w:val="16"/>
              </w:rPr>
            </w:pPr>
            <w:r>
              <w:rPr>
                <w:noProof/>
                <w:sz w:val="16"/>
              </w:rPr>
              <w:lastRenderedPageBreak/>
              <w:t>Međuzbroj vanjskih namjenskih prihoda (nisu povezani s istraživanjem)</w:t>
            </w:r>
          </w:p>
        </w:tc>
        <w:tc>
          <w:tcPr>
            <w:tcW w:w="1080" w:type="dxa"/>
            <w:vAlign w:val="bottom"/>
          </w:tcPr>
          <w:p>
            <w:pPr>
              <w:spacing w:before="60" w:after="60" w:line="200" w:lineRule="exact"/>
              <w:rPr>
                <w:noProof/>
                <w:sz w:val="16"/>
                <w:szCs w:val="16"/>
              </w:rPr>
            </w:pPr>
            <w:r>
              <w:rPr>
                <w:rFonts w:ascii="Calibri" w:hAnsi="Calibri"/>
                <w:noProof/>
                <w:sz w:val="22"/>
              </w:rPr>
              <w:t>24,617</w:t>
            </w:r>
          </w:p>
        </w:tc>
        <w:tc>
          <w:tcPr>
            <w:tcW w:w="1080" w:type="dxa"/>
            <w:vAlign w:val="bottom"/>
          </w:tcPr>
          <w:p>
            <w:pPr>
              <w:spacing w:before="60" w:after="60" w:line="200" w:lineRule="exact"/>
              <w:rPr>
                <w:noProof/>
                <w:sz w:val="16"/>
                <w:szCs w:val="16"/>
              </w:rPr>
            </w:pPr>
            <w:r>
              <w:rPr>
                <w:rFonts w:ascii="Calibri" w:hAnsi="Calibri"/>
                <w:noProof/>
                <w:sz w:val="22"/>
              </w:rPr>
              <w:t>25,617</w:t>
            </w:r>
          </w:p>
        </w:tc>
        <w:tc>
          <w:tcPr>
            <w:tcW w:w="1080" w:type="dxa"/>
            <w:vAlign w:val="bottom"/>
          </w:tcPr>
          <w:p>
            <w:pPr>
              <w:spacing w:before="60" w:after="60" w:line="200" w:lineRule="exact"/>
              <w:rPr>
                <w:noProof/>
                <w:sz w:val="16"/>
                <w:szCs w:val="16"/>
              </w:rPr>
            </w:pPr>
            <w:r>
              <w:rPr>
                <w:rFonts w:ascii="Calibri" w:hAnsi="Calibri"/>
                <w:noProof/>
                <w:sz w:val="22"/>
              </w:rPr>
              <w:t>25,617</w:t>
            </w:r>
          </w:p>
        </w:tc>
        <w:tc>
          <w:tcPr>
            <w:tcW w:w="1080" w:type="dxa"/>
            <w:vAlign w:val="bottom"/>
          </w:tcPr>
          <w:p>
            <w:pPr>
              <w:spacing w:before="60" w:after="60" w:line="200" w:lineRule="exact"/>
              <w:rPr>
                <w:noProof/>
                <w:sz w:val="16"/>
                <w:szCs w:val="16"/>
              </w:rPr>
            </w:pPr>
            <w:r>
              <w:rPr>
                <w:rFonts w:ascii="Calibri" w:hAnsi="Calibri"/>
                <w:noProof/>
                <w:sz w:val="22"/>
              </w:rPr>
              <w:t>25,617</w:t>
            </w:r>
          </w:p>
        </w:tc>
        <w:tc>
          <w:tcPr>
            <w:tcW w:w="1080" w:type="dxa"/>
            <w:vAlign w:val="bottom"/>
          </w:tcPr>
          <w:p>
            <w:pPr>
              <w:spacing w:before="60" w:after="60" w:line="200" w:lineRule="exact"/>
              <w:rPr>
                <w:noProof/>
                <w:sz w:val="16"/>
                <w:szCs w:val="16"/>
              </w:rPr>
            </w:pPr>
            <w:r>
              <w:rPr>
                <w:rFonts w:ascii="Calibri" w:hAnsi="Calibri"/>
                <w:noProof/>
                <w:sz w:val="22"/>
              </w:rPr>
              <w:t>25,617</w:t>
            </w:r>
          </w:p>
        </w:tc>
        <w:tc>
          <w:tcPr>
            <w:tcW w:w="1080" w:type="dxa"/>
            <w:vAlign w:val="bottom"/>
          </w:tcPr>
          <w:p>
            <w:pPr>
              <w:spacing w:before="60" w:after="60" w:line="200" w:lineRule="exact"/>
              <w:rPr>
                <w:noProof/>
                <w:sz w:val="16"/>
                <w:szCs w:val="16"/>
              </w:rPr>
            </w:pPr>
            <w:r>
              <w:rPr>
                <w:rFonts w:ascii="Calibri" w:hAnsi="Calibri"/>
                <w:noProof/>
                <w:sz w:val="22"/>
              </w:rPr>
              <w:t>20,611</w:t>
            </w:r>
          </w:p>
        </w:tc>
        <w:tc>
          <w:tcPr>
            <w:tcW w:w="1080" w:type="dxa"/>
            <w:vAlign w:val="bottom"/>
          </w:tcPr>
          <w:p>
            <w:pPr>
              <w:spacing w:before="60" w:after="60" w:line="200" w:lineRule="exact"/>
              <w:rPr>
                <w:noProof/>
                <w:sz w:val="16"/>
                <w:szCs w:val="16"/>
              </w:rPr>
            </w:pPr>
            <w:r>
              <w:rPr>
                <w:rFonts w:ascii="Calibri" w:hAnsi="Calibri"/>
                <w:noProof/>
                <w:sz w:val="22"/>
              </w:rPr>
              <w:t>20,611</w:t>
            </w:r>
          </w:p>
        </w:tc>
        <w:tc>
          <w:tcPr>
            <w:tcW w:w="1080" w:type="dxa"/>
            <w:vAlign w:val="bottom"/>
          </w:tcPr>
          <w:p>
            <w:pPr>
              <w:spacing w:before="60" w:after="60" w:line="200" w:lineRule="exact"/>
              <w:rPr>
                <w:noProof/>
                <w:sz w:val="16"/>
                <w:szCs w:val="16"/>
              </w:rPr>
            </w:pPr>
            <w:r>
              <w:rPr>
                <w:rFonts w:ascii="Calibri" w:hAnsi="Calibri"/>
                <w:noProof/>
                <w:sz w:val="22"/>
              </w:rPr>
              <w:t>168,307</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Međuzbroj </w:t>
            </w:r>
            <w:r>
              <w:rPr>
                <w:noProof/>
                <w:sz w:val="22"/>
              </w:rPr>
              <w:br/>
            </w:r>
            <w:r>
              <w:rPr>
                <w:b/>
                <w:noProof/>
                <w:sz w:val="16"/>
              </w:rPr>
              <w:t>Izvan NASLOVA 7.</w:t>
            </w:r>
            <w:r>
              <w:rPr>
                <w:noProof/>
                <w:sz w:val="22"/>
              </w:rPr>
              <w:br/>
            </w:r>
            <w:r>
              <w:rPr>
                <w:b/>
                <w:noProof/>
                <w:sz w:val="16"/>
              </w:rPr>
              <w:t xml:space="preserve">višegodišnjeg financijskog okvira </w:t>
            </w:r>
          </w:p>
        </w:tc>
        <w:tc>
          <w:tcPr>
            <w:tcW w:w="1080" w:type="dxa"/>
            <w:vAlign w:val="bottom"/>
          </w:tcPr>
          <w:p>
            <w:pPr>
              <w:spacing w:before="60" w:after="60" w:line="200" w:lineRule="exact"/>
              <w:jc w:val="right"/>
              <w:rPr>
                <w:noProof/>
                <w:sz w:val="16"/>
                <w:szCs w:val="16"/>
              </w:rPr>
            </w:pPr>
            <w:r>
              <w:rPr>
                <w:rFonts w:ascii="Calibri" w:hAnsi="Calibri"/>
                <w:noProof/>
                <w:sz w:val="22"/>
              </w:rPr>
              <w:t>151,597</w:t>
            </w:r>
          </w:p>
        </w:tc>
        <w:tc>
          <w:tcPr>
            <w:tcW w:w="1080" w:type="dxa"/>
            <w:vAlign w:val="bottom"/>
          </w:tcPr>
          <w:p>
            <w:pPr>
              <w:spacing w:before="60" w:after="60" w:line="200" w:lineRule="exact"/>
              <w:rPr>
                <w:noProof/>
                <w:sz w:val="16"/>
                <w:szCs w:val="16"/>
              </w:rPr>
            </w:pPr>
            <w:r>
              <w:rPr>
                <w:rFonts w:ascii="Calibri" w:hAnsi="Calibri"/>
                <w:noProof/>
                <w:sz w:val="22"/>
              </w:rPr>
              <w:t>223,297</w:t>
            </w:r>
          </w:p>
        </w:tc>
        <w:tc>
          <w:tcPr>
            <w:tcW w:w="1080" w:type="dxa"/>
            <w:vAlign w:val="bottom"/>
          </w:tcPr>
          <w:p>
            <w:pPr>
              <w:spacing w:before="60" w:after="60" w:line="200" w:lineRule="exact"/>
              <w:rPr>
                <w:noProof/>
                <w:sz w:val="16"/>
                <w:szCs w:val="16"/>
              </w:rPr>
            </w:pPr>
            <w:r>
              <w:rPr>
                <w:rFonts w:ascii="Calibri" w:hAnsi="Calibri"/>
                <w:noProof/>
                <w:sz w:val="22"/>
              </w:rPr>
              <w:t>157,727</w:t>
            </w:r>
          </w:p>
        </w:tc>
        <w:tc>
          <w:tcPr>
            <w:tcW w:w="1080" w:type="dxa"/>
            <w:vAlign w:val="bottom"/>
          </w:tcPr>
          <w:p>
            <w:pPr>
              <w:spacing w:before="60" w:after="60" w:line="200" w:lineRule="exact"/>
              <w:rPr>
                <w:noProof/>
                <w:sz w:val="16"/>
                <w:szCs w:val="16"/>
              </w:rPr>
            </w:pPr>
            <w:r>
              <w:rPr>
                <w:rFonts w:ascii="Calibri" w:hAnsi="Calibri"/>
                <w:noProof/>
                <w:sz w:val="22"/>
              </w:rPr>
              <w:t>132,007</w:t>
            </w:r>
          </w:p>
        </w:tc>
        <w:tc>
          <w:tcPr>
            <w:tcW w:w="1080" w:type="dxa"/>
            <w:vAlign w:val="bottom"/>
          </w:tcPr>
          <w:p>
            <w:pPr>
              <w:spacing w:before="60" w:after="60" w:line="200" w:lineRule="exact"/>
              <w:rPr>
                <w:noProof/>
                <w:sz w:val="16"/>
                <w:szCs w:val="16"/>
              </w:rPr>
            </w:pPr>
            <w:r>
              <w:rPr>
                <w:rFonts w:ascii="Calibri" w:hAnsi="Calibri"/>
                <w:noProof/>
                <w:sz w:val="22"/>
              </w:rPr>
              <w:t>76,617</w:t>
            </w:r>
          </w:p>
        </w:tc>
        <w:tc>
          <w:tcPr>
            <w:tcW w:w="1080" w:type="dxa"/>
            <w:vAlign w:val="bottom"/>
          </w:tcPr>
          <w:p>
            <w:pPr>
              <w:spacing w:before="60" w:after="60" w:line="200" w:lineRule="exact"/>
              <w:rPr>
                <w:noProof/>
                <w:sz w:val="16"/>
                <w:szCs w:val="16"/>
              </w:rPr>
            </w:pPr>
            <w:r>
              <w:rPr>
                <w:rFonts w:ascii="Calibri" w:hAnsi="Calibri"/>
                <w:noProof/>
                <w:sz w:val="22"/>
              </w:rPr>
              <w:t>57,611</w:t>
            </w:r>
          </w:p>
        </w:tc>
        <w:tc>
          <w:tcPr>
            <w:tcW w:w="1080" w:type="dxa"/>
            <w:vAlign w:val="bottom"/>
          </w:tcPr>
          <w:p>
            <w:pPr>
              <w:spacing w:before="60" w:after="60" w:line="200" w:lineRule="exact"/>
              <w:jc w:val="right"/>
              <w:rPr>
                <w:b/>
                <w:noProof/>
                <w:sz w:val="16"/>
                <w:szCs w:val="16"/>
              </w:rPr>
            </w:pPr>
            <w:r>
              <w:rPr>
                <w:rFonts w:ascii="Calibri" w:hAnsi="Calibri"/>
                <w:noProof/>
                <w:sz w:val="22"/>
              </w:rPr>
              <w:t>58,611</w:t>
            </w:r>
          </w:p>
        </w:tc>
        <w:tc>
          <w:tcPr>
            <w:tcW w:w="1080" w:type="dxa"/>
            <w:vAlign w:val="bottom"/>
          </w:tcPr>
          <w:p>
            <w:pPr>
              <w:spacing w:before="60" w:after="60" w:line="200" w:lineRule="exact"/>
              <w:rPr>
                <w:b/>
                <w:noProof/>
                <w:sz w:val="16"/>
                <w:szCs w:val="16"/>
              </w:rPr>
            </w:pPr>
            <w:r>
              <w:rPr>
                <w:rFonts w:ascii="Calibri" w:hAnsi="Calibri"/>
                <w:noProof/>
                <w:sz w:val="22"/>
              </w:rPr>
              <w:t>857,467</w:t>
            </w:r>
          </w:p>
        </w:tc>
      </w:tr>
    </w:tbl>
    <w:p>
      <w:pPr>
        <w:spacing w:line="200" w:lineRule="exact"/>
        <w:rPr>
          <w:noProof/>
          <w:sz w:val="16"/>
          <w:szCs w:val="16"/>
        </w:rPr>
      </w:pPr>
    </w:p>
    <w:p>
      <w:pPr>
        <w:rPr>
          <w:noProof/>
          <w:sz w:val="18"/>
          <w:szCs w:val="18"/>
        </w:rPr>
      </w:pPr>
      <w:r>
        <w:rPr>
          <w:noProof/>
          <w:sz w:val="18"/>
          <w:szCs w:val="18"/>
        </w:rPr>
        <w:t>Potrebna odobrena sredstva za ljudske resurse i ostale administrativne rashode pokrit će se odobrenim sredstvima glavne uprave koja su već dodijeljena za upravljanje djelovanjem i/ili su preraspodijeljena unutar glavne uprave te, prema potrebi, dodatnim sredstvima koja se mogu dodijeliti nadležnoj glavnoj upravi u okviru godišnjeg postupka dodjele sredstava uzimajući u obzir proračunska ograničenja. Dodatno osoblje bit će samo vanjsko osoblje koje će se financirati isključivo iz namjenskih prihoda.</w:t>
      </w:r>
    </w:p>
    <w:p>
      <w:pPr>
        <w:keepNext/>
        <w:outlineLvl w:val="3"/>
        <w:rPr>
          <w:rFonts w:eastAsiaTheme="majorEastAsia"/>
          <w:iCs/>
          <w:noProof/>
          <w:szCs w:val="24"/>
        </w:rPr>
      </w:pPr>
      <w:r>
        <w:rPr>
          <w:noProof/>
        </w:rPr>
        <w:t>Procijenjene potrebe u pogledu ljudskih resursa</w:t>
      </w:r>
    </w:p>
    <w:p>
      <w:pPr>
        <w:rPr>
          <w:rFonts w:eastAsia="Times New Roman"/>
          <w:noProof/>
        </w:rPr>
      </w:pPr>
      <w:r>
        <w:rPr>
          <w:noProof/>
        </w:rPr>
        <w:sym w:font="Wingdings" w:char="F0A8"/>
      </w:r>
      <w:r>
        <w:rPr>
          <w:noProof/>
        </w:rPr>
        <w:tab/>
        <w:t xml:space="preserve">Za prijedlog/inicijativu nisu potrebni ljudski resursi. </w:t>
      </w:r>
    </w:p>
    <w:p>
      <w:pPr>
        <w:rPr>
          <w:rFonts w:eastAsia="Times New Roman"/>
          <w:noProof/>
        </w:rPr>
      </w:pPr>
      <w:r>
        <w:rPr>
          <w:noProof/>
        </w:rPr>
        <w:sym w:font="Wingdings" w:char="F0FE"/>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i/>
                <w:noProof/>
                <w:sz w:val="16"/>
                <w:szCs w:val="16"/>
              </w:rPr>
            </w:pPr>
            <w:r>
              <w:rPr>
                <w:b/>
                <w:noProof/>
                <w:sz w:val="16"/>
                <w:szCs w:val="16"/>
              </w:rPr>
              <w:t>Godine</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Radna mjesta prema planu radnih mjesta (dužnosnici i privremeno osoblje)</w:t>
            </w:r>
          </w:p>
        </w:tc>
      </w:tr>
      <w:tr>
        <w:trPr>
          <w:trHeight w:val="289"/>
        </w:trPr>
        <w:tc>
          <w:tcPr>
            <w:tcW w:w="1472" w:type="pct"/>
            <w:gridSpan w:val="2"/>
          </w:tcPr>
          <w:p>
            <w:pPr>
              <w:spacing w:beforeLines="20" w:before="48" w:afterLines="20" w:after="48"/>
              <w:ind w:left="134"/>
              <w:jc w:val="left"/>
              <w:rPr>
                <w:b/>
                <w:noProof/>
                <w:sz w:val="16"/>
                <w:szCs w:val="16"/>
              </w:rPr>
            </w:pPr>
            <w:r>
              <w:rPr>
                <w:noProof/>
                <w:sz w:val="16"/>
                <w:szCs w:val="16"/>
              </w:rPr>
              <w:t>Sjedište i predstavništva Komisije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4"/>
              <w:jc w:val="left"/>
              <w:rPr>
                <w:noProof/>
                <w:sz w:val="16"/>
                <w:szCs w:val="16"/>
              </w:rPr>
            </w:pPr>
            <w:r>
              <w:rPr>
                <w:noProof/>
                <w:sz w:val="16"/>
                <w:szCs w:val="16"/>
              </w:rPr>
              <w:t>Delegacije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4"/>
              <w:jc w:val="left"/>
              <w:rPr>
                <w:noProof/>
                <w:sz w:val="16"/>
                <w:szCs w:val="16"/>
              </w:rPr>
            </w:pPr>
            <w:r>
              <w:rPr>
                <w:noProof/>
                <w:sz w:val="16"/>
                <w:szCs w:val="16"/>
              </w:rPr>
              <w:t>Istraživanje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spacing w:before="60" w:after="60"/>
              <w:jc w:val="left"/>
              <w:rPr>
                <w:b/>
                <w:noProof/>
                <w:sz w:val="16"/>
                <w:szCs w:val="16"/>
              </w:rPr>
            </w:pPr>
            <w:r>
              <w:rPr>
                <w:b/>
                <w:noProof/>
                <w:sz w:val="16"/>
              </w:rPr>
              <w:sym w:font="Wingdings" w:char="F09F"/>
            </w:r>
            <w:r>
              <w:rPr>
                <w:b/>
                <w:noProof/>
                <w:sz w:val="16"/>
                <w:szCs w:val="16"/>
              </w:rPr>
              <w:t xml:space="preserve"> Vanjsko osoblje (u ekvivalentu punog radnog vremena: EPRV) - UO, LO, UNS, UsO i MSD</w:t>
            </w:r>
            <w:r>
              <w:rPr>
                <w:noProof/>
                <w:sz w:val="16"/>
                <w:szCs w:val="16"/>
              </w:rPr>
              <w:t xml:space="preserve"> </w:t>
            </w:r>
            <w:r>
              <w:rPr>
                <w:rStyle w:val="FootnoteReference"/>
                <w:noProof/>
              </w:rPr>
              <w:footnoteReference w:id="17"/>
            </w:r>
          </w:p>
          <w:p>
            <w:pPr>
              <w:spacing w:before="0" w:after="0"/>
              <w:jc w:val="left"/>
              <w:rPr>
                <w:noProof/>
                <w:sz w:val="16"/>
                <w:szCs w:val="16"/>
              </w:rPr>
            </w:pPr>
            <w:r>
              <w:rPr>
                <w:noProof/>
                <w:sz w:val="16"/>
                <w:szCs w:val="16"/>
              </w:rPr>
              <w:t>Naslov 7.</w:t>
            </w:r>
          </w:p>
        </w:tc>
      </w:tr>
      <w:tr>
        <w:trPr>
          <w:trHeight w:val="485"/>
        </w:trPr>
        <w:tc>
          <w:tcPr>
            <w:tcW w:w="735" w:type="pct"/>
            <w:vMerge w:val="restart"/>
            <w:vAlign w:val="center"/>
          </w:tcPr>
          <w:p>
            <w:pPr>
              <w:spacing w:beforeLines="20" w:before="48" w:afterLines="20" w:after="48"/>
              <w:ind w:left="136"/>
              <w:jc w:val="left"/>
              <w:rPr>
                <w:b/>
                <w:noProof/>
                <w:sz w:val="16"/>
                <w:szCs w:val="16"/>
              </w:rPr>
            </w:pPr>
            <w:r>
              <w:rPr>
                <w:noProof/>
                <w:sz w:val="16"/>
                <w:szCs w:val="16"/>
              </w:rPr>
              <w:t>Financirano iz NASLOVA 7. višegodišnjeg financijskog okvira</w:t>
            </w:r>
            <w:r>
              <w:rPr>
                <w:b/>
                <w:noProof/>
                <w:sz w:val="16"/>
                <w:szCs w:val="16"/>
              </w:rPr>
              <w:t xml:space="preserve"> </w:t>
            </w:r>
          </w:p>
        </w:tc>
        <w:tc>
          <w:tcPr>
            <w:tcW w:w="737" w:type="pct"/>
            <w:vAlign w:val="center"/>
          </w:tcPr>
          <w:p>
            <w:pPr>
              <w:spacing w:beforeLines="20" w:before="48" w:afterLines="20" w:after="48"/>
              <w:ind w:left="136"/>
              <w:jc w:val="left"/>
              <w:rPr>
                <w:b/>
                <w:noProof/>
                <w:sz w:val="16"/>
                <w:szCs w:val="16"/>
              </w:rPr>
            </w:pPr>
            <w:r>
              <w:rPr>
                <w:noProof/>
                <w:sz w:val="16"/>
                <w:szCs w:val="16"/>
              </w:rPr>
              <w:t>— u sjedištima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spacing w:beforeLines="20" w:before="48" w:afterLines="20" w:after="48"/>
              <w:ind w:left="136"/>
              <w:jc w:val="left"/>
              <w:rPr>
                <w:noProof/>
                <w:sz w:val="16"/>
                <w:szCs w:val="16"/>
              </w:rPr>
            </w:pPr>
          </w:p>
        </w:tc>
        <w:tc>
          <w:tcPr>
            <w:tcW w:w="737" w:type="pct"/>
            <w:vAlign w:val="center"/>
          </w:tcPr>
          <w:p>
            <w:pPr>
              <w:spacing w:beforeLines="20" w:before="48" w:afterLines="20" w:after="48"/>
              <w:ind w:left="136"/>
              <w:jc w:val="left"/>
              <w:rPr>
                <w:noProof/>
                <w:sz w:val="16"/>
                <w:szCs w:val="16"/>
              </w:rPr>
            </w:pPr>
            <w:r>
              <w:rPr>
                <w:noProof/>
                <w:sz w:val="16"/>
                <w:szCs w:val="16"/>
              </w:rPr>
              <w:t xml:space="preserve">— u delegacijama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spacing w:beforeLines="20" w:before="48" w:afterLines="20" w:after="48"/>
              <w:ind w:left="136"/>
              <w:jc w:val="left"/>
              <w:rPr>
                <w:b/>
                <w:noProof/>
                <w:sz w:val="16"/>
                <w:szCs w:val="16"/>
              </w:rPr>
            </w:pPr>
            <w:r>
              <w:rPr>
                <w:noProof/>
                <w:sz w:val="16"/>
                <w:szCs w:val="16"/>
              </w:rPr>
              <w:t>Financirano iz omotnice programa</w:t>
            </w:r>
            <w:r>
              <w:rPr>
                <w:b/>
                <w:noProof/>
                <w:sz w:val="16"/>
                <w:szCs w:val="16"/>
              </w:rPr>
              <w:t xml:space="preserve"> </w:t>
            </w:r>
            <w:r>
              <w:rPr>
                <w:rStyle w:val="FootnoteReference"/>
                <w:noProof/>
              </w:rPr>
              <w:footnoteReference w:id="18"/>
            </w:r>
          </w:p>
        </w:tc>
        <w:tc>
          <w:tcPr>
            <w:tcW w:w="737" w:type="pct"/>
            <w:shd w:val="clear" w:color="auto" w:fill="auto"/>
            <w:vAlign w:val="center"/>
          </w:tcPr>
          <w:p>
            <w:pPr>
              <w:spacing w:beforeLines="20" w:before="48" w:afterLines="20" w:after="48"/>
              <w:ind w:left="136"/>
              <w:jc w:val="left"/>
              <w:rPr>
                <w:b/>
                <w:noProof/>
                <w:sz w:val="16"/>
                <w:szCs w:val="16"/>
              </w:rPr>
            </w:pPr>
            <w:r>
              <w:rPr>
                <w:noProof/>
                <w:sz w:val="16"/>
                <w:szCs w:val="16"/>
              </w:rPr>
              <w:t>— u sjedištima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spacing w:beforeLines="20" w:before="48" w:afterLines="20" w:after="48"/>
              <w:ind w:left="136"/>
              <w:jc w:val="left"/>
              <w:rPr>
                <w:b/>
                <w:noProof/>
                <w:sz w:val="16"/>
                <w:szCs w:val="16"/>
              </w:rPr>
            </w:pPr>
          </w:p>
        </w:tc>
        <w:tc>
          <w:tcPr>
            <w:tcW w:w="737" w:type="pct"/>
            <w:shd w:val="clear" w:color="auto" w:fill="auto"/>
            <w:vAlign w:val="center"/>
          </w:tcPr>
          <w:p>
            <w:pPr>
              <w:spacing w:beforeLines="20" w:before="48" w:afterLines="20" w:after="48"/>
              <w:ind w:left="136"/>
              <w:jc w:val="left"/>
              <w:rPr>
                <w:b/>
                <w:noProof/>
                <w:sz w:val="16"/>
                <w:szCs w:val="16"/>
              </w:rPr>
            </w:pPr>
            <w:r>
              <w:rPr>
                <w:noProof/>
                <w:sz w:val="16"/>
                <w:szCs w:val="16"/>
              </w:rPr>
              <w:t xml:space="preserve">— u delegacijama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6"/>
              <w:jc w:val="left"/>
              <w:rPr>
                <w:noProof/>
                <w:sz w:val="16"/>
                <w:szCs w:val="16"/>
              </w:rPr>
            </w:pPr>
            <w:r>
              <w:rPr>
                <w:noProof/>
                <w:sz w:val="16"/>
                <w:szCs w:val="16"/>
              </w:rPr>
              <w:t>Ostalo: vanjski namjenski prihodi (istraživanje)</w:t>
            </w:r>
            <w:r>
              <w:rPr>
                <w:rStyle w:val="FootnoteReference"/>
                <w:noProof/>
                <w:sz w:val="16"/>
                <w:szCs w:val="16"/>
              </w:rPr>
              <w:footnoteReference w:id="19"/>
            </w:r>
            <w:r>
              <w:rPr>
                <w:noProof/>
                <w:sz w:val="16"/>
                <w:szCs w:val="16"/>
              </w:rPr>
              <w:t xml:space="preserve"> </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75</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75</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75</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60</w:t>
            </w: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30</w:t>
            </w: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20</w:t>
            </w: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15</w:t>
            </w:r>
          </w:p>
        </w:tc>
      </w:tr>
      <w:tr>
        <w:trPr>
          <w:trHeight w:val="289"/>
        </w:trPr>
        <w:tc>
          <w:tcPr>
            <w:tcW w:w="1472" w:type="pct"/>
            <w:gridSpan w:val="2"/>
            <w:tcBorders>
              <w:bottom w:val="double" w:sz="4" w:space="0" w:color="auto"/>
            </w:tcBorders>
          </w:tcPr>
          <w:p>
            <w:pPr>
              <w:spacing w:beforeLines="20" w:before="48" w:afterLines="20" w:after="48"/>
              <w:ind w:left="134"/>
              <w:jc w:val="left"/>
              <w:rPr>
                <w:noProof/>
                <w:sz w:val="16"/>
                <w:szCs w:val="16"/>
              </w:rPr>
            </w:pPr>
            <w:r>
              <w:rPr>
                <w:noProof/>
                <w:sz w:val="16"/>
                <w:szCs w:val="16"/>
              </w:rPr>
              <w:t>Ostalo: vanjski namjenski prihodi (nisu povezani s istraživanjem) – NDICI</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150</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150</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150</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150</w:t>
            </w: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150</w:t>
            </w: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105</w:t>
            </w: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105</w:t>
            </w:r>
          </w:p>
        </w:tc>
      </w:tr>
      <w:tr>
        <w:trPr>
          <w:trHeight w:val="289"/>
        </w:trPr>
        <w:tc>
          <w:tcPr>
            <w:tcW w:w="1472" w:type="pct"/>
            <w:gridSpan w:val="2"/>
            <w:tcBorders>
              <w:bottom w:val="double" w:sz="4" w:space="0" w:color="auto"/>
            </w:tcBorders>
          </w:tcPr>
          <w:p>
            <w:pPr>
              <w:spacing w:beforeLines="20" w:before="48" w:afterLines="20" w:after="48"/>
              <w:ind w:left="134"/>
              <w:jc w:val="left"/>
              <w:rPr>
                <w:noProof/>
                <w:sz w:val="16"/>
                <w:szCs w:val="16"/>
              </w:rPr>
            </w:pPr>
            <w:r>
              <w:rPr>
                <w:noProof/>
                <w:sz w:val="16"/>
                <w:szCs w:val="16"/>
              </w:rPr>
              <w:t>Ostalo: vanjski namjenski prihodi (nisu povezani s istraživanjem) – EPFRR</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0</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9</w:t>
            </w: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noProof/>
                <w:sz w:val="16"/>
                <w:szCs w:val="16"/>
              </w:rPr>
            </w:pPr>
            <w:r>
              <w:rPr>
                <w:b/>
                <w:noProof/>
                <w:sz w:val="16"/>
                <w:szCs w:val="16"/>
              </w:rPr>
              <w:t>UKUPNO</w:t>
            </w:r>
          </w:p>
        </w:tc>
        <w:tc>
          <w:tcPr>
            <w:tcW w:w="466" w:type="pct"/>
            <w:tcBorders>
              <w:top w:val="double" w:sz="4" w:space="0" w:color="auto"/>
            </w:tcBorders>
            <w:shd w:val="clear" w:color="auto" w:fill="auto"/>
          </w:tcPr>
          <w:p>
            <w:pPr>
              <w:spacing w:beforeLines="20" w:before="48" w:afterLines="20" w:after="48"/>
              <w:rPr>
                <w:b/>
                <w:noProof/>
                <w:sz w:val="16"/>
                <w:szCs w:val="16"/>
              </w:rPr>
            </w:pPr>
            <w:r>
              <w:rPr>
                <w:noProof/>
              </w:rPr>
              <w:t>225</w:t>
            </w:r>
          </w:p>
        </w:tc>
        <w:tc>
          <w:tcPr>
            <w:tcW w:w="534" w:type="pct"/>
            <w:tcBorders>
              <w:top w:val="double" w:sz="4" w:space="0" w:color="auto"/>
            </w:tcBorders>
            <w:shd w:val="clear" w:color="auto" w:fill="auto"/>
          </w:tcPr>
          <w:p>
            <w:pPr>
              <w:spacing w:beforeLines="20" w:before="48" w:afterLines="20" w:after="48"/>
              <w:rPr>
                <w:b/>
                <w:noProof/>
                <w:sz w:val="16"/>
                <w:szCs w:val="16"/>
              </w:rPr>
            </w:pPr>
            <w:r>
              <w:rPr>
                <w:noProof/>
              </w:rPr>
              <w:t>234</w:t>
            </w:r>
          </w:p>
        </w:tc>
        <w:tc>
          <w:tcPr>
            <w:tcW w:w="466" w:type="pct"/>
            <w:tcBorders>
              <w:top w:val="double" w:sz="4" w:space="0" w:color="auto"/>
            </w:tcBorders>
            <w:shd w:val="clear" w:color="auto" w:fill="auto"/>
          </w:tcPr>
          <w:p>
            <w:pPr>
              <w:spacing w:beforeLines="20" w:before="48" w:afterLines="20" w:after="48"/>
              <w:rPr>
                <w:b/>
                <w:noProof/>
                <w:sz w:val="16"/>
                <w:szCs w:val="16"/>
              </w:rPr>
            </w:pPr>
            <w:r>
              <w:rPr>
                <w:noProof/>
              </w:rPr>
              <w:t>234</w:t>
            </w:r>
          </w:p>
        </w:tc>
        <w:tc>
          <w:tcPr>
            <w:tcW w:w="534" w:type="pct"/>
            <w:tcBorders>
              <w:top w:val="double" w:sz="4" w:space="0" w:color="auto"/>
            </w:tcBorders>
            <w:shd w:val="clear" w:color="auto" w:fill="auto"/>
          </w:tcPr>
          <w:p>
            <w:pPr>
              <w:spacing w:beforeLines="20" w:before="48" w:afterLines="20" w:after="48"/>
              <w:rPr>
                <w:b/>
                <w:noProof/>
                <w:sz w:val="16"/>
                <w:szCs w:val="16"/>
              </w:rPr>
            </w:pPr>
            <w:r>
              <w:rPr>
                <w:noProof/>
              </w:rPr>
              <w:t>219</w:t>
            </w:r>
          </w:p>
        </w:tc>
        <w:tc>
          <w:tcPr>
            <w:tcW w:w="533" w:type="pct"/>
            <w:tcBorders>
              <w:top w:val="double" w:sz="4" w:space="0" w:color="auto"/>
            </w:tcBorders>
            <w:shd w:val="clear" w:color="auto" w:fill="auto"/>
          </w:tcPr>
          <w:p>
            <w:pPr>
              <w:spacing w:beforeLines="20" w:before="48" w:afterLines="20" w:after="48"/>
              <w:rPr>
                <w:b/>
                <w:noProof/>
                <w:sz w:val="16"/>
                <w:szCs w:val="16"/>
              </w:rPr>
            </w:pPr>
            <w:r>
              <w:rPr>
                <w:noProof/>
              </w:rPr>
              <w:t>189</w:t>
            </w:r>
          </w:p>
        </w:tc>
        <w:tc>
          <w:tcPr>
            <w:tcW w:w="468" w:type="pct"/>
            <w:tcBorders>
              <w:top w:val="double" w:sz="4" w:space="0" w:color="auto"/>
            </w:tcBorders>
            <w:shd w:val="clear" w:color="auto" w:fill="auto"/>
          </w:tcPr>
          <w:p>
            <w:pPr>
              <w:spacing w:beforeLines="20" w:before="48" w:afterLines="20" w:after="48"/>
              <w:rPr>
                <w:b/>
                <w:noProof/>
                <w:sz w:val="16"/>
                <w:szCs w:val="16"/>
              </w:rPr>
            </w:pPr>
            <w:r>
              <w:rPr>
                <w:noProof/>
              </w:rPr>
              <w:t>134</w:t>
            </w:r>
          </w:p>
        </w:tc>
        <w:tc>
          <w:tcPr>
            <w:tcW w:w="527" w:type="pct"/>
            <w:tcBorders>
              <w:top w:val="double" w:sz="4" w:space="0" w:color="auto"/>
            </w:tcBorders>
            <w:shd w:val="clear" w:color="auto" w:fill="auto"/>
          </w:tcPr>
          <w:p>
            <w:pPr>
              <w:spacing w:beforeLines="20" w:before="48" w:afterLines="20" w:after="48"/>
              <w:rPr>
                <w:b/>
                <w:noProof/>
                <w:sz w:val="16"/>
                <w:szCs w:val="16"/>
              </w:rPr>
            </w:pPr>
            <w:r>
              <w:rPr>
                <w:noProof/>
              </w:rPr>
              <w:t>120</w:t>
            </w:r>
          </w:p>
        </w:tc>
      </w:tr>
    </w:tbl>
    <w:p>
      <w:pPr>
        <w:ind w:left="850"/>
        <w:rPr>
          <w:noProof/>
          <w:sz w:val="18"/>
          <w:szCs w:val="18"/>
        </w:rPr>
      </w:pPr>
      <w:r>
        <w:rPr>
          <w:noProof/>
          <w:sz w:val="18"/>
          <w:szCs w:val="18"/>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r>
        <w:rPr>
          <w:noProof/>
        </w:rPr>
        <w:t xml:space="preserve"> </w:t>
      </w:r>
      <w:r>
        <w:rPr>
          <w:noProof/>
          <w:sz w:val="18"/>
          <w:szCs w:val="18"/>
        </w:rPr>
        <w:t>Dodatno osoblje bit će samo vanjsko osoblje koje će se financirati isključivo iz namjenskih prihoda.</w:t>
      </w:r>
    </w:p>
    <w:p>
      <w:pPr>
        <w:rPr>
          <w:noProof/>
          <w:sz w:val="20"/>
        </w:rPr>
      </w:pPr>
      <w:r>
        <w:rPr>
          <w:noProof/>
          <w:sz w:val="20"/>
        </w:rPr>
        <w:t>Opis zadaća:</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spacing w:before="60" w:after="60"/>
              <w:rPr>
                <w:noProof/>
                <w:sz w:val="20"/>
              </w:rPr>
            </w:pPr>
            <w:r>
              <w:rPr>
                <w:noProof/>
                <w:sz w:val="20"/>
              </w:rPr>
              <w:lastRenderedPageBreak/>
              <w:t>Vanjsko osoblje</w:t>
            </w:r>
          </w:p>
        </w:tc>
        <w:tc>
          <w:tcPr>
            <w:tcW w:w="7392" w:type="dxa"/>
          </w:tcPr>
          <w:p>
            <w:pPr>
              <w:rPr>
                <w:noProof/>
                <w:sz w:val="20"/>
              </w:rPr>
            </w:pPr>
            <w:r>
              <w:rPr>
                <w:noProof/>
                <w:sz w:val="20"/>
              </w:rPr>
              <w:t xml:space="preserve">Vanjsko osoblje pomagat će dužnosnicima i privremenom osoblju u doprinosu provedbi mjera navedenih u Uredbi ERI koje se trebaju provesti u okviru relevantnih programa. </w:t>
            </w:r>
          </w:p>
        </w:tc>
      </w:tr>
    </w:tbl>
    <w:p>
      <w:pPr>
        <w:rPr>
          <w:noProof/>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p>
    <w:p>
      <w:pPr>
        <w:rPr>
          <w:noProof/>
        </w:rPr>
      </w:pPr>
    </w:p>
    <w:p>
      <w:pPr>
        <w:keepNext/>
        <w:outlineLvl w:val="1"/>
        <w:rPr>
          <w:rFonts w:eastAsiaTheme="majorEastAsia"/>
          <w:b/>
          <w:noProof/>
          <w:szCs w:val="24"/>
        </w:rPr>
      </w:pPr>
      <w:r>
        <w:rPr>
          <w:b/>
          <w:bCs/>
          <w:noProof/>
          <w:szCs w:val="26"/>
        </w:rPr>
        <w:t xml:space="preserve">Procijenjeni učinak na prihode </w:t>
      </w:r>
    </w:p>
    <w:p>
      <w:pPr>
        <w:rPr>
          <w:rFonts w:eastAsia="Times New Roman"/>
          <w:noProof/>
        </w:rPr>
      </w:pPr>
      <w:r>
        <w:rPr>
          <w:noProof/>
        </w:rPr>
        <w:t>X</w:t>
      </w:r>
      <w:r>
        <w:rPr>
          <w:noProof/>
        </w:rPr>
        <w:tab/>
        <w:t>Prijedlog/inicijativa nema financijski učinak na prihode.</w:t>
      </w:r>
    </w:p>
    <w:p>
      <w:pPr>
        <w:rPr>
          <w:rFonts w:eastAsia="Times New Roman"/>
          <w:noProof/>
        </w:rPr>
      </w:pPr>
      <w:r>
        <w:rPr>
          <w:noProof/>
        </w:rPr>
        <w:sym w:font="Wingdings" w:char="F0A8"/>
      </w:r>
      <w:r>
        <w:rPr>
          <w:noProof/>
        </w:rPr>
        <w:tab/>
        <w:t>Prijedlog/inicijativa ima sljedeći financijski učinak:</w:t>
      </w:r>
    </w:p>
    <w:p>
      <w:pPr>
        <w:ind w:left="2126" w:hanging="709"/>
        <w:rPr>
          <w:rFonts w:eastAsia="Times New Roman"/>
          <w:noProof/>
        </w:rPr>
      </w:pPr>
      <w:r>
        <w:rPr>
          <w:noProof/>
        </w:rPr>
        <w:sym w:font="Wingdings" w:char="F0A8"/>
      </w:r>
      <w:r>
        <w:rPr>
          <w:noProof/>
        </w:rPr>
        <w:tab/>
        <w:t xml:space="preserve">na vlastita sredstva </w:t>
      </w:r>
    </w:p>
    <w:p>
      <w:pPr>
        <w:ind w:left="2126" w:hanging="709"/>
        <w:rPr>
          <w:rFonts w:eastAsia="Times New Roman"/>
          <w:noProof/>
        </w:rPr>
      </w:pPr>
      <w:r>
        <w:rPr>
          <w:noProof/>
        </w:rPr>
        <w:sym w:font="Wingdings" w:char="F0A8"/>
      </w:r>
      <w:r>
        <w:rPr>
          <w:noProof/>
        </w:rPr>
        <w:tab/>
        <w:t>na ostale prihode</w:t>
      </w:r>
    </w:p>
    <w:p>
      <w:pPr>
        <w:rPr>
          <w:noProof/>
        </w:rPr>
      </w:pPr>
      <w:r>
        <w:rPr>
          <w:noProof/>
        </w:rPr>
        <w:t>navesti ako su prihodi dodijeljeni proračunskim linijama rashoda X</w:t>
      </w:r>
      <w:r>
        <w:rPr>
          <w:noProof/>
        </w:rPr>
        <w:tab/>
      </w:r>
    </w:p>
    <w:p>
      <w:pPr>
        <w:jc w:val="right"/>
        <w:rPr>
          <w:i/>
          <w:noProof/>
          <w:sz w:val="20"/>
        </w:rPr>
      </w:pPr>
      <w:r>
        <w:rPr>
          <w:noProof/>
        </w:rPr>
        <w:t>U milijunima EUR (do 3 decimalna mjesta)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Proračunska linija prihoda:</w:t>
            </w:r>
          </w:p>
        </w:tc>
        <w:tc>
          <w:tcPr>
            <w:tcW w:w="7200" w:type="dxa"/>
            <w:gridSpan w:val="7"/>
            <w:vAlign w:val="center"/>
          </w:tcPr>
          <w:p>
            <w:pPr>
              <w:jc w:val="center"/>
              <w:rPr>
                <w:noProof/>
                <w:sz w:val="18"/>
              </w:rPr>
            </w:pPr>
            <w:r>
              <w:rPr>
                <w:noProof/>
                <w:sz w:val="18"/>
              </w:rPr>
              <w:t>Učinak prijedloga/inicijative</w:t>
            </w:r>
            <w:r>
              <w:rPr>
                <w:rStyle w:val="FootnoteReference"/>
                <w:noProof/>
              </w:rPr>
              <w:footnoteReference w:id="20"/>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Članak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szCs w:val="20"/>
        </w:rPr>
      </w:pPr>
      <w:r>
        <w:rPr>
          <w:noProof/>
          <w:sz w:val="20"/>
          <w:szCs w:val="20"/>
        </w:rPr>
        <w:t>Za namjenske prihode navesti odgovarajuće proračunske linije rashoda.</w:t>
      </w:r>
    </w:p>
    <w:p>
      <w:pPr>
        <w:ind w:left="850"/>
        <w:rPr>
          <w:noProof/>
        </w:rPr>
      </w:pPr>
      <w:r>
        <w:rPr>
          <w:noProof/>
          <w:color w:val="0000FF"/>
        </w:rPr>
        <w:t>[…]</w:t>
      </w:r>
    </w:p>
    <w:p>
      <w:pPr>
        <w:ind w:left="850"/>
        <w:rPr>
          <w:noProof/>
          <w:sz w:val="16"/>
          <w:szCs w:val="16"/>
        </w:rPr>
      </w:pPr>
      <w:r>
        <w:rPr>
          <w:noProof/>
          <w:sz w:val="20"/>
          <w:szCs w:val="20"/>
        </w:rPr>
        <w:t>Ostale napomene (npr. metoda/formula za izračun učinka na prihode ili druge informacije)</w:t>
      </w:r>
      <w:r>
        <w:rPr>
          <w:noProof/>
          <w:sz w:val="16"/>
          <w:szCs w:val="16"/>
        </w:rPr>
        <w:t xml:space="preserve"> </w:t>
      </w:r>
    </w:p>
    <w:p>
      <w:pPr>
        <w:ind w:left="850"/>
        <w:rPr>
          <w:noProof/>
        </w:rPr>
      </w:pPr>
      <w:r>
        <w:rPr>
          <w:noProof/>
          <w:color w:val="0000FF"/>
        </w:rPr>
        <w:t>[…]</w:t>
      </w:r>
    </w:p>
    <w:p>
      <w:pPr>
        <w:ind w:left="850"/>
        <w:rPr>
          <w:noProof/>
        </w:rPr>
      </w:pPr>
    </w:p>
    <w:p>
      <w:pPr>
        <w:keepNext/>
        <w:rPr>
          <w:noProof/>
        </w:rPr>
      </w:pPr>
    </w:p>
    <w:p>
      <w:pPr>
        <w:rPr>
          <w:noProof/>
        </w:rPr>
      </w:pPr>
    </w:p>
    <w:sectPr>
      <w:pgSz w:w="11907" w:h="16840"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rPr>
          <w:lang w:val="fr-BE"/>
        </w:rPr>
        <w:tab/>
        <w:t>Europska ekonomska prognoza, Institutional Paper 125, svibanj 2020.</w:t>
      </w:r>
    </w:p>
  </w:footnote>
  <w:footnote w:id="3">
    <w:p>
      <w:pPr>
        <w:pStyle w:val="FootnoteText"/>
        <w:rPr>
          <w:szCs w:val="24"/>
          <w:lang w:val="fr-BE"/>
        </w:rPr>
      </w:pPr>
      <w:r>
        <w:rPr>
          <w:rStyle w:val="FootnoteReference"/>
        </w:rPr>
        <w:footnoteRef/>
      </w:r>
      <w:r>
        <w:rPr>
          <w:lang w:val="fr-BE"/>
        </w:rPr>
        <w:tab/>
        <w:t>Kako je navedeno u članku 58. stavku 2. točkama (a) ili (b) Financijske uredbe.</w:t>
      </w:r>
    </w:p>
  </w:footnote>
  <w:footnote w:id="4">
    <w:p>
      <w:pPr>
        <w:pStyle w:val="FootnoteText"/>
        <w:rPr>
          <w:lang w:val="fr-BE"/>
        </w:rPr>
      </w:pPr>
      <w:r>
        <w:rPr>
          <w:rStyle w:val="FootnoteReference"/>
        </w:rPr>
        <w:footnoteRef/>
      </w:r>
      <w:r>
        <w:rPr>
          <w:lang w:val="fr-BE"/>
        </w:rPr>
        <w:tab/>
        <w:t>COM(2017) 720 final</w:t>
      </w:r>
    </w:p>
  </w:footnote>
  <w:footnote w:id="5">
    <w:p>
      <w:pPr>
        <w:pStyle w:val="FootnoteText"/>
        <w:jc w:val="left"/>
        <w:rPr>
          <w:szCs w:val="24"/>
          <w:lang w:val="fr-BE"/>
        </w:rPr>
      </w:pPr>
      <w:r>
        <w:rPr>
          <w:rStyle w:val="FootnoteReference"/>
        </w:rPr>
        <w:footnoteRef/>
      </w:r>
      <w:r>
        <w:rPr>
          <w:lang w:val="fr-BE"/>
        </w:rPr>
        <w:tab/>
        <w:t xml:space="preserve">Informacije o načinima upravljanja i upućivanja na Financijsku uredbu dostupni su na internetskim stranicama BudgWeb: </w:t>
      </w:r>
      <w:hyperlink r:id="rId1" w:history="1">
        <w:r>
          <w:rPr>
            <w:rStyle w:val="Hyperlink"/>
            <w:lang w:val="fr-BE"/>
          </w:rPr>
          <w:t>https://myintracomm.ec.europa.eu/budgweb/EN/man/budgmanag/Pages/budgmanag.aspx</w:t>
        </w:r>
      </w:hyperlink>
      <w:r>
        <w:rPr>
          <w:lang w:val="fr-BE"/>
        </w:rPr>
        <w:t xml:space="preserve"> </w:t>
      </w:r>
    </w:p>
  </w:footnote>
  <w:footnote w:id="6">
    <w:p>
      <w:pPr>
        <w:pStyle w:val="FootnoteText"/>
        <w:rPr>
          <w:szCs w:val="24"/>
          <w:lang w:val="fr-BE"/>
        </w:rPr>
      </w:pPr>
      <w:r>
        <w:rPr>
          <w:rStyle w:val="FootnoteReference"/>
        </w:rPr>
        <w:footnoteRef/>
      </w:r>
      <w:r>
        <w:rPr>
          <w:lang w:val="fr-BE"/>
        </w:rPr>
        <w:tab/>
        <w:t>Dif. = diferencirana odobrena sredstva / Nedif. = nediferencirana odobrena sredstva.</w:t>
      </w:r>
    </w:p>
  </w:footnote>
  <w:footnote w:id="7">
    <w:p>
      <w:pPr>
        <w:pStyle w:val="FootnoteText"/>
        <w:rPr>
          <w:szCs w:val="24"/>
          <w:lang w:val="fr-BE"/>
        </w:rPr>
      </w:pPr>
      <w:r>
        <w:rPr>
          <w:rStyle w:val="FootnoteReference"/>
        </w:rPr>
        <w:footnoteRef/>
      </w:r>
      <w:r>
        <w:rPr>
          <w:lang w:val="fr-BE"/>
        </w:rPr>
        <w:tab/>
        <w:t xml:space="preserve">EFTA: Europsko udruženje slobodne trgovine. </w:t>
      </w:r>
    </w:p>
  </w:footnote>
  <w:footnote w:id="8">
    <w:p>
      <w:pPr>
        <w:pStyle w:val="FootnoteText"/>
        <w:rPr>
          <w:lang w:val="fr-BE"/>
        </w:rPr>
      </w:pPr>
      <w:r>
        <w:rPr>
          <w:rStyle w:val="FootnoteReference"/>
        </w:rPr>
        <w:footnoteRef/>
      </w:r>
      <w:r>
        <w:rPr>
          <w:lang w:val="fr-BE"/>
        </w:rPr>
        <w:tab/>
        <w:t>Zemlje kandidatkinje i, ako je primjenjivo, potencijalne zemlje kandidatkinje sa zapadnog Balkana.</w:t>
      </w:r>
    </w:p>
  </w:footnote>
  <w:footnote w:id="9">
    <w:p>
      <w:pPr>
        <w:pStyle w:val="FootnoteText"/>
        <w:rPr>
          <w:szCs w:val="24"/>
          <w:lang w:val="fr-BE"/>
        </w:rPr>
      </w:pPr>
      <w:r>
        <w:rPr>
          <w:rStyle w:val="FootnoteReference"/>
        </w:rPr>
        <w:footnoteRef/>
      </w:r>
      <w:r>
        <w:rPr>
          <w:lang w:val="fr-BE"/>
        </w:rPr>
        <w:tab/>
        <w:t>Dif. = diferencirana odobrena sredstva / Nedif. = nediferencirana odobrena sredstva.</w:t>
      </w:r>
    </w:p>
  </w:footnote>
  <w:footnote w:id="10">
    <w:p>
      <w:pPr>
        <w:pStyle w:val="FootnoteText"/>
        <w:rPr>
          <w:szCs w:val="24"/>
          <w:lang w:val="fr-BE"/>
        </w:rPr>
      </w:pPr>
      <w:r>
        <w:rPr>
          <w:rStyle w:val="FootnoteReference"/>
        </w:rPr>
        <w:footnoteRef/>
      </w:r>
      <w:r>
        <w:rPr>
          <w:lang w:val="fr-BE"/>
        </w:rPr>
        <w:tab/>
        <w:t xml:space="preserve">EFTA: Europsko udruženje slobodne trgovine. </w:t>
      </w:r>
    </w:p>
  </w:footnote>
  <w:footnote w:id="11">
    <w:p>
      <w:pPr>
        <w:pStyle w:val="FootnoteText"/>
        <w:rPr>
          <w:lang w:val="fr-BE"/>
        </w:rPr>
      </w:pPr>
      <w:r>
        <w:rPr>
          <w:rStyle w:val="FootnoteReference"/>
        </w:rPr>
        <w:footnoteRef/>
      </w:r>
      <w:r>
        <w:rPr>
          <w:lang w:val="fr-BE"/>
        </w:rPr>
        <w:tab/>
        <w:t>Zemlje kandidatkinje i, ako je primjenjivo, potencijalne zemlje kandidatkinje sa zapadnog Balkana.</w:t>
      </w:r>
    </w:p>
  </w:footnote>
  <w:footnote w:id="12">
    <w:p>
      <w:pPr>
        <w:pStyle w:val="FootnoteText"/>
        <w:rPr>
          <w:szCs w:val="24"/>
          <w:lang w:val="fr-BE"/>
        </w:rPr>
      </w:pPr>
      <w:r>
        <w:rPr>
          <w:rStyle w:val="FootnoteReference"/>
        </w:rPr>
        <w:footnoteRef/>
      </w:r>
      <w:r>
        <w:rPr>
          <w:lang w:val="fr-BE"/>
        </w:rPr>
        <w:tab/>
        <w:t>Dif. = diferencirana odobrena sredstva / Nedif. = nediferencirana odobrena sredstva.</w:t>
      </w:r>
    </w:p>
  </w:footnote>
  <w:footnote w:id="13">
    <w:p>
      <w:pPr>
        <w:pStyle w:val="FootnoteText"/>
        <w:rPr>
          <w:szCs w:val="24"/>
          <w:lang w:val="fr-BE"/>
        </w:rPr>
      </w:pPr>
      <w:r>
        <w:rPr>
          <w:rStyle w:val="FootnoteReference"/>
        </w:rPr>
        <w:footnoteRef/>
      </w:r>
      <w:r>
        <w:rPr>
          <w:lang w:val="fr-BE"/>
        </w:rPr>
        <w:tab/>
        <w:t xml:space="preserve">EFTA: Europsko udruženje slobodne trgovine. </w:t>
      </w:r>
    </w:p>
  </w:footnote>
  <w:footnote w:id="14">
    <w:p>
      <w:pPr>
        <w:pStyle w:val="FootnoteText"/>
        <w:rPr>
          <w:lang w:val="fr-BE"/>
        </w:rPr>
      </w:pPr>
      <w:r>
        <w:rPr>
          <w:rStyle w:val="FootnoteReference"/>
        </w:rPr>
        <w:footnoteRef/>
      </w:r>
      <w:r>
        <w:rPr>
          <w:lang w:val="fr-BE"/>
        </w:rPr>
        <w:tab/>
        <w:t>Zemlje kandidatkinje i, ako je primjenjivo, potencijalne zemlje kandidatkinje sa zapadnog Balkana.</w:t>
      </w:r>
    </w:p>
  </w:footnote>
  <w:footnote w:id="15">
    <w:p>
      <w:pPr>
        <w:pStyle w:val="FootnoteText"/>
        <w:rPr>
          <w:lang w:val="fr-BE"/>
        </w:rPr>
      </w:pPr>
      <w:r>
        <w:rPr>
          <w:rStyle w:val="FootnoteReference"/>
        </w:rPr>
        <w:footnoteRef/>
      </w:r>
      <w:r>
        <w:rPr>
          <w:lang w:val="fr-BE"/>
        </w:rPr>
        <w:tab/>
      </w:r>
      <w:r>
        <w:rPr>
          <w:i/>
          <w:lang w:val="fr-BE"/>
        </w:rPr>
        <w:t>Za aktivnosti kao što su praćenje provedbe, uključujući reviziju i financijsko upravljanje, sudjelovanje u postupku zaključenja programa, financiranih administrativnim rashodima, obveze bi se mogle preuzimati do 2027. (pojedinosti u tablici iznad).</w:t>
      </w:r>
    </w:p>
  </w:footnote>
  <w:footnote w:id="16">
    <w:p>
      <w:pPr>
        <w:pStyle w:val="FootnoteText"/>
        <w:rPr>
          <w:szCs w:val="24"/>
          <w:lang w:val="fr-BE"/>
        </w:rPr>
      </w:pPr>
      <w:r>
        <w:rPr>
          <w:rStyle w:val="FootnoteReference"/>
        </w:rPr>
        <w:footnoteRef/>
      </w:r>
      <w:r>
        <w:rPr>
          <w:lang w:val="fr-BE"/>
        </w:rPr>
        <w:tab/>
        <w:t>Tehnička i/ili administrativna pomoć i rashodi za potporu provedbi programa i/ili djelovanja Unije (prijašnje linije „BA”), neizravno istraživanje, izravno istraživanje.</w:t>
      </w:r>
    </w:p>
  </w:footnote>
  <w:footnote w:id="17">
    <w:p>
      <w:pPr>
        <w:pStyle w:val="FootnoteText"/>
        <w:rPr>
          <w:szCs w:val="24"/>
          <w:lang w:val="fr-BE"/>
        </w:rPr>
      </w:pPr>
      <w:r>
        <w:rPr>
          <w:rStyle w:val="FootnoteReference"/>
        </w:rPr>
        <w:footnoteRef/>
      </w:r>
      <w:r>
        <w:rPr>
          <w:lang w:val="fr-BE"/>
        </w:rPr>
        <w:tab/>
        <w:t xml:space="preserve">UO = ugovorno osoblje; LO = lokalno osoblje; UNS = upućeni nacionalni stručnjaci; UsO = ustupljeno osoblje; MSD = mladi stručnjaci u delegacijama. </w:t>
      </w:r>
    </w:p>
  </w:footnote>
  <w:footnote w:id="18">
    <w:p>
      <w:pPr>
        <w:pStyle w:val="FootnoteText"/>
        <w:rPr>
          <w:szCs w:val="24"/>
          <w:lang w:val="fr-BE"/>
        </w:rPr>
      </w:pPr>
      <w:r>
        <w:rPr>
          <w:rStyle w:val="FootnoteReference"/>
        </w:rPr>
        <w:footnoteRef/>
      </w:r>
      <w:r>
        <w:rPr>
          <w:lang w:val="fr-BE"/>
        </w:rPr>
        <w:tab/>
        <w:t>U okviru gornje granice za vanjsko osoblje iz odobrenih sredstava za poslovanje (prijašnje linije „BA”).</w:t>
      </w:r>
    </w:p>
  </w:footnote>
  <w:footnote w:id="19">
    <w:p>
      <w:pPr>
        <w:pStyle w:val="FootnoteText"/>
        <w:rPr>
          <w:lang w:val="fr-BE"/>
        </w:rPr>
      </w:pPr>
      <w:r>
        <w:rPr>
          <w:rStyle w:val="FootnoteReference"/>
        </w:rPr>
        <w:footnoteRef/>
      </w:r>
      <w:r>
        <w:rPr>
          <w:lang w:val="fr-BE"/>
        </w:rPr>
        <w:tab/>
        <w:t>Tim se procjenama ne prejudicira dodatno osoblje koje će biti potrebno u izvršnim agencijama i koje će se financirati iz namjenskih prihoda, na temelju detaljne procjene učinka na resurse.</w:t>
      </w:r>
    </w:p>
  </w:footnote>
  <w:footnote w:id="20">
    <w:p>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4850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4C2BC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4A51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9F2EB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C6B81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CFAF5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C085EEE"/>
    <w:lvl w:ilvl="0">
      <w:start w:val="1"/>
      <w:numFmt w:val="decimal"/>
      <w:pStyle w:val="ListNumber"/>
      <w:lvlText w:val="%1."/>
      <w:lvlJc w:val="left"/>
      <w:pPr>
        <w:tabs>
          <w:tab w:val="num" w:pos="360"/>
        </w:tabs>
        <w:ind w:left="360" w:hanging="360"/>
      </w:pPr>
    </w:lvl>
  </w:abstractNum>
  <w:abstractNum w:abstractNumId="7">
    <w:nsid w:val="FFFFFF89"/>
    <w:multiLevelType w:val="singleLevel"/>
    <w:tmpl w:val="1DEA1D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num>
  <w:num w:numId="15">
    <w:abstractNumId w:val="16"/>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14"/>
    <w:lvlOverride w:ilvl="0">
      <w:startOverride w:val="1"/>
    </w:lvlOverride>
  </w:num>
  <w:num w:numId="21">
    <w:abstractNumId w:val="20"/>
  </w:num>
  <w:num w:numId="22">
    <w:abstractNumId w:val="12"/>
  </w:num>
  <w:num w:numId="23">
    <w:abstractNumId w:val="22"/>
  </w:num>
  <w:num w:numId="24">
    <w:abstractNumId w:val="11"/>
  </w:num>
  <w:num w:numId="25">
    <w:abstractNumId w:val="13"/>
  </w:num>
  <w:num w:numId="26">
    <w:abstractNumId w:val="9"/>
  </w:num>
  <w:num w:numId="27">
    <w:abstractNumId w:val="21"/>
  </w:num>
  <w:num w:numId="28">
    <w:abstractNumId w:val="8"/>
  </w:num>
  <w:num w:numId="29">
    <w:abstractNumId w:val="14"/>
  </w:num>
  <w:num w:numId="30">
    <w:abstractNumId w:val="18"/>
  </w:num>
  <w:num w:numId="31">
    <w:abstractNumId w:val="19"/>
  </w:num>
  <w:num w:numId="32">
    <w:abstractNumId w:val="10"/>
  </w:num>
  <w:num w:numId="33">
    <w:abstractNumId w:val="17"/>
  </w:num>
  <w:num w:numId="34">
    <w:abstractNumId w:val="23"/>
  </w:num>
  <w:num w:numId="35">
    <w:abstractNumId w:val="20"/>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9 16:12: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7"/>
    <w:docVar w:name="DQCResult_ModifiedMarkers" w:val="0;0"/>
    <w:docVar w:name="DQCResult_ModifiedNumbering" w:val="0;0"/>
    <w:docVar w:name="DQCResult_Objects" w:val="0;0"/>
    <w:docVar w:name="DQCResult_Sections" w:val="0;1"/>
    <w:docVar w:name="DQCResult_StructureCheck" w:val="0;0"/>
    <w:docVar w:name="DQCResult_SuperfluousWhitespace" w:val="0;3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EF38CC7-EA6C-4530-9967-BCA839230687"/>
    <w:docVar w:name="LW_COVERPAGE_TYPE" w:val="1"/>
    <w:docVar w:name="LW_CROSSREFERENCE" w:val="&lt;UNUSED&gt;"/>
    <w:docVar w:name="LW_DocType" w:val="COM"/>
    <w:docVar w:name="LW_EMISSION" w:val="29.5.2020."/>
    <w:docVar w:name="LW_EMISSION_ISODATE" w:val="2020-05-29"/>
    <w:docVar w:name="LW_EMISSION_LOCATION" w:val="BRX"/>
    <w:docVar w:name="LW_EMISSION_PREFIX" w:val="Bruxelles,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224"/>
    <w:docVar w:name="LW_REF.II.NEW.CP_YEAR" w:val="2018"/>
    <w:docVar w:name="LW_REF.INST.NEW" w:val="COM"/>
    <w:docVar w:name="LW_REF.INST.NEW_ADOPTED" w:val="final"/>
    <w:docVar w:name="LW_REF.INST.NEW_TEXT" w:val="(2020) 4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Izmijenjeni prijedlog"/>
    <w:docVar w:name="LW_SUPERTITRE" w:val="&lt;UNUSED&gt;"/>
    <w:docVar w:name="LW_TITRE.OBJ.CP" w:val="o uspostavi Obzora Europa \u8211? Okvirnog programa za istra\u382?ivanja i inovacije te o utvr\u273?ivanju pravila za sudjelovanje i \u353?irenje rezultata,_x000b_ _x000b_ODLUKE EUROPSKOG PARLAMENTA I VIJE\u262?A_x000b_o uspostavi posebnog programa za provedbu Obzora Europa \u8211? Okvirnog programa za istra\u382?ivanja i inovacije,_x000b_  _x000b_UREDBE EUROPSKOG PARLAMENTA I VIJE\u262?A o uspostavi Instrumenta za susjedstvo, razvoj i me\u273?unarodnu suradnju,_x000b__x000b_UREDBE EUROPSKOG PARLAMENTA I VIJE\u262?A o utvr\u273?ivanju pravila o potpori za strate\u353?ke planove koje izra\u273?uju dr\u382?ave \u269?lanice u okviru zajedni\u269?ke poljoprivredne politike (strate\u353?ki planovi u okviru ZPP-a) i koji se financiraju iz Europskog fonda za jamstva u poljoprivredi (EFJP) i Europskog poljoprivrednog fonda za ruralni razvoj (EPFRR) te o stavljanju izvan snage Uredbe (EU) br. 1305/2013 Europskog parlamenta i Vije\u263?a i Uredbe (EU) br. 1307/2013 Europskog parlamenta i Vije\u263?a"/>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f-macro">
    <w:name w:val="conf-macro"/>
    <w:basedOn w:val="DefaultParagraphFont"/>
  </w:style>
  <w:style w:type="paragraph" w:customStyle="1" w:styleId="ListDash1">
    <w:name w:val="List Dash 1"/>
    <w:basedOn w:val="Normal"/>
    <w:pPr>
      <w:numPr>
        <w:numId w:val="15"/>
      </w:numPr>
    </w:pPr>
    <w:rPr>
      <w:rFonts w:eastAsia="Times New Roman"/>
      <w:lang w:eastAsia="de-DE"/>
    </w:rPr>
  </w:style>
  <w:style w:type="paragraph" w:customStyle="1" w:styleId="ListDash2">
    <w:name w:val="List Dash 2"/>
    <w:basedOn w:val="Normal"/>
    <w:pPr>
      <w:numPr>
        <w:numId w:val="16"/>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hr-HR"/>
    </w:rPr>
  </w:style>
  <w:style w:type="character" w:customStyle="1" w:styleId="FooterSensitivityChar">
    <w:name w:val="Footer Sensitivity Char"/>
    <w:basedOn w:val="DefaultParagraphFont"/>
    <w:rPr>
      <w:rFonts w:ascii="Times New Roman" w:hAnsi="Times New Roman" w:cs="Times New Roman"/>
      <w:b/>
      <w:sz w:val="32"/>
      <w:lang w:val="hr-H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hr-HR"/>
    </w:rPr>
  </w:style>
  <w:style w:type="character" w:customStyle="1" w:styleId="HeaderSensitivityChar">
    <w:name w:val="Header Sensitivity Char"/>
    <w:basedOn w:val="DefaultParagraphFont"/>
    <w:rPr>
      <w:rFonts w:ascii="Times New Roman" w:hAnsi="Times New Roman" w:cs="Times New Roman"/>
      <w:b/>
      <w:sz w:val="32"/>
      <w:lang w:val="hr-HR"/>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f-macro">
    <w:name w:val="conf-macro"/>
    <w:basedOn w:val="DefaultParagraphFont"/>
  </w:style>
  <w:style w:type="paragraph" w:customStyle="1" w:styleId="ListDash1">
    <w:name w:val="List Dash 1"/>
    <w:basedOn w:val="Normal"/>
    <w:pPr>
      <w:numPr>
        <w:numId w:val="15"/>
      </w:numPr>
    </w:pPr>
    <w:rPr>
      <w:rFonts w:eastAsia="Times New Roman"/>
      <w:lang w:eastAsia="de-DE"/>
    </w:rPr>
  </w:style>
  <w:style w:type="paragraph" w:customStyle="1" w:styleId="ListDash2">
    <w:name w:val="List Dash 2"/>
    <w:basedOn w:val="Normal"/>
    <w:pPr>
      <w:numPr>
        <w:numId w:val="16"/>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hr-HR"/>
    </w:rPr>
  </w:style>
  <w:style w:type="character" w:customStyle="1" w:styleId="FooterSensitivityChar">
    <w:name w:val="Footer Sensitivity Char"/>
    <w:basedOn w:val="DefaultParagraphFont"/>
    <w:rPr>
      <w:rFonts w:ascii="Times New Roman" w:hAnsi="Times New Roman" w:cs="Times New Roman"/>
      <w:b/>
      <w:sz w:val="32"/>
      <w:lang w:val="hr-H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hr-HR"/>
    </w:rPr>
  </w:style>
  <w:style w:type="character" w:customStyle="1" w:styleId="HeaderSensitivityChar">
    <w:name w:val="Header Sensitivity Char"/>
    <w:basedOn w:val="DefaultParagraphFont"/>
    <w:rPr>
      <w:rFonts w:ascii="Times New Roman" w:hAnsi="Times New Roman" w:cs="Times New Roman"/>
      <w:b/>
      <w:sz w:val="32"/>
      <w:lang w:val="hr-HR"/>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245">
      <w:bodyDiv w:val="1"/>
      <w:marLeft w:val="0"/>
      <w:marRight w:val="0"/>
      <w:marTop w:val="0"/>
      <w:marBottom w:val="0"/>
      <w:divBdr>
        <w:top w:val="none" w:sz="0" w:space="0" w:color="auto"/>
        <w:left w:val="none" w:sz="0" w:space="0" w:color="auto"/>
        <w:bottom w:val="none" w:sz="0" w:space="0" w:color="auto"/>
        <w:right w:val="none" w:sz="0" w:space="0" w:color="auto"/>
      </w:divBdr>
    </w:div>
    <w:div w:id="897010655">
      <w:bodyDiv w:val="1"/>
      <w:marLeft w:val="0"/>
      <w:marRight w:val="0"/>
      <w:marTop w:val="0"/>
      <w:marBottom w:val="0"/>
      <w:divBdr>
        <w:top w:val="none" w:sz="0" w:space="0" w:color="auto"/>
        <w:left w:val="none" w:sz="0" w:space="0" w:color="auto"/>
        <w:bottom w:val="none" w:sz="0" w:space="0" w:color="auto"/>
        <w:right w:val="none" w:sz="0" w:space="0" w:color="auto"/>
      </w:divBdr>
    </w:div>
    <w:div w:id="1619801731">
      <w:bodyDiv w:val="1"/>
      <w:marLeft w:val="0"/>
      <w:marRight w:val="0"/>
      <w:marTop w:val="0"/>
      <w:marBottom w:val="0"/>
      <w:divBdr>
        <w:top w:val="none" w:sz="0" w:space="0" w:color="auto"/>
        <w:left w:val="none" w:sz="0" w:space="0" w:color="auto"/>
        <w:bottom w:val="none" w:sz="0" w:space="0" w:color="auto"/>
        <w:right w:val="none" w:sz="0" w:space="0" w:color="auto"/>
      </w:divBdr>
    </w:div>
    <w:div w:id="21110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C1CADAE-DF96-4BB8-8D36-1B66A72A3F82}">
  <ds:schemaRefs>
    <ds:schemaRef ds:uri="http://schemas.microsoft.com/sharepoint/v3/contenttype/forms"/>
  </ds:schemaRefs>
</ds:datastoreItem>
</file>

<file path=customXml/itemProps2.xml><?xml version="1.0" encoding="utf-8"?>
<ds:datastoreItem xmlns:ds="http://schemas.openxmlformats.org/officeDocument/2006/customXml" ds:itemID="{5457D9B3-4F7E-4805-9A84-0F90B7F0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2F9AB1-4B86-47BF-BE60-053414D77EEB}">
  <ds:schemaRef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931361E5-37EE-4198-9478-F45FDBFF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24</Pages>
  <Words>5823</Words>
  <Characters>34768</Characters>
  <Application>Microsoft Office Word</Application>
  <DocSecurity>0</DocSecurity>
  <Lines>1390</Lines>
  <Paragraphs>811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2020-05-29T09:34:00Z</dcterms:created>
  <dcterms:modified xsi:type="dcterms:W3CDTF">2020-05-29T14:12:00Z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