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26873908"/>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58A9004-03F9-4A75-AB41-18ABAA35BA1C" style="width:451.7pt;height:420.45pt">
            <v:imagedata r:id="rId8" o:title=""/>
          </v:shape>
        </w:pict>
      </w:r>
    </w:p>
    <w:bookmarkEnd w:id="1"/>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26"/>
        </w:sectPr>
      </w:pPr>
    </w:p>
    <w:p>
      <w:pPr>
        <w:pStyle w:val="Title"/>
        <w:rPr>
          <w:rFonts w:ascii="Times New Roman" w:hAnsi="Times New Roman"/>
          <w:noProof/>
          <w:sz w:val="24"/>
          <w:szCs w:val="24"/>
        </w:rPr>
      </w:pPr>
      <w:bookmarkStart w:id="2" w:name="_GoBack"/>
      <w:bookmarkEnd w:id="2"/>
      <w:r>
        <w:rPr>
          <w:rFonts w:ascii="Times New Roman" w:hAnsi="Times New Roman"/>
          <w:noProof/>
          <w:sz w:val="24"/>
          <w:szCs w:val="24"/>
        </w:rPr>
        <w:lastRenderedPageBreak/>
        <w:t>PRIEDAS</w:t>
      </w:r>
      <w:bookmarkEnd w:id="0"/>
    </w:p>
    <w:p>
      <w:pPr>
        <w:pStyle w:val="Caption"/>
        <w:rPr>
          <w:noProof/>
        </w:rPr>
      </w:pPr>
      <w:bookmarkStart w:id="3" w:name="_Toc25138537"/>
      <w:bookmarkStart w:id="4" w:name="_Toc25144777"/>
      <w:r>
        <w:rPr>
          <w:noProof/>
        </w:rPr>
        <w:t>NUSIKALSTAMŲ VEIKŲ, KURIOMS TAIKOMA DIREKTYVA, SRITIS</w:t>
      </w:r>
      <w:bookmarkEnd w:id="3"/>
      <w:bookmarkEnd w:id="4"/>
    </w:p>
    <w:p>
      <w:pPr>
        <w:rPr>
          <w:noProof/>
        </w:rPr>
      </w:pPr>
    </w:p>
    <w:p>
      <w:pPr>
        <w:rPr>
          <w:b/>
          <w:noProof/>
        </w:rPr>
      </w:pPr>
      <w:r>
        <w:rPr>
          <w:b/>
          <w:noProof/>
        </w:rPr>
        <w:t>Direktyvos 2014/42/ES 3 straipsnis</w:t>
      </w:r>
    </w:p>
    <w:p>
      <w:pPr>
        <w:numPr>
          <w:ilvl w:val="0"/>
          <w:numId w:val="1"/>
        </w:numPr>
        <w:rPr>
          <w:noProof/>
        </w:rPr>
      </w:pPr>
      <w:r>
        <w:rPr>
          <w:noProof/>
        </w:rPr>
        <w:t>Pagal Europos Sąjungos sutarties K.3 straipsnio 2 dalies c punktą parengta Konvencija dėl kovos su korupcija, susijusia su Europos Bendrijų pareigūnais ar Europos Sąjungos valstybių narių pareigūnais (toliau – Konvencija dėl kovos su korupcija, susijusia su pareigūnais);</w:t>
      </w:r>
    </w:p>
    <w:p>
      <w:pPr>
        <w:numPr>
          <w:ilvl w:val="0"/>
          <w:numId w:val="1"/>
        </w:numPr>
        <w:rPr>
          <w:noProof/>
        </w:rPr>
      </w:pPr>
      <w:r>
        <w:rPr>
          <w:noProof/>
        </w:rPr>
        <w:t>2000 m. gegužės 29 d. Tarybos pamatinis Sprendimas 2000/383/TVR dėl apsaugos nuo padirbinėjimo griežtinimo kriminalinėmis bausmėmis ir kitokiomis sankcijomis ryšium su euro įvedimu;</w:t>
      </w:r>
    </w:p>
    <w:p>
      <w:pPr>
        <w:numPr>
          <w:ilvl w:val="0"/>
          <w:numId w:val="1"/>
        </w:numPr>
        <w:rPr>
          <w:noProof/>
        </w:rPr>
      </w:pPr>
      <w:r>
        <w:rPr>
          <w:noProof/>
        </w:rPr>
        <w:t>2001 m. gegužės 28 d. Tarybos pamatinis sprendimas 2001/413/TVR, skirtas kovai su sukčiavimu negrynosiomis mokėjimo priemonėmis ir jų klastojimu;</w:t>
      </w:r>
    </w:p>
    <w:p>
      <w:pPr>
        <w:numPr>
          <w:ilvl w:val="0"/>
          <w:numId w:val="1"/>
        </w:numPr>
        <w:rPr>
          <w:noProof/>
        </w:rPr>
      </w:pPr>
      <w:r>
        <w:rPr>
          <w:noProof/>
        </w:rPr>
        <w:t>2001 m. birželio 26 d. Tarybos pamatinis sprendimas 2001/500/TVR dėl pinigų plovimo, nusikaltimo priemonių ir nusikalstamu būdu įgytų pajamų nustatymo, paieškos, įšaldymo, areštavimo ir konfiskavimo;</w:t>
      </w:r>
    </w:p>
    <w:p>
      <w:pPr>
        <w:numPr>
          <w:ilvl w:val="0"/>
          <w:numId w:val="1"/>
        </w:numPr>
        <w:rPr>
          <w:noProof/>
        </w:rPr>
      </w:pPr>
      <w:r>
        <w:rPr>
          <w:noProof/>
        </w:rPr>
        <w:t>2002 m. birželio 13 d. Tarybos pamatinis sprendimas 2002/475/TVR dėl kovos su terorizmu;</w:t>
      </w:r>
    </w:p>
    <w:p>
      <w:pPr>
        <w:numPr>
          <w:ilvl w:val="0"/>
          <w:numId w:val="1"/>
        </w:numPr>
        <w:rPr>
          <w:noProof/>
        </w:rPr>
      </w:pPr>
      <w:r>
        <w:rPr>
          <w:noProof/>
        </w:rPr>
        <w:t>2003 m. liepos 22 d. Tarybos pamatinis sprendimas 2003/568/TVR dėl kovos su korupcija privačiame sektoriuje;</w:t>
      </w:r>
    </w:p>
    <w:p>
      <w:pPr>
        <w:numPr>
          <w:ilvl w:val="0"/>
          <w:numId w:val="1"/>
        </w:numPr>
        <w:rPr>
          <w:noProof/>
        </w:rPr>
      </w:pPr>
      <w:r>
        <w:rPr>
          <w:noProof/>
        </w:rPr>
        <w:t>2004 m. spalio 25 d. Tarybos pamatinis sprendimas 2004/757/TVR, nustatantis būtiniausias nuostatas dėl nusikalstamų veikų sudėties požymių ir bausmių neteisėtos prekybos narkotikais srityje;</w:t>
      </w:r>
    </w:p>
    <w:p>
      <w:pPr>
        <w:numPr>
          <w:ilvl w:val="0"/>
          <w:numId w:val="1"/>
        </w:numPr>
        <w:rPr>
          <w:noProof/>
        </w:rPr>
      </w:pPr>
      <w:r>
        <w:rPr>
          <w:noProof/>
        </w:rPr>
        <w:t>2008 m. spalio 24 d. Tarybos pamatinis sprendimas 2008/841/TVR dėl kovos su organizuotu nusikalstamumu;</w:t>
      </w:r>
    </w:p>
    <w:p>
      <w:pPr>
        <w:numPr>
          <w:ilvl w:val="0"/>
          <w:numId w:val="1"/>
        </w:numPr>
        <w:rPr>
          <w:noProof/>
        </w:rPr>
      </w:pPr>
      <w:r>
        <w:rPr>
          <w:noProof/>
        </w:rPr>
        <w:t>2011 m. balandžio 5 d. Europos Parlamento ir Tarybos direktyva 2011/36/ES dėl prekybos žmonėmis prevencijos, kovos su ja ir aukų apsaugos, pakeičianti Tarybos pamatinį sprendimą 2002/629/TVR;</w:t>
      </w:r>
    </w:p>
    <w:p>
      <w:pPr>
        <w:numPr>
          <w:ilvl w:val="0"/>
          <w:numId w:val="1"/>
        </w:numPr>
        <w:rPr>
          <w:noProof/>
        </w:rPr>
      </w:pPr>
      <w:r>
        <w:rPr>
          <w:noProof/>
        </w:rPr>
        <w:t>2011 m. gruodžio 13 d. Europos Parlamento ir Tarybos direktyva 2011/93/ES dėl kovos su seksualine prievarta prieš vaikus, jų seksualiniu išnaudojimu ir vaikų pornografija, kuria pakeičiamas Tarybos pamatinis sprendimas 2004/68/TVR;</w:t>
      </w:r>
    </w:p>
    <w:p>
      <w:pPr>
        <w:numPr>
          <w:ilvl w:val="0"/>
          <w:numId w:val="1"/>
        </w:numPr>
        <w:rPr>
          <w:noProof/>
        </w:rPr>
      </w:pPr>
      <w:r>
        <w:rPr>
          <w:noProof/>
        </w:rPr>
        <w:t>2013 m. rugpjūčio 12 d. Europos Parlamento ir Tarybos direktyva 2013/40/ES dėl atakų prieš informacines sistemas, kuria pakeičiamas Tarybos pamatinis sprendimas 2005/222/TVR.</w:t>
      </w:r>
    </w:p>
    <w:p>
      <w:pPr>
        <w:rPr>
          <w:b/>
          <w:noProof/>
        </w:rPr>
      </w:pPr>
      <w:r>
        <w:rPr>
          <w:b/>
          <w:noProof/>
        </w:rPr>
        <w:t>Teisinės priemonės, kuriomis pakeičiamos 3 straipsnyje jau nurodytos priemonės</w:t>
      </w:r>
    </w:p>
    <w:p>
      <w:pPr>
        <w:numPr>
          <w:ilvl w:val="0"/>
          <w:numId w:val="4"/>
        </w:numPr>
        <w:rPr>
          <w:noProof/>
        </w:rPr>
      </w:pPr>
      <w:r>
        <w:rPr>
          <w:noProof/>
        </w:rPr>
        <w:t>2017 m. kovo 15 d. Europos Parlamento ir Tarybos direktyva (ES) 2017/541 dėl kovos su terorizmu, pakeičianti Tarybos pamatinį sprendimą 2002/475/TVR ir iš dalies keičianti Tarybos sprendimą 2005/671/TVR;</w:t>
      </w:r>
    </w:p>
    <w:p>
      <w:pPr>
        <w:numPr>
          <w:ilvl w:val="0"/>
          <w:numId w:val="4"/>
        </w:numPr>
        <w:rPr>
          <w:noProof/>
        </w:rPr>
      </w:pPr>
      <w:r>
        <w:rPr>
          <w:noProof/>
        </w:rPr>
        <w:lastRenderedPageBreak/>
        <w:t>2018 m. spalio 23 d. Europos Parlamento ir Tarybos direktyva (ES) 2018/1673 dėl kovos su pinigų plovimu baudžiamosios teisės priemonėmis;</w:t>
      </w:r>
    </w:p>
    <w:p>
      <w:pPr>
        <w:numPr>
          <w:ilvl w:val="0"/>
          <w:numId w:val="4"/>
        </w:numPr>
        <w:rPr>
          <w:noProof/>
        </w:rPr>
      </w:pPr>
      <w:r>
        <w:rPr>
          <w:noProof/>
        </w:rPr>
        <w:t>2019 m. balandžio 17 d. Europos Parlamento ir Tarybos direktyva (ES) 2019/713 dėl kovos su sukčiavimu negrynosiomis mokėjimo priemonėmis ir jų klastojimu, kuria pakeičiamas Tarybos pamatinis sprendimas 2001/413/TVR;</w:t>
      </w:r>
    </w:p>
    <w:p>
      <w:pPr>
        <w:numPr>
          <w:ilvl w:val="0"/>
          <w:numId w:val="4"/>
        </w:numPr>
        <w:rPr>
          <w:noProof/>
        </w:rPr>
      </w:pPr>
      <w:r>
        <w:rPr>
          <w:noProof/>
        </w:rPr>
        <w:t>2014 m. gegužės 15 d. Europos Parlamento ir Tarybos direktyva 2014/62/ES dėl euro ir kitų valiutų apsaugos nuo padirbinėjimo baudžiamosios teisės priemonėmis, kuria pakeičiamas Tarybos pamatinis sprendimas 2000/383/TVR.</w:t>
      </w:r>
    </w:p>
    <w:p>
      <w:pPr>
        <w:rPr>
          <w:b/>
          <w:noProof/>
        </w:rPr>
      </w:pPr>
      <w:r>
        <w:rPr>
          <w:b/>
          <w:noProof/>
        </w:rPr>
        <w:t>Teisinės priemonės, kuriose konkrečiai numatyta, kad Direktyva taikoma jomis suderintoms nusikalstamoms veikoms</w:t>
      </w:r>
    </w:p>
    <w:p>
      <w:pPr>
        <w:numPr>
          <w:ilvl w:val="0"/>
          <w:numId w:val="2"/>
        </w:numPr>
        <w:rPr>
          <w:noProof/>
        </w:rPr>
      </w:pPr>
      <w:r>
        <w:rPr>
          <w:noProof/>
        </w:rPr>
        <w:t>2017 m. liepos 5 d. Europos Parlamento ir Tarybos direktyva (ES) 2017/1371 dėl kovos su Sąjungos finansiniams interesams kenkiančiu sukčiavimu baudžiamosios teisės priemonėmis.</w:t>
      </w:r>
    </w:p>
    <w:p>
      <w:pPr>
        <w:rPr>
          <w:b/>
          <w:noProof/>
        </w:rPr>
      </w:pPr>
      <w:r>
        <w:rPr>
          <w:b/>
          <w:noProof/>
        </w:rPr>
        <w:t>Direktyvos 2014/42/ES 5 straipsnis dėl nusikalstamų veikų, už kurias turi būti užtikrinama galimybė taikyti išplėstinį konfiskavimą</w:t>
      </w:r>
    </w:p>
    <w:p>
      <w:pPr>
        <w:numPr>
          <w:ilvl w:val="0"/>
          <w:numId w:val="3"/>
        </w:numPr>
        <w:rPr>
          <w:noProof/>
        </w:rPr>
      </w:pPr>
      <w:r>
        <w:rPr>
          <w:noProof/>
        </w:rPr>
        <w:t>Aktyvioji ir pasyvioji korupcija privačiajame sektoriuje, kaip numatyta Pamatinio sprendimo 2003/568/TVR 2 straipsnyje, taip pat aktyvioji ir pasyvioji korupcija, apimanti Sąjungos ar valstybių narių institucijų pareigūnus, kaip numatyta Konvencijos dėl kovos su korupcija, susijusia su pareigūnais, atitinkamai 2 ir 3 straipsniuose;</w:t>
      </w:r>
    </w:p>
    <w:p>
      <w:pPr>
        <w:numPr>
          <w:ilvl w:val="0"/>
          <w:numId w:val="3"/>
        </w:numPr>
        <w:rPr>
          <w:noProof/>
        </w:rPr>
      </w:pPr>
      <w:r>
        <w:rPr>
          <w:noProof/>
        </w:rPr>
        <w:t>nusikalstamos veikos, susijusios su dalyvavimu nusikalstamos organizacijos veikloje, kaip numatyta Pamatinio sprendimo 2008/841/TVR 2 straipsnyje, bent jau tais atvejais, kai iš nusikalstamos veikos gauta ekonominė nauda;</w:t>
      </w:r>
    </w:p>
    <w:p>
      <w:pPr>
        <w:numPr>
          <w:ilvl w:val="0"/>
          <w:numId w:val="3"/>
        </w:numPr>
        <w:rPr>
          <w:noProof/>
        </w:rPr>
      </w:pPr>
      <w:r>
        <w:rPr>
          <w:noProof/>
        </w:rPr>
        <w:t>vaiko vertimas dalyvauti pornografiniame renginyje arba jo verbavimas, arba pelnymasis iš vaiko ar kitoks vaiko išnaudojimas tokiais tikslais, jei vaikas yra sulaukęs amžiaus, kai jis gali duoti sutikimą lytiškai santykiauti, kaip numatyta Direktyvos 2011/93/ES 4 straipsnio 2 dalyje; vaikų pornografijos platinimas, sklaida ir perdavimas, kaip numatyta tos direktyvos 5 straipsnio 4 dalyje; vaikų pornografijos siūlymas, tiekimas ar galimybės ją gauti sudarymas, kaip numatyta tos direktyvos 5 straipsnio 5 dalyje; vaikų pornografijos gamyba, kaip numatyta tos direktyvos 5 straipsnio 6 dalyje;</w:t>
      </w:r>
    </w:p>
    <w:p>
      <w:pPr>
        <w:numPr>
          <w:ilvl w:val="0"/>
          <w:numId w:val="3"/>
        </w:numPr>
        <w:rPr>
          <w:noProof/>
        </w:rPr>
      </w:pPr>
      <w:r>
        <w:rPr>
          <w:noProof/>
        </w:rPr>
        <w:t>neteisėtas įsikišimas į sistemą ir neteisėtas įsikišimas į duomenis, kaip numatyta Direktyvos 2013/40/ES atitinkamai 4 ir 5 straipsniuose, jeigu naudojant tos direktyvos 7 straipsnyje numatytą visų pirma tuo tikslu sukurtą ar pritaikytą priemonę buvo padarytas poveikis daugeliui informacinių sistemų; tyčinė nusikalstamoms veikoms vykdyti naudojamų priemonių gamyba, pardavimas, įsigijimas siekiant naudotis, importas, platinimas arba kitu būdu galimybių naudotis šiomis priemonėmis sudarymas, bent jau tais atvejais, kurie nėra mažareikšmiai, kaip numatyta tos direktyvos 7 straipsnyje;</w:t>
      </w:r>
    </w:p>
    <w:p>
      <w:pPr>
        <w:numPr>
          <w:ilvl w:val="0"/>
          <w:numId w:val="3"/>
        </w:numPr>
        <w:rPr>
          <w:noProof/>
        </w:rPr>
      </w:pPr>
      <w:r>
        <w:rPr>
          <w:noProof/>
        </w:rPr>
        <w:t>nusikalstama veika, už kurią, remiantis atitinkama 3 straipsnyje nurodyta priemone, pagal atitinkamą nacionalinę teisę baudžiama maksimalia bent ketverių metų laisvės atėmimo bausme, jeigu atitinkamoje priemonėje nėra nurodyta bausmės riba.</w:t>
      </w:r>
    </w:p>
    <w:sectPr>
      <w:headerReference w:type="even" r:id="rId15"/>
      <w:headerReference w:type="default" r:id="rId16"/>
      <w:footerReference w:type="even" r:id="rId17"/>
      <w:footerReference w:type="default" r:id="rId18"/>
      <w:headerReference w:type="first" r:id="rId19"/>
      <w:footerReference w:type="first" r:id="rId2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sz w:val="20"/>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06A"/>
    <w:multiLevelType w:val="hybridMultilevel"/>
    <w:tmpl w:val="BB1A7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5966C35"/>
    <w:multiLevelType w:val="hybridMultilevel"/>
    <w:tmpl w:val="034CD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8A90CD3"/>
    <w:multiLevelType w:val="hybridMultilevel"/>
    <w:tmpl w:val="3424C3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50D3C46"/>
    <w:multiLevelType w:val="hybridMultilevel"/>
    <w:tmpl w:val="182E07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e "/>
    <w:docVar w:name="LW_ANNEX_NBR_FIRST" w:val="1"/>
    <w:docVar w:name="LW_ANNEX_NBR_LAST" w:val="1"/>
    <w:docVar w:name="LW_ANNEX_UNIQUE" w:val="1"/>
    <w:docVar w:name="LW_CORRIGENDUM" w:val="&lt;UNUSED&gt;"/>
    <w:docVar w:name="LW_COVERPAGE_EXISTS" w:val="True"/>
    <w:docVar w:name="LW_COVERPAGE_GUID" w:val="D58A9004-03F9-4A75-AB41-18ABAA35BA1C"/>
    <w:docVar w:name="LW_COVERPAGE_TYPE" w:val="1"/>
    <w:docVar w:name="LW_CROSSREFERENCE" w:val="&lt;UNUSED&gt;"/>
    <w:docVar w:name="LW_DocType" w:val="NORMAL"/>
    <w:docVar w:name="LW_EMISSION" w:val="2020 06 02"/>
    <w:docVar w:name="LW_EMISSION_ISODATE" w:val="2020-06-02"/>
    <w:docVar w:name="LW_EMISSION_LOCATION" w:val="BRX"/>
    <w:docVar w:name="LW_EMISSION_PREFIX" w:val="Briuselis, "/>
    <w:docVar w:name="LW_EMISSION_SUFFIX" w:val=" "/>
    <w:docVar w:name="LW_ID_DOCTYPE_NONLW" w:val="CP-039"/>
    <w:docVar w:name="LW_LANGUE" w:val="LT"/>
    <w:docVar w:name="LW_LEVEL_OF_SENSITIVITY" w:val="Standard treatment"/>
    <w:docVar w:name="LW_NOM.INST" w:val="EUROPOS KOMISIJA"/>
    <w:docVar w:name="LW_NOM.INST_JOINTDOC" w:val="&lt;EMPTY&gt;"/>
    <w:docVar w:name="LW_OBJETACTEPRINCIPAL.CP" w:val="Turto susigr\u261?\u382?inimas ir konfiskavimas:_x000d__x000d__x000d__x000d__x000d__x000d__x000d__x000b__x000d__x000d__x000d__x000d__x000d__x000d__x000d__x000b_u\u382?tikrinti, kad nusikaltimai neapsimok\u279?t\u371?_x000d__x000d__x000d__x000d__x000d__x000d__x000d__x000d__x000b__x000d__x000d__x000d__x000d__x000d__x000d__x000d__x000d__x000b_"/>
    <w:docVar w:name="LW_PART_NBR" w:val="1"/>
    <w:docVar w:name="LW_PART_NBR_TOTAL" w:val="1"/>
    <w:docVar w:name="LW_REF.INST.NEW" w:val="COM"/>
    <w:docVar w:name="LW_REF.INST.NEW_ADOPTED" w:val="final"/>
    <w:docVar w:name="LW_REF.INST.NEW_TEXT" w:val="(2020) 2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IEDAS_x000b_"/>
    <w:docVar w:name="LW_TYPEACTEPRINCIPAL.CP" w:val="KOMISIJOS ATASKAITOS EUROPOS PARLAMENTUI IR TARYB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val="lt-L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lt-LT"/>
    </w:r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itleChar"/>
    <w:link w:val="FooterCoverPage"/>
    <w:rPr>
      <w:rFonts w:ascii="Times New Roman" w:eastAsia="Times New Roman" w:hAnsi="Times New Roman" w:cs="Times New Roman"/>
      <w:b w:val="0"/>
      <w:kern w:val="28"/>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itleChar"/>
    <w:link w:val="FooterSensitivity"/>
    <w:rPr>
      <w:rFonts w:ascii="Times New Roman" w:eastAsia="Times New Roman" w:hAnsi="Times New Roman" w:cs="Times New Roman"/>
      <w:b/>
      <w:kern w:val="28"/>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itleChar"/>
    <w:link w:val="HeaderCoverPage"/>
    <w:rPr>
      <w:rFonts w:ascii="Times New Roman" w:eastAsia="Times New Roman" w:hAnsi="Times New Roman" w:cs="Times New Roman"/>
      <w:b w:val="0"/>
      <w:kern w:val="28"/>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itleChar"/>
    <w:link w:val="HeaderSensitivity"/>
    <w:rPr>
      <w:rFonts w:ascii="Times New Roman" w:eastAsia="Times New Roman" w:hAnsi="Times New Roman" w:cs="Times New Roman"/>
      <w:b/>
      <w:kern w:val="28"/>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itleChar"/>
    <w:link w:val="HeaderSensitivityRight"/>
    <w:rPr>
      <w:rFonts w:ascii="Times New Roman" w:eastAsia="Times New Roman" w:hAnsi="Times New Roman" w:cs="Times New Roman"/>
      <w:b w:val="0"/>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val="lt-L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lt-LT"/>
    </w:r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itleChar"/>
    <w:link w:val="FooterCoverPage"/>
    <w:rPr>
      <w:rFonts w:ascii="Times New Roman" w:eastAsia="Times New Roman" w:hAnsi="Times New Roman" w:cs="Times New Roman"/>
      <w:b w:val="0"/>
      <w:kern w:val="28"/>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itleChar"/>
    <w:link w:val="FooterSensitivity"/>
    <w:rPr>
      <w:rFonts w:ascii="Times New Roman" w:eastAsia="Times New Roman" w:hAnsi="Times New Roman" w:cs="Times New Roman"/>
      <w:b/>
      <w:kern w:val="28"/>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itleChar"/>
    <w:link w:val="HeaderCoverPage"/>
    <w:rPr>
      <w:rFonts w:ascii="Times New Roman" w:eastAsia="Times New Roman" w:hAnsi="Times New Roman" w:cs="Times New Roman"/>
      <w:b w:val="0"/>
      <w:kern w:val="28"/>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itleChar"/>
    <w:link w:val="HeaderSensitivity"/>
    <w:rPr>
      <w:rFonts w:ascii="Times New Roman" w:eastAsia="Times New Roman" w:hAnsi="Times New Roman" w:cs="Times New Roman"/>
      <w:b/>
      <w:kern w:val="28"/>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itleChar"/>
    <w:link w:val="HeaderSensitivityRight"/>
    <w:rPr>
      <w:rFonts w:ascii="Times New Roman" w:eastAsia="Times New Roman" w:hAnsi="Times New Roman" w:cs="Times New Roman"/>
      <w:b w:val="0"/>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683</Words>
  <Characters>4570</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WES PDFC Administrator</cp:lastModifiedBy>
  <cp:revision>10</cp:revision>
  <dcterms:created xsi:type="dcterms:W3CDTF">2020-05-19T16:37:00Z</dcterms:created>
  <dcterms:modified xsi:type="dcterms:W3CDTF">2020-05-28T17:10:00Z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7.0.1, Build 20190916</vt:lpwstr>
  </property>
  <property fmtid="{D5CDD505-2E9C-101B-9397-08002B2CF9AE}" pid="11" name="Created using">
    <vt:lpwstr>LW 7.0, Build 20190717</vt:lpwstr>
  </property>
</Properties>
</file>