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185E582-F7A2-4DFC-8657-66037C097FFF" style="width:450.4pt;height:352.8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u w:color="000000"/>
          <w:bdr w:val="nil"/>
        </w:rPr>
        <w:t>•</w:t>
      </w:r>
      <w:r>
        <w:rPr>
          <w:noProof/>
          <w:u w:color="000000"/>
          <w:bdr w:val="nil"/>
        </w:rPr>
        <w:tab/>
      </w:r>
      <w:r>
        <w:rPr>
          <w:noProof/>
        </w:rPr>
        <w:t>Dôvody a ciele návrhu</w:t>
      </w:r>
    </w:p>
    <w:p>
      <w:pPr>
        <w:rPr>
          <w:noProof/>
        </w:rPr>
      </w:pPr>
      <w:r>
        <w:rPr>
          <w:noProof/>
        </w:rPr>
        <w:t>Komisia navrhuje v plnej miere využiť rozpočet EÚ na mobilizáciu investícií a prednostne realizovať finančnú podporu v bytostne dôležitých prvých rokoch obnovy. Tieto návrhy stoja na troch pilieroch:</w:t>
      </w:r>
    </w:p>
    <w:p>
      <w:pPr>
        <w:pStyle w:val="Bullet0"/>
        <w:numPr>
          <w:ilvl w:val="0"/>
          <w:numId w:val="17"/>
        </w:numPr>
        <w:tabs>
          <w:tab w:val="clear" w:pos="850"/>
        </w:tabs>
        <w:ind w:left="426" w:hanging="426"/>
        <w:rPr>
          <w:noProof/>
        </w:rPr>
      </w:pPr>
      <w:r>
        <w:rPr>
          <w:noProof/>
        </w:rPr>
        <w:t>zvýšenie stropov vo viacročnom finančnom rámci na obdobie rokov 2014 – 2020, aby sa umožnilo bezprostredné vykonávanie opatrení v rámci Únie a mimo nej v reakcii na vplyv pandémie COVID-19;</w:t>
      </w:r>
    </w:p>
    <w:p>
      <w:pPr>
        <w:pStyle w:val="Bullet0"/>
        <w:tabs>
          <w:tab w:val="clear" w:pos="850"/>
        </w:tabs>
        <w:ind w:left="426" w:hanging="426"/>
        <w:rPr>
          <w:noProof/>
          <w:spacing w:val="-8"/>
        </w:rPr>
      </w:pPr>
      <w:r>
        <w:rPr>
          <w:noProof/>
          <w:spacing w:val="-8"/>
        </w:rPr>
        <w:t>núdzový Európsky nástroj obnovy ako výnimočné opatrenie na základe článku 122 ZFEÚ, ktorého financovanie bude založené na splnomocnení stanovenom v návrhu rozhodnutia o vlastných zdrojoch. Tieto finančné prostriedky umožnia zavedenie opatrení s rýchlym účinkom na ochranu živobytia, zvýšenie prevencie a posilnenie odolnosti a obnovy v reakcii na krízu;</w:t>
      </w:r>
    </w:p>
    <w:p>
      <w:pPr>
        <w:pStyle w:val="Bullet0"/>
        <w:tabs>
          <w:tab w:val="clear" w:pos="850"/>
        </w:tabs>
        <w:ind w:left="426" w:hanging="426"/>
        <w:rPr>
          <w:noProof/>
        </w:rPr>
      </w:pPr>
      <w:r>
        <w:rPr>
          <w:noProof/>
        </w:rPr>
        <w:t>posilnený viacročný finančný rámec na obdobie rokov 2021 – 2027.</w:t>
      </w:r>
    </w:p>
    <w:p>
      <w:pPr>
        <w:rPr>
          <w:noProof/>
        </w:rPr>
      </w:pPr>
      <w:r>
        <w:rPr>
          <w:noProof/>
        </w:rPr>
        <w:t xml:space="preserve">V tejto súvislosti Komisia navrhuje, aby sa riešili nepriaznivé sociálno-ekonomické dôsledky pandémie COVID-19 pre zamestnancov, domácnosti a spoločnosti v Únii. Mnoho európskych spoločností už čelí ťažkostiam v oblasti platobnej schopnosti z dôvodu krízy a tieto problémy sa prehĺbia, ak zostanú zavedené obmedzenia hospodárskych a spoločenských činností a pravidlá o obmedzení fyzického kontaktu budú mať naďalej vplyv na podnikateľskú činnosť v mnohých odvetviach. Tieto ťažkosti môžu byť dlhodobé, dokonca môžu pretrvávať aj po aktuálnom obmedzení pohybu a môžu sa nimi prehĺbiť existujúce hospodárske rozdiely medzi jednotlivými členskými štátmi a v ich jednotlivých regiónoch. </w:t>
      </w:r>
    </w:p>
    <w:p>
      <w:pPr>
        <w:rPr>
          <w:rFonts w:ascii="Arial" w:hAnsi="Arial" w:cs="Arial"/>
          <w:noProof/>
          <w:sz w:val="20"/>
          <w:szCs w:val="20"/>
        </w:rPr>
      </w:pPr>
      <w:r>
        <w:rPr>
          <w:noProof/>
        </w:rPr>
        <w:t>Je ťažké uviesť presné číslo týkajúce sa nápravy dôsledkov hospodárskeho vplyvu pandémie COVID-19 na akciových trhoch. Z odhadov Komisie založených na údajoch na úrovni podnikov vyplýva, že v roku 2020 by sa mohli pohybovať približne na úrovni 720 miliárd EUR, ak by sa naplnil základný scenár, ktorý je podkladom jarnej prognózy. Tieto potreby by významne stúpli, ak by opatrenia obmedzenia pohybu zostali v platnosti dlhšie, než sa predpokladalo v jarnej prognóze, alebo ak by museli byť znovu uložené z dôvodu obnovenia nákazy. Podľa stresového scenára, v ktorom by sa v roku 2020 predpokladal rast HDP na úrovni –15,5 %, by priamy vplyv na kapitál všetkých registrovaných spoločností (kótovaných i nekótovaných) v EÚ27 mohol vzrásť na 1,2 bilióna EUR. Neriešenie tohto nedostatku kapitálu môže viesť k pretrvávajúcemu obdobiu nižších investícií a vyššej nezamestnanosti. Vplyv nedostatku kapitálu bude nerovnomerný v rôznych odvetviach, regiónoch, priemyselných ekosystémoch a členských štátoch a povedie k rozdielom na jednotnom trhu. Všeobecne je väčšina priemyselných ekosystémov závislá od zložitých dodávateľských reťazcov rozprestierajúcich sa naprieč členskými štátmi na jednotnom trhu.</w:t>
      </w:r>
    </w:p>
    <w:p>
      <w:pPr>
        <w:rPr>
          <w:noProof/>
          <w:szCs w:val="24"/>
        </w:rPr>
      </w:pPr>
      <w:r>
        <w:rPr>
          <w:noProof/>
        </w:rPr>
        <w:t>Túto skutočnosť znásobuje to, že schopnosť členských štátov poskytovať štátnu pomoc sa značne líši.</w:t>
      </w:r>
    </w:p>
    <w:p>
      <w:pPr>
        <w:rPr>
          <w:noProof/>
          <w:spacing w:val="-2"/>
        </w:rPr>
      </w:pPr>
      <w:r>
        <w:rPr>
          <w:noProof/>
          <w:spacing w:val="-2"/>
        </w:rPr>
        <w:t>Tento návrh obsahuje dočasný kapitálový nástroj, v prípade ktorého investičné obdobie v súvislosti so segmentom podpory platobnej schopnosti prebieha všeobecne do konca roka 2024, pokiaľ ide o schválenia investičným výborom a riadiacimi orgánmi EIB/EIF, a do konca roka 2026, pokiaľ ide o podpísanie operácií. Spoločnosti, ktoré majú byť podľa návrhu podporené, sú spoločnosti, ktoré majú inak životaschopný obchodný model, ktorých platobná schopnosť je však obmedzená z dôvodu krízy spôsobenej ochorením COVID-19. Účelom je pomôcť im prekonať toto zložité obdobie tak, aby dokázali zvládnuť oživenie, keď nastane čas.</w:t>
      </w:r>
    </w:p>
    <w:p>
      <w:pPr>
        <w:rPr>
          <w:noProof/>
        </w:rPr>
      </w:pPr>
      <w:r>
        <w:rPr>
          <w:noProof/>
        </w:rPr>
        <w:lastRenderedPageBreak/>
        <w:t>Ďalším cieľom návrhu je vyvážiť očakávané narušenia na jednotnom trhu, keďže určité členské štáty nemusia mať k dispozícii dostatok rozpočtových prostriedkov na to, aby mohli poskytnúť primeranú podporu spoločnostiam, ktoré to potrebujú. Dostupnosť vnútroštátnych opatrení na podporu platobnej schopnosti spoločností sa preto môže medzi jednotlivými členskými štátmi značne líšiť a viesť k nerovnakým podmienkam. Keďže navyše existuje značné riziko, že vplyv COVID-19 bude trvať dlho, táto nedostatočná kapacita pomáhať životaschopným spoločnostiam môže viesť k systémovým narušeniam a vytvoriť nové alebo prehĺbiť existujúce rozdiely. Vzhľadom na silnú vzájomnú prepojenosť európskeho hospodárstva by hospodársky pokles v jednej časti EÚ mal nepriaznivé účinky presahovania na cezhraničné dodávateľské reťazce a celé hospodárstvo EÚ. Naopak, z rovnakého dôvodu by podpora v jednej časti EÚ takisto mala priaznivé účinky presahovania na cezhraničné dodávateľské reťazce a celé hospodárstvo EÚ.</w:t>
      </w:r>
    </w:p>
    <w:p>
      <w:pPr>
        <w:rPr>
          <w:noProof/>
        </w:rPr>
      </w:pPr>
      <w:r>
        <w:rPr>
          <w:noProof/>
        </w:rPr>
        <w:t>V kontexte spomalenia hospodárskeho rastu spôsobeného ochorením COVID-19, keď dochádza k obmedzeniam verejných financií, je dôležité mobilizovať aj súkromné zdroje, aby sa v čo najväčšej miere podporila platobná schopnosť životaschopných spoločností v Únii.</w:t>
      </w:r>
    </w:p>
    <w:p>
      <w:pPr>
        <w:rPr>
          <w:noProof/>
        </w:rPr>
      </w:pPr>
      <w:r>
        <w:rPr>
          <w:noProof/>
        </w:rPr>
        <w:t>Uvedené ciele sa zrealizujú poskytnutím záruky Únie Európskej investičnej banke (EIB) podľa nariadenia o EFSI</w:t>
      </w:r>
      <w:r>
        <w:rPr>
          <w:rStyle w:val="FootnoteReference"/>
          <w:noProof/>
        </w:rPr>
        <w:footnoteReference w:id="2"/>
      </w:r>
      <w:r>
        <w:rPr>
          <w:noProof/>
        </w:rPr>
        <w:t xml:space="preserve">. Podpora platobnej schopnosti bude tvoriť tretí segment v rámci EFSI – segment podpory platobnej schopnosti – s cieľom mobilizovať súkromný kapitál na podporu platobnej schopnosti oprávnených spoločností. Skupina EIB použije záruku EÚ na investovanie najmä prostredníctvom sprostredkovateľov alebo na zníženie rizika pre súkromných investorov investujúcich do oprávnených spoločností, vďaka čomu sa zmobilizujú súkromné zdroje na ich podporu. Skupina EIB tak urobí investovaním do akciových fondov, účelovo vytvorených subjektov, investičných platforiem, národných podporných bánk alebo inštitúcií, ich garantovaním alebo financovaním, alebo v prípade potreby prostredníctvom priamych investícií alebo iných relevantných opatrení. </w:t>
      </w:r>
    </w:p>
    <w:p>
      <w:pPr>
        <w:rPr>
          <w:noProof/>
          <w:spacing w:val="-2"/>
        </w:rPr>
      </w:pPr>
      <w:r>
        <w:rPr>
          <w:noProof/>
          <w:spacing w:val="-2"/>
        </w:rPr>
        <w:t>Tento návrh je súčasťou iniciatívy týkajúcej sa celkového oživenia, ktorú oznámila Komisia. Je veľmi dôležité, aby sa takýto nástroj zaviedol čo najskôr v roku 2020, najneskôr na začiatku októbra 2020, a aby mohla byť jeho úplná kapacita rýchlo využívaná v priebehu roka 2021.</w:t>
      </w:r>
    </w:p>
    <w:p>
      <w:pPr>
        <w:rPr>
          <w:noProof/>
        </w:rPr>
      </w:pPr>
      <w:r>
        <w:rPr>
          <w:noProof/>
        </w:rPr>
        <w:t xml:space="preserve">Nástroj na podporu platobnej schopnosti bude k dispozícii pre všetky členské štáty a všetky odvetvia, na ktoré sa vzťahuje nariadenie o EFSI, so zameraním na členské štáty, ktorých hospodárstva sú najviac zasiahnuté účinkami pandémie COVID-19 a/alebo v ktorých je dostupnosť štátnej podpory platobnej schopnosti obmedzenejšia. Účelom je prispieť k obnove životaschopnosti spoločností a uvoľniť ich rastový potenciál a zároveň prispieť k prioritám Únie, ako napríklad zelená a digitálna transformácia alebo podpora cezhraničnej činnosti v Únii, ako aj posilnenie sociálneho rozmeru Únie a konvergencie v nej. Podpora bude k dispozícii v prospech všetkých cieľov nariadenia. </w:t>
      </w:r>
    </w:p>
    <w:p>
      <w:pPr>
        <w:rPr>
          <w:noProof/>
        </w:rPr>
      </w:pPr>
      <w:r>
        <w:rPr>
          <w:noProof/>
        </w:rPr>
        <w:t>Na účel pomoci v postupnom zavádzaní nástroja členské štáty môžu i) vytvoriť vnútroštátne účelovo vytvorené subjekty, ktoré by mohli požiadať o podporu v rámci segmentu podpory platobnej schopnosti; ii) investovať v súlade s pravidlami štátnej pomoci spolu so zárukou alebo investíciou skupiny EIB priamo alebo prostredníctvom národnej podpornej banky alebo inštitúcie do fondov alebo účelovo vytvorených subjektov; a iii) uľahčiť vytvorenie kapitálových fondov alebo účelovo vytvorených subjektov prostredníctvom spolupráce s inštitucionálnymi investormi.</w:t>
      </w:r>
    </w:p>
    <w:p>
      <w:pPr>
        <w:rPr>
          <w:noProof/>
        </w:rPr>
      </w:pPr>
      <w:r>
        <w:rPr>
          <w:noProof/>
        </w:rPr>
        <w:lastRenderedPageBreak/>
        <w:t>Komisia by mala byť schopná podieľať sa na možnom navýšení kapitálu (v jednom alebo viacerých kolách) Európskeho investičného fondu (EIF), ktorý bude plniť kľúčovú úlohu v podporovaní hospodárskeho oživenia vydávaním záruk, vykonávaním sekuritizačných operácií a podporovaním kapitálových investícií v celej Únii. Na tento účel by sa v aktuálnom období v revidovanom viacročnom finančnom rámci malo vyhradiť finančné krytie až 500 000 000 EUR tak, aby Únia zastúpená Komisiou bola schopná udržať si svoj celkový podiel na základnom imaní EIF.</w:t>
      </w:r>
    </w:p>
    <w:p>
      <w:pPr>
        <w:rPr>
          <w:noProof/>
        </w:rPr>
      </w:pPr>
      <w:r>
        <w:rPr>
          <w:noProof/>
        </w:rPr>
        <w:t>Štruktúra riadenia EFSI sa zachová a bude sa uplatňovať na tretí segment. V rámci segmentu podpory platobnej schopnosti bude investičný výbor schvaľovať každú operáciu financovania alebo investičnú operáciu EIB, t. j. bude rozhodovať o poskytnutí záruky EÚ na financovanie, záruku alebo investovanie do fondu, účelovo vytvoreného subjektu, národnej podpornej banky alebo inštitúcie či iného nástroja. V prípade operácií, ktoré má vykonávať EIB, sa vedie konzultácia s investičným výborom o finančných produktoch, ktoré schválila riadiaca rada a generálny riaditeľ, v rámci ktorých bude EIF uzatvárať jednotlivé operácie. Jednotlivé rozhodnutia o výbere spoločností, ktoré získajú sprostredkovanú podporu, bude prijímať správca fondu alebo nástroja v súlade s kritériami stanovenými v nariadení o EFSI a príslušnými zmluvnými dojednaniami podpísanými s EIB. Investičný výbor si takisto môže ponechať právo schvaľovať podkladové čiastkové operácie v súlade s nariadením o EFSI v prípade operácií financovania alebo investičných operácií EIB. Členské štáty sa do rozhodovania o poskytovaní záruky EÚ nezapájajú. Potom, ako investičný výbor podľa návrhu nariadenia o InvestEU</w:t>
      </w:r>
      <w:r>
        <w:rPr>
          <w:rStyle w:val="FootnoteReference"/>
          <w:noProof/>
        </w:rPr>
        <w:footnoteReference w:id="3"/>
      </w:r>
      <w:r>
        <w:rPr>
          <w:noProof/>
        </w:rPr>
        <w:t xml:space="preserve"> prevezme svoje funkcie, úlohy investičného výboru podľa nariadenia o EFSI vykonáva tento výbor.</w:t>
      </w:r>
    </w:p>
    <w:p>
      <w:pPr>
        <w:rPr>
          <w:noProof/>
        </w:rPr>
      </w:pPr>
      <w:r>
        <w:rPr>
          <w:noProof/>
        </w:rPr>
        <w:t>V súlade so súčasným nariadením o EFSI nebudú stanovené geografické kvóty. Je zachovaný cieľ v oblasti klímy.</w:t>
      </w:r>
    </w:p>
    <w:p>
      <w:pPr>
        <w:rPr>
          <w:noProof/>
        </w:rPr>
      </w:pPr>
      <w:r>
        <w:rPr>
          <w:noProof/>
        </w:rPr>
        <w:t>Riadiaca rada však vymedzí špecifické hraničné hodnoty geografickej koncentrácie týkajúce sa segmentu podpory platobnej schopnosti v súlade so zásadami stanovenými v tomto nariadení s cieľom zabezpečiť, aby väčšina záruky EÚ v rámci nástroja na podporu platobnej schopnosti podporovala oprávnené spoločnosti v členských štátoch a odvetviach, ktoré hospodársky najviac postihla pandémia COVID-19, respektíve aby väčšina záruky podporovala oprávnené spoločnosti v členských štátoch, v ktorých je dostupnosť štátnej podpory platobnej schopnosti obmedzenejšia. Takto by sa zabezpečilo, že sa záruka EÚ bude riadiť podľa potreby flexibilne. Tieto hraničné hodnoty môžu byť v priebehu času aktualizované so zreteľom na vplyvy COVID-19, pričom sa zároveň zabráni tomu, aby sa podpora z nástroja sústredila v obmedzenom počte členských štátov.</w:t>
      </w:r>
    </w:p>
    <w:p>
      <w:pPr>
        <w:rPr>
          <w:noProof/>
        </w:rPr>
      </w:pPr>
      <w:r>
        <w:rPr>
          <w:noProof/>
        </w:rPr>
        <w:t>Prostredníctvom Nástroja na podporu platobnej schopnosti sa podporia spoločnosti v Únii, ktoré sú životaschopné, ale čelia rizikám ohrozujúcim ich platobnú schopnosť z dôvodu hospodárskej krízy zapríčinenej pandémiou COVID-19 (okrem tých, ktoré sa považujú za spoločnosti v ťažkostiach podľa podmienok štátnej pomoci</w:t>
      </w:r>
      <w:r>
        <w:rPr>
          <w:rStyle w:val="FootnoteReference"/>
          <w:noProof/>
        </w:rPr>
        <w:footnoteReference w:id="4"/>
      </w:r>
      <w:r>
        <w:rPr>
          <w:noProof/>
        </w:rPr>
        <w:t xml:space="preserve"> na konci roka 2019) s cieľom dostať ich späť k udržateľnému a ziskovému podnikaniu a zlepšiť ho. Ďalšie kritériá kapitálového a hybridného financovania budú uvedené v investičných usmerneniach alebo budú stanovené v dohode o záruke. Aby sa predišlo tomu, že tento nástroj budú využívať spoločnosti s prístupom ku kapitálovému financovaniu, a aby sa zabezpečila jeho </w:t>
      </w:r>
      <w:r>
        <w:rPr>
          <w:noProof/>
        </w:rPr>
        <w:lastRenderedPageBreak/>
        <w:t>doplnkovosť, kapitálové financovanie by sa malo poskytovať za komerčných podmienok alebo za podmienok podobných dočasnému rámcu pre štátnu pomoc</w:t>
      </w:r>
      <w:r>
        <w:rPr>
          <w:rStyle w:val="FootnoteReference"/>
          <w:noProof/>
        </w:rPr>
        <w:footnoteReference w:id="5"/>
      </w:r>
      <w:r>
        <w:rPr>
          <w:noProof/>
        </w:rPr>
        <w:t xml:space="preserve"> (napríklad odmeňovanie a stratégia na ukončenie), pričom sa bude náležite zohľadňovať európsky charakter nástroja a nezávislé riadenie fondov a iných nástrojov a zohľadní sa odlišnosť kapitálových trhov v rámci Únie. Hĺbkovú analýzu fondov alebo iných sprostredkovateľských nástrojov bude vykonávať EIB alebo EIF v súlade so svojimi pravidlami a postupmi a cieľmi segmentu podpory platobnej schopnosti, pričom hĺbkovú analýzu podkladových spoločností budú vykonávať fondy alebo iné nástroje.</w:t>
      </w:r>
    </w:p>
    <w:p>
      <w:pPr>
        <w:rPr>
          <w:rFonts w:ascii="&amp;quot" w:hAnsi="&amp;quot"/>
          <w:noProof/>
          <w:sz w:val="21"/>
          <w:szCs w:val="21"/>
        </w:rPr>
      </w:pPr>
      <w:r>
        <w:rPr>
          <w:noProof/>
        </w:rPr>
        <w:t>Sprostredkovateľské fondy alebo nástroje by boli zriadené v Únii.</w:t>
      </w:r>
      <w:r>
        <w:rPr>
          <w:rFonts w:ascii="&amp;quot" w:hAnsi="&amp;quot"/>
          <w:noProof/>
          <w:sz w:val="21"/>
          <w:szCs w:val="21"/>
        </w:rPr>
        <w:t xml:space="preserve"> </w:t>
      </w:r>
    </w:p>
    <w:p>
      <w:pPr>
        <w:pStyle w:val="ManualHeading2"/>
        <w:rPr>
          <w:rFonts w:eastAsia="Arial Unicode MS"/>
          <w:noProof/>
          <w:u w:color="000000"/>
          <w:bdr w:val="nil"/>
        </w:rPr>
      </w:pPr>
      <w:r>
        <w:rPr>
          <w:noProof/>
          <w:u w:color="000000"/>
          <w:bdr w:val="nil"/>
        </w:rPr>
        <w:t>•</w:t>
      </w:r>
      <w:r>
        <w:rPr>
          <w:noProof/>
          <w:u w:color="000000"/>
          <w:bdr w:val="nil"/>
        </w:rPr>
        <w:tab/>
      </w:r>
      <w:r>
        <w:rPr>
          <w:noProof/>
        </w:rPr>
        <w:t>Súlad s existujúcimi ustanoveniami v tejto oblasti politiky</w:t>
      </w:r>
    </w:p>
    <w:p>
      <w:pPr>
        <w:rPr>
          <w:noProof/>
        </w:rPr>
      </w:pPr>
      <w:r>
        <w:rPr>
          <w:noProof/>
        </w:rPr>
        <w:t xml:space="preserve">Návrh dopĺňa investičnú podporu a prístup k finančným prostriedkom dostupným podľa nariadenia o EFSI a návrhu nariadenia o InvestEU pre viacročný finančný rámec na obdobie rokov 2021 – 2027 prostredníctvom poskytovania podpory spoločnostiam, ktoré majú životaschopný obchodný model, ale môžu čeliť problémom s platobnou schopnosťou z dôvodu krízy spôsobenej ochorením COVID-19. Nástroj na podporu platobnej schopnosti umožňuje takýmto spoločnostiam zvládnuť vplyv krízy prostredníctvom dočasnej podpory platobnej schopnosti. </w:t>
      </w:r>
    </w:p>
    <w:p>
      <w:pPr>
        <w:pBdr>
          <w:top w:val="nil"/>
          <w:left w:val="nil"/>
          <w:bottom w:val="nil"/>
          <w:right w:val="nil"/>
          <w:between w:val="nil"/>
          <w:bar w:val="nil"/>
        </w:pBdr>
        <w:spacing w:before="0" w:after="240"/>
        <w:rPr>
          <w:rFonts w:eastAsia="Arial Unicode MS"/>
          <w:noProof/>
        </w:rPr>
      </w:pPr>
      <w:r>
        <w:rPr>
          <w:noProof/>
        </w:rPr>
        <w:t>Nástroj na podporu platobnej schopnosti dopĺňa iné programy Únie zamerané na zmierňovanie vplyvov krízy spôsobenej ochorením COVID-19 alebo na oživenie hospodárstva po skončení tejto krízy. Dopĺňa najmä podporu pre MSP, ktorá sa bude poskytovať prostredníctvom i) pomoci na oživenie pre súdržnosť (REACT-EU), v rámci ktorej sa poskytne predsunutá podpora aj pre MSP; a ii) Celoeurópskeho záručného fondu v reakcii na krízu spôsobenú ochorením COVID-19, ktorý vytvára EIB s podporou záruky od členských štátov. Doplnkovú podporu od roku 2021 poskytne aj segment pre MSP, ktorý sa posilňuje v rámci Programu InvestEU.</w:t>
      </w:r>
    </w:p>
    <w:p>
      <w:pPr>
        <w:pStyle w:val="ManualHeading2"/>
        <w:rPr>
          <w:rFonts w:eastAsia="Arial Unicode MS"/>
          <w:noProof/>
        </w:rPr>
      </w:pPr>
      <w:r>
        <w:rPr>
          <w:noProof/>
          <w:u w:color="000000"/>
          <w:bdr w:val="nil"/>
        </w:rPr>
        <w:t>•</w:t>
      </w:r>
      <w:r>
        <w:rPr>
          <w:noProof/>
          <w:u w:color="000000"/>
          <w:bdr w:val="nil"/>
        </w:rPr>
        <w:tab/>
      </w:r>
      <w:r>
        <w:rPr>
          <w:noProof/>
        </w:rPr>
        <w:t>Súlad s ostatnými politikami Únie</w:t>
      </w:r>
    </w:p>
    <w:p>
      <w:pPr>
        <w:pBdr>
          <w:top w:val="nil"/>
          <w:left w:val="nil"/>
          <w:bottom w:val="nil"/>
          <w:right w:val="nil"/>
          <w:between w:val="nil"/>
          <w:bar w:val="nil"/>
        </w:pBdr>
        <w:spacing w:before="0" w:after="240"/>
        <w:rPr>
          <w:rFonts w:eastAsia="Arial Unicode MS"/>
          <w:noProof/>
        </w:rPr>
      </w:pPr>
      <w:r>
        <w:rPr>
          <w:noProof/>
        </w:rPr>
        <w:t>Nástroj na podporu platobnej schopnosti je v súlade s príslušnými politikami Únie, napríklad európskou zelenou dohodou, investičným plánom pre udržateľnú Európu a odvetvovými politikami, ktoré sa týkajú investičnej podpory.</w:t>
      </w:r>
    </w:p>
    <w:p>
      <w:pPr>
        <w:pBdr>
          <w:top w:val="nil"/>
          <w:left w:val="nil"/>
          <w:bottom w:val="nil"/>
          <w:right w:val="nil"/>
          <w:between w:val="nil"/>
          <w:bar w:val="nil"/>
        </w:pBdr>
        <w:spacing w:before="0" w:after="240"/>
        <w:rPr>
          <w:rFonts w:eastAsia="Arial Unicode MS"/>
          <w:noProof/>
        </w:rPr>
      </w:pPr>
      <w:r>
        <w:rPr>
          <w:noProof/>
        </w:rPr>
        <w:t>Podmienky operácií financovania a investičných operácií v rámci segmentu podpory platobnej schopnosti by mali byť v súlade s pravidlami štátnej pomoci, aby sa zabezpečili rovnaké podmienky a uľahčili možné kombinácie s podporou poskytovanou priamo členskými štátmi. Okrem toho sa náležite zohľadňuje európska povaha Nástroja na podporu platobnej schopnosti a nezávislé riadenie fondov a iných nástrojov.</w:t>
      </w:r>
    </w:p>
    <w:p>
      <w:pPr>
        <w:pBdr>
          <w:top w:val="nil"/>
          <w:left w:val="nil"/>
          <w:bottom w:val="nil"/>
          <w:right w:val="nil"/>
          <w:between w:val="nil"/>
          <w:bar w:val="nil"/>
        </w:pBdr>
        <w:spacing w:before="0" w:after="240"/>
        <w:rPr>
          <w:rFonts w:eastAsia="Arial Unicode MS"/>
          <w:noProof/>
        </w:rPr>
      </w:pPr>
      <w:r>
        <w:rPr>
          <w:noProof/>
        </w:rPr>
        <w:t>Záruka EÚ bude nastavená tak, aby sa zabránilo neprimeranému narušeniu hospodárskej súťaže, keďže bude obmedzená na riešenie problematiky obnovy kapitálovej pozície spoločností, ktoré neboli v ťažkostiach pred vypuknutím ochorenia COVID-19 a ktoré z dôvodu krízy čelia významným rizikám ohrozujúcim ich platobnú schopnosť. Okrem toho dôjde k prilákaniu súkromných investorov a podnieti sa vznik nových fondov a nástrojov. V rozhodnutiach o financovaní sa bude uplatňovať obchodná logika a spoločnosti s primeranými výhľadmi návratnosti budú vyberať nezávislí komerčne fungujúci správcovia fondov.</w:t>
      </w:r>
    </w:p>
    <w:p>
      <w:pPr>
        <w:pStyle w:val="ManualHeading1"/>
        <w:rPr>
          <w:noProof/>
        </w:rPr>
      </w:pPr>
      <w:r>
        <w:rPr>
          <w:noProof/>
        </w:rPr>
        <w:lastRenderedPageBreak/>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rPr>
          <w:noProof/>
        </w:rPr>
      </w:pPr>
      <w:r>
        <w:rPr>
          <w:noProof/>
        </w:rPr>
        <w:t>Návrhom sa mení nariadenie o EFSI, preto sa uplatňuje rovnaký právny základ.</w:t>
      </w:r>
    </w:p>
    <w:p>
      <w:pPr>
        <w:pStyle w:val="ManualHeading2"/>
        <w:rPr>
          <w:rFonts w:eastAsia="Arial Unicode MS"/>
          <w:noProof/>
          <w:u w:color="000000"/>
          <w:bdr w:val="nil"/>
        </w:rPr>
      </w:pPr>
      <w:r>
        <w:rPr>
          <w:noProof/>
          <w:u w:color="000000"/>
          <w:bdr w:val="nil"/>
        </w:rPr>
        <w:t>•</w:t>
      </w:r>
      <w:r>
        <w:rPr>
          <w:noProof/>
          <w:u w:color="000000"/>
          <w:bdr w:val="nil"/>
        </w:rPr>
        <w:tab/>
        <w:t xml:space="preserve">Subsidiarita </w:t>
      </w:r>
    </w:p>
    <w:p>
      <w:pPr>
        <w:rPr>
          <w:noProof/>
        </w:rPr>
      </w:pPr>
      <w:r>
        <w:rPr>
          <w:noProof/>
        </w:rPr>
        <w:t xml:space="preserve">Ciele návrhu nie je možné uspokojivo dosiahnuť na úrovni jednotlivých členských štátov a možno ich lepšie dosiahnuť na úrovni Únie. Z dôvodu odlišností fiškálnej kapacity členských štátov konať a z dôvodu rozsahu a účinkov navrhovaných opatrení možno sledované ciele lepšie dosiahnuť na úrovni Únie. Konkrétnejšie, opatrenia na úrovni Únie umožnia vyvážiť narušenia na vnútornom trhu spôsobené odlišnou fiškálnou kapacitou jednotlivých členských štátov poskytovať štátnu pomoc na podporu platobnej schopnosti svojich spoločností a takisto umožnia, aby vzájomne prepojené dodávateľské reťazce na vnútornom trhu fungovali s menším narušením vďaka tomu, že sa predíde konkurzom životaschopných spoločností. Okrem toho sa umožnia úspory z rozsahu pri používaní záruky z rozpočtu Únie v kombinácii s financovaním skupinou EIB prostredníctvom stimulovania súkromných investícií v celej Únii. </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rPr>
          <w:noProof/>
        </w:rPr>
      </w:pPr>
      <w:r>
        <w:rPr>
          <w:noProof/>
        </w:rPr>
        <w:t>Návrh neprekračuje rámec toho, čo je nevyhnutné na dosiahnutie sledovaných cieľov. Zámerom je podporiť spoločnosti a projekty, ktoré sú postihnuté ekonomickými dôsledkami pandémie COVID-19, ktorá postihuje všetky členské štáty. Mobilizovaním súkromných zdrojov na podporu platobnej schopnosti spolu s verejnými prostriedkami dôjde k efektívnejšiemu a primeranejšiemu využívaniu rozpočtových zdrojov.</w:t>
      </w:r>
    </w:p>
    <w:p>
      <w:pPr>
        <w:pStyle w:val="ManualHeading1"/>
        <w:rPr>
          <w:noProof/>
        </w:rPr>
      </w:pPr>
      <w:r>
        <w:rPr>
          <w:noProof/>
        </w:rPr>
        <w:t>3.</w:t>
      </w:r>
      <w:r>
        <w:rPr>
          <w:noProof/>
        </w:rPr>
        <w:tab/>
        <w:t xml:space="preserve">VÝSLEDKY HODNOTENÍ </w:t>
      </w:r>
      <w:r>
        <w:rPr>
          <w:i/>
          <w:iCs/>
          <w:noProof/>
        </w:rPr>
        <w:t>EX POST</w:t>
      </w:r>
      <w:r>
        <w:rPr>
          <w:noProof/>
        </w:rPr>
        <w:t>, KONZULTÁCIÍ SO ZAINTERESOVANÝMI STRANAMI A POSÚDENÍ VPLYVU</w:t>
      </w:r>
    </w:p>
    <w:p>
      <w:pPr>
        <w:pStyle w:val="ManualHeading2"/>
        <w:tabs>
          <w:tab w:val="clear" w:pos="850"/>
          <w:tab w:val="left" w:pos="0"/>
        </w:tabs>
        <w:ind w:left="0" w:firstLine="0"/>
        <w:rPr>
          <w:rFonts w:eastAsia="Arial Unicode MS"/>
          <w:b w:val="0"/>
          <w:noProof/>
          <w:u w:color="000000"/>
          <w:bdr w:val="nil"/>
        </w:rPr>
      </w:pPr>
      <w:r>
        <w:rPr>
          <w:b w:val="0"/>
          <w:noProof/>
          <w:u w:color="000000"/>
          <w:bdr w:val="nil"/>
        </w:rPr>
        <w:t xml:space="preserve">Tento návrh je súčasťou balíka opatrení na boj proti nepriaznivým ekonomickým dôsledkom pandémie COVID-19 a predstavuje krízové opatrenie. </w:t>
      </w:r>
    </w:p>
    <w:p>
      <w:pPr>
        <w:pStyle w:val="ManualHeading2"/>
        <w:rPr>
          <w:noProof/>
          <w:u w:color="000000"/>
          <w:bdr w:val="nil"/>
        </w:rPr>
      </w:pPr>
      <w:r>
        <w:rPr>
          <w:noProof/>
          <w:u w:color="000000"/>
          <w:bdr w:val="nil"/>
        </w:rPr>
        <w:t>•</w:t>
      </w:r>
      <w:r>
        <w:rPr>
          <w:noProof/>
          <w:u w:color="000000"/>
          <w:bdr w:val="nil"/>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Z dôvodu naliehavosti prípravy návrhu tak, aby ho mohli včas prijať Európsky parlament a Rada, sa nemohli uskutočniť konzultácie so zainteresovanými stranami.</w:t>
      </w:r>
    </w:p>
    <w:p>
      <w:pPr>
        <w:pStyle w:val="ManualHeading2"/>
        <w:rPr>
          <w:noProof/>
          <w:u w:color="000000"/>
          <w:bdr w:val="nil"/>
        </w:rPr>
      </w:pPr>
      <w:r>
        <w:rPr>
          <w:noProof/>
          <w:u w:color="000000"/>
          <w:bdr w:val="nil"/>
        </w:rPr>
        <w:t>•</w:t>
      </w:r>
      <w:r>
        <w:rPr>
          <w:noProof/>
          <w:u w:color="000000"/>
          <w:bdr w:val="nil"/>
        </w:rPr>
        <w:tab/>
        <w:t>Posúdenie vplyvu</w:t>
      </w:r>
    </w:p>
    <w:p>
      <w:pPr>
        <w:pBdr>
          <w:top w:val="nil"/>
          <w:left w:val="nil"/>
          <w:bottom w:val="nil"/>
          <w:right w:val="nil"/>
          <w:between w:val="nil"/>
          <w:bar w:val="nil"/>
        </w:pBdr>
        <w:spacing w:before="0" w:after="240"/>
        <w:rPr>
          <w:rFonts w:eastAsia="Arial Unicode MS"/>
          <w:noProof/>
        </w:rPr>
      </w:pPr>
      <w:r>
        <w:rPr>
          <w:noProof/>
        </w:rPr>
        <w:t>Vzhľadom na naliehavosť návrhu nebolo vykonané žiadne posúdenie vplyvu.</w:t>
      </w:r>
    </w:p>
    <w:p>
      <w:pPr>
        <w:pStyle w:val="ManualHeading1"/>
        <w:rPr>
          <w:noProof/>
        </w:rPr>
      </w:pPr>
      <w:r>
        <w:rPr>
          <w:noProof/>
        </w:rPr>
        <w:t>4.</w:t>
      </w:r>
      <w:r>
        <w:rPr>
          <w:noProof/>
        </w:rPr>
        <w:tab/>
        <w:t>VPLYV NA ROZPOČET</w:t>
      </w:r>
    </w:p>
    <w:p>
      <w:pPr>
        <w:rPr>
          <w:noProof/>
        </w:rPr>
      </w:pPr>
      <w:r>
        <w:rPr>
          <w:noProof/>
        </w:rPr>
        <w:t xml:space="preserve">Záruka EÚ ustanovená v rámci nariadenia o EFSI sa zvýši z 26 miliárd EUR na 92,4 miliardy EUR. V súlade s odhadovanou rizikovosťou portfólia, ktoré sa má vytvoriť v rámci segmentu podpory platobnej schopnosti sa odhaduje, že podiel záruky EÚ pridelený na uvedený tretí segment si vyžiada tvorbu rezerv na úrovni 50 %, v čom je zohľadnené vyššie riziko cieľových investícií v súčasných hospodárskych podmienkach. Značná veľkosť záruky EÚ a druhy plánovaných intervencií okrem toho poukazujú na potrebu konzervatívneho prístupu k tvorbe rezerv. Znamená to, že dodatočná tvorba rezerv v súvislosti so zvýšenou zárukou EÚ bude predstavovať 33,2 miliardy EUR. Celková miera tvorby rezerv záručného fondu EÚ sa preto zvýši na 45,8 % celkových záručných záväzkov EÚ. V dôsledku toho by sa záručný fond EFSI mal navýšiť o 33,2 miliardy EUR, a celkovo tak dosiahne 42,3 miliardy EUR. </w:t>
      </w:r>
    </w:p>
    <w:p>
      <w:pPr>
        <w:pBdr>
          <w:top w:val="nil"/>
          <w:left w:val="nil"/>
          <w:bottom w:val="nil"/>
          <w:right w:val="nil"/>
          <w:between w:val="nil"/>
          <w:bar w:val="nil"/>
        </w:pBdr>
        <w:spacing w:before="0" w:after="240"/>
        <w:rPr>
          <w:noProof/>
        </w:rPr>
      </w:pPr>
      <w:r>
        <w:rPr>
          <w:noProof/>
        </w:rPr>
        <w:lastRenderedPageBreak/>
        <w:t>Dodatočné zdroje budú mobilizované prostredníctvom navýšenia stropov vo viacročnom finančnom rámci na obdobie rokov 2014 – 2020 a financovania sprístupneného prostredníctvom Európskeho nástroja obnovy na základe splnomocnenia stanoveného v novom rozhodnutí o vlastných zdrojoch.</w:t>
      </w:r>
    </w:p>
    <w:p>
      <w:pPr>
        <w:pBdr>
          <w:top w:val="nil"/>
          <w:left w:val="nil"/>
          <w:bottom w:val="nil"/>
          <w:right w:val="nil"/>
          <w:between w:val="nil"/>
          <w:bar w:val="nil"/>
        </w:pBdr>
        <w:spacing w:before="0" w:after="240"/>
        <w:rPr>
          <w:noProof/>
        </w:rPr>
      </w:pPr>
      <w:r>
        <w:rPr>
          <w:noProof/>
        </w:rPr>
        <w:t xml:space="preserve">Bude potrebná osobitná suma 100 miliónov EUR na pokrytie nákladov spojených s vytvorením a riadením štruktúr (kapitálových fondov, účelovo vytvorených subjektov, investičných platforiem a iných), prostredníctvom ktorých sa má poskytovať podpora v rámci segmentu podpory platobnej schopnosti, a na súvisiace poradenské služby a technickú pomoc, najmä na podporu zelenej a digitálnej transformácie spoločností financovaných v rámci segmentu podpory platobnej schopnosti. </w:t>
      </w:r>
    </w:p>
    <w:p>
      <w:pPr>
        <w:pBdr>
          <w:top w:val="nil"/>
          <w:left w:val="nil"/>
          <w:bottom w:val="nil"/>
          <w:right w:val="nil"/>
          <w:between w:val="nil"/>
          <w:bar w:val="nil"/>
        </w:pBdr>
        <w:spacing w:before="0" w:after="240"/>
        <w:rPr>
          <w:noProof/>
        </w:rPr>
      </w:pPr>
      <w:r>
        <w:rPr>
          <w:noProof/>
        </w:rPr>
        <w:t>Účasť Únie na možnom nadchádzajúcom navýšení kapitálu (v jednom alebo viacerých kolách) EIF si bude vyžadovať finančné krytie do výšky až 500 miliónov EUR v revidovanom viacročnom finančnom rámci na súčasné obdobie. Toto sa týka podielu Únie na splatenej časti navýšenia kapitálu. Únia bude schopná udržať si svoj celkový podiel na základnom imaní EIF.</w:t>
      </w:r>
    </w:p>
    <w:p>
      <w:pPr>
        <w:pBdr>
          <w:top w:val="nil"/>
          <w:left w:val="nil"/>
          <w:bottom w:val="nil"/>
          <w:right w:val="nil"/>
          <w:between w:val="nil"/>
          <w:bar w:val="nil"/>
        </w:pBdr>
        <w:spacing w:before="0" w:after="240"/>
        <w:rPr>
          <w:rFonts w:eastAsia="Arial Unicode MS"/>
          <w:noProof/>
        </w:rPr>
      </w:pPr>
      <w:r>
        <w:rPr>
          <w:noProof/>
        </w:rPr>
        <w:t>Podrobnejšie rozpočtové informácie sú uvedené v legislatívnom finančnom výkaze, ktorý je sprievodným dokumentom k tomuto návrhu.</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rPr>
          <w:noProof/>
        </w:rPr>
      </w:pPr>
      <w:r>
        <w:rPr>
          <w:noProof/>
        </w:rPr>
        <w:t>Nástroj na podporu platobnej schopnosti bude implementovať EIB priamo alebo prostredníctvom EIF. Spôsob monitorovania a podávania správ bude stanovený v dohode o záruke a bude v súlade s existujúcimi požiadavkami. Monitorovanie bude zahŕňať kľúčové ukazovatele výkonnosti na sledovanie pokroku k dosahovaniu cieľov segmentu podpory platobnej schopnosti.</w:t>
      </w:r>
    </w:p>
    <w:p>
      <w:pPr>
        <w:pStyle w:val="ManualHeading2"/>
        <w:rPr>
          <w:rFonts w:eastAsia="Arial Unicode MS"/>
          <w:noProof/>
          <w:u w:color="000000"/>
          <w:bdr w:val="nil"/>
        </w:rPr>
      </w:pPr>
      <w:r>
        <w:rPr>
          <w:noProof/>
          <w:u w:color="000000"/>
          <w:bdr w:val="nil"/>
        </w:rPr>
        <w:t>•</w:t>
      </w:r>
      <w:r>
        <w:rPr>
          <w:noProof/>
          <w:u w:color="000000"/>
          <w:bdr w:val="nil"/>
        </w:rPr>
        <w:tab/>
        <w:t>Podrobné vysvetlenie konkrétnych ustanovení návrhu</w:t>
      </w:r>
    </w:p>
    <w:p>
      <w:pPr>
        <w:rPr>
          <w:noProof/>
        </w:rPr>
      </w:pPr>
      <w:r>
        <w:rPr>
          <w:noProof/>
        </w:rPr>
        <w:t>Konkrétne ustanovenia sú vysvetlené podľa príslušnej kapitoly nariadenia o EFSI.</w:t>
      </w:r>
    </w:p>
    <w:p>
      <w:pPr>
        <w:rPr>
          <w:b/>
          <w:noProof/>
        </w:rPr>
      </w:pPr>
      <w:r>
        <w:rPr>
          <w:b/>
          <w:noProof/>
        </w:rPr>
        <w:t>Kapitola II</w:t>
      </w:r>
    </w:p>
    <w:p>
      <w:pPr>
        <w:rPr>
          <w:noProof/>
        </w:rPr>
      </w:pPr>
      <w:r>
        <w:rPr>
          <w:noProof/>
        </w:rPr>
        <w:t>V rámci EFSI sa vytvára tretí segment (segment podpory platobnej schopnosti).</w:t>
      </w:r>
    </w:p>
    <w:p>
      <w:pPr>
        <w:rPr>
          <w:noProof/>
        </w:rPr>
      </w:pPr>
      <w:r>
        <w:rPr>
          <w:noProof/>
        </w:rPr>
        <w:t xml:space="preserve">V kritériách používania záruky EÚ v rámci segmentu podpory platobnej schopnosti sa vymedzuje, že spoločnosti a projekty, ktoré sú oprávnené získať záruku EÚ v rámci tohto segmentu, nesmeli byť na konci roka 2019 v ťažkostiach podľa podmienok štátnej pomoci, takže záruka EÚ je nasmerovaná tak, aby im poskytla podporu platobnej schopnosti s cieľom pomôcť im zotaviť sa z krízy spôsobenej pandémiou COVID-19. Spoločnosti zahŕňajú aj účelovo vytvorené subjekty, projektové spoločnosti a verejno-súkromné partnerstvá. </w:t>
      </w:r>
    </w:p>
    <w:p>
      <w:pPr>
        <w:rPr>
          <w:noProof/>
        </w:rPr>
      </w:pPr>
      <w:r>
        <w:rPr>
          <w:noProof/>
        </w:rPr>
        <w:t>Podpora sa poskytuje prostredníctvom investícií alebo fondov, účelovo vytvorených subjektov, investičných platforiem alebo prostredníctvom iných sprostredkovaných prostriedkov. Podnecuje sa spolupráca s národnými podpornými bankami alebo inštitúciami.</w:t>
      </w:r>
    </w:p>
    <w:p>
      <w:pPr>
        <w:rPr>
          <w:b/>
          <w:noProof/>
        </w:rPr>
      </w:pPr>
      <w:r>
        <w:rPr>
          <w:b/>
          <w:noProof/>
        </w:rPr>
        <w:t>Kapitola III a investičné usmernenia (príloha II)</w:t>
      </w:r>
    </w:p>
    <w:p>
      <w:pPr>
        <w:rPr>
          <w:noProof/>
        </w:rPr>
      </w:pPr>
      <w:r>
        <w:rPr>
          <w:noProof/>
        </w:rPr>
        <w:t xml:space="preserve">Aby boli spoločnosti oprávnené na podporu platobnej schopnosti, musia byť usadené a pôsobiť v Únii. </w:t>
      </w:r>
    </w:p>
    <w:p>
      <w:pPr>
        <w:rPr>
          <w:noProof/>
        </w:rPr>
      </w:pPr>
      <w:r>
        <w:rPr>
          <w:noProof/>
        </w:rPr>
        <w:t>Predpokladá sa, že EIB aj EIF budú môcť vykonávať operácie v rámci segmentu podpory platobnej schopnosti.</w:t>
      </w:r>
    </w:p>
    <w:p>
      <w:pPr>
        <w:rPr>
          <w:noProof/>
        </w:rPr>
      </w:pPr>
      <w:r>
        <w:rPr>
          <w:noProof/>
        </w:rPr>
        <w:lastRenderedPageBreak/>
        <w:t xml:space="preserve">Všeobecné ciele EFSI sú doplnené odkazom na európsku zelenú dohodu a stratégiu zameranú na formovanie digitálnej budúcnosti Európy, ako aj na potrebu predchádzať regionálnym rozdielom vyplývajúcim z asymetrického oživenia, ku ktorému dochádza po pandémii COVID-19. </w:t>
      </w:r>
    </w:p>
    <w:p>
      <w:pPr>
        <w:rPr>
          <w:noProof/>
        </w:rPr>
      </w:pPr>
      <w:r>
        <w:rPr>
          <w:noProof/>
        </w:rPr>
        <w:t xml:space="preserve">Riadiaca rada stanoví potrebné požiadavky týkajúce sa kontroly sprostredkovateľov (fondov, účelovo vytvorených subjektov a iných) v súvislosti s uplatniteľným verejným poriadkom alebo aspektmi bezpečnosti. </w:t>
      </w:r>
    </w:p>
    <w:p>
      <w:pPr>
        <w:rPr>
          <w:noProof/>
        </w:rPr>
      </w:pPr>
      <w:r>
        <w:rPr>
          <w:noProof/>
        </w:rPr>
        <w:t xml:space="preserve">Podpora môže prúdiť prostredníctvom rôznych nástrojov a produktov, a to aj prostredníctvom národných podporných bánk a inštitúcií v súlade s platnými pravidlami štátnej pomoci a medzinárodnými pravidlami. </w:t>
      </w:r>
    </w:p>
    <w:p>
      <w:pPr>
        <w:rPr>
          <w:noProof/>
        </w:rPr>
      </w:pPr>
      <w:r>
        <w:rPr>
          <w:noProof/>
        </w:rPr>
        <w:t xml:space="preserve">Záruka EÚ v súvislosti so segmentom podpory platobnej schopnosti dosahuje 66,4 miliardy EUR. Po jej zavedení dosiahne celková záruka EÚ maximálne 92,4 miliardy EUR. Zodpovedajúca tvorba rezerv (s mierou tvorby rezerv na úrovni 50 %, pokiaľ ide o zvýšenie záruky EÚ) dosahuje 33,2 miliardy EUR, v dôsledku čoho dosahuje záručný fond EFSI spolu 42,3 miliardy EUR. Celková miera tvorby rezerv sa preto upravuje na 45,8 %. </w:t>
      </w:r>
    </w:p>
    <w:p>
      <w:pPr>
        <w:rPr>
          <w:noProof/>
        </w:rPr>
      </w:pPr>
      <w:r>
        <w:rPr>
          <w:noProof/>
        </w:rPr>
        <w:t>Investičné obdobie v súvislosti so segmentom podpory platobnej schopnosti prebieha všeobecne do konca roka 2024, pokiaľ ide o schválenia investičným výborom a riadiacimi orgánmi EIB/EIF, a do konca roka 2026, pokiaľ ide o podpisovanie operácií. Do konca roka 2022 však už musí byť schválených 60 % operácií financovania a investičných operácií.</w:t>
      </w:r>
    </w:p>
    <w:p>
      <w:pPr>
        <w:rPr>
          <w:noProof/>
        </w:rPr>
      </w:pPr>
      <w:r>
        <w:rPr>
          <w:noProof/>
        </w:rPr>
        <w:t>Investičný výbor schvaľuje používanie záruky EÚ v rámci segmentu podpory platobnej schopnosti rovnako, ako je to v súčasnosti v prípade druhých dvoch segmentov. V prípade operácií vykonávaných EIF sa vedie konzultácia s investičným výborom o finančných produktoch. Po vytvorení investičného výboru podľa nariadenia o InvestEU bude tento výbor zodpovedný za poskytovanie záruky EÚ aj pre segment podpory platobnej schopnosti, aby sa predišlo zdvojeniu štruktúr.</w:t>
      </w:r>
    </w:p>
    <w:p>
      <w:pPr>
        <w:rPr>
          <w:noProof/>
        </w:rPr>
      </w:pPr>
      <w:r>
        <w:rPr>
          <w:noProof/>
        </w:rPr>
        <w:t xml:space="preserve">Cieľom je mobilizovať v rámci segmentu podpory platobnej schopnosti v reálnej ekonomike až 300 miliárd EUR. </w:t>
      </w:r>
    </w:p>
    <w:p>
      <w:pPr>
        <w:rPr>
          <w:noProof/>
        </w:rPr>
      </w:pPr>
      <w:r>
        <w:rPr>
          <w:noProof/>
        </w:rPr>
        <w:t xml:space="preserve">Predpokladá sa samostatná suma vo výške 100 miliónov EUR na pokrytie nákladov, poradenských služieb a technickej pomoci spojenej s vytváraním a riadením fondov, účelovo vytvorených subjektov, investičných platforiem a iných nástrojov na účely nástroja na podporu platobnej schopnosti. Podporí sa z nej aj zelená a digitálna transformácia spoločností financovaných v rámci segmentu podpory platobnej schopnosti. </w:t>
      </w:r>
    </w:p>
    <w:p>
      <w:pPr>
        <w:rPr>
          <w:noProof/>
        </w:rPr>
      </w:pPr>
      <w:r>
        <w:rPr>
          <w:noProof/>
        </w:rPr>
        <w:t>Túto podporu bude riadiť Komisia. V prípade potreby môže Komisia úlohami poveriť aj Európske centrum investičného poradenstva (EIAH).</w:t>
      </w:r>
    </w:p>
    <w:p>
      <w:pPr>
        <w:rPr>
          <w:noProof/>
        </w:rPr>
      </w:pPr>
      <w:r>
        <w:rPr>
          <w:noProof/>
        </w:rPr>
        <w:t>Príloha II obsahuje technickejšie informácie o nástrojoch a produktoch, ktoré sa budú používať, a o štruktúrach financovania v rámci segmentu podpory platobnej schopnosti a týka sa nastavenia špecifických hraničných hodnôt geografickej koncentrácie riadiacou radou.</w:t>
      </w:r>
    </w:p>
    <w:p>
      <w:pPr>
        <w:rPr>
          <w:b/>
          <w:noProof/>
        </w:rPr>
      </w:pPr>
      <w:r>
        <w:rPr>
          <w:b/>
          <w:noProof/>
        </w:rPr>
        <w:t>Kapitola IIIa</w:t>
      </w:r>
    </w:p>
    <w:p>
      <w:pPr>
        <w:rPr>
          <w:noProof/>
        </w:rPr>
      </w:pPr>
      <w:r>
        <w:rPr>
          <w:noProof/>
        </w:rPr>
        <w:t>V tejto kapitole je uvedená účasť Únie v nadchádzajúcom navýšení/navýšeniach kapitálu EIF.</w:t>
      </w:r>
    </w:p>
    <w:p>
      <w:pPr>
        <w:rPr>
          <w:b/>
          <w:noProof/>
        </w:rPr>
      </w:pPr>
      <w:r>
        <w:rPr>
          <w:b/>
          <w:noProof/>
        </w:rPr>
        <w:t xml:space="preserve">Kapitola IV </w:t>
      </w:r>
    </w:p>
    <w:p>
      <w:pPr>
        <w:rPr>
          <w:noProof/>
        </w:rPr>
      </w:pPr>
      <w:r>
        <w:rPr>
          <w:noProof/>
        </w:rPr>
        <w:t>Technická pomoc a poradenská podpora budú dostupné od Komisie alebo prostredníctvom EIAH na podporu členských štátoch pri vytváraní fondov, účelovo vytvorených subjektov alebo iných nástrojov, ktoré budú spĺňať požiadavky záruky Únie, najmä v prípade členských štátov s nedostatočne rozvinutými kapitálovými trhmi. Táto podpora sa môže vzťahovať aj na vytvorenie a riadenie fondov alebo iných nástrojov.</w:t>
      </w:r>
    </w:p>
    <w:p>
      <w:pPr>
        <w:rPr>
          <w:b/>
          <w:noProof/>
        </w:rPr>
      </w:pPr>
      <w:r>
        <w:rPr>
          <w:b/>
          <w:noProof/>
        </w:rPr>
        <w:lastRenderedPageBreak/>
        <w:t>Kapitola VI</w:t>
      </w:r>
    </w:p>
    <w:p>
      <w:pPr>
        <w:rPr>
          <w:noProof/>
        </w:rPr>
      </w:pPr>
      <w:r>
        <w:rPr>
          <w:noProof/>
        </w:rPr>
        <w:t>Osobitné požiadavky na podávanie správ o operáciách financovania a investičných operáciách v rámci segmentu podpory platobnej schopnosti sa stanovia v dohode o záruke s EIB.</w:t>
      </w:r>
    </w:p>
    <w:p>
      <w:pPr>
        <w:rPr>
          <w:b/>
          <w:noProof/>
        </w:rPr>
      </w:pPr>
      <w:r>
        <w:rPr>
          <w:b/>
          <w:noProof/>
        </w:rPr>
        <w:t>Kapitola VIII</w:t>
      </w:r>
    </w:p>
    <w:p>
      <w:pPr>
        <w:rPr>
          <w:i/>
          <w:noProof/>
        </w:rPr>
      </w:pPr>
      <w:r>
        <w:rPr>
          <w:noProof/>
        </w:rPr>
        <w:t>S cieľom zabezpečiť rýchle sfunkčnenie Nástroja na podporu platobnej schopnosti môže EIB navrhnúť investičnému výboru poskytovanie podpory pre záruku EÚ v rámci segmentu podpory platobnej schopnosti v prípade záruk alebo financovania, ktoré poskytla v období medzi prijatím tohto legislatívneho návrhu Komisiou a podpisom zmenenej dohody o záruke medzi Komisiou a EIB. Na to, aby príslušné záruky alebo financovanie spĺňali podmienky na takéto „uskladnenie“, musia splniť kritériá segmentu podpory platobnej schopnosti. EIB predloží takýto návrh po nadobudnutí účinnosti zmeneného nariadenia o EFSI.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2020/0106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2015/1017, pokiaľ ide o vytvorenie Nástroja na podporu platobnej schopnosti</w:t>
      </w:r>
    </w:p>
    <w:p>
      <w:pPr>
        <w:pStyle w:val="Institutionquiagit"/>
        <w:rPr>
          <w:noProof/>
        </w:rPr>
      </w:pPr>
      <w:r>
        <w:rPr>
          <w:noProof/>
        </w:rPr>
        <w:t>EURÓPSKY PARLAMENT A RADA EURÓPSKEJ ÚNIE,</w:t>
      </w:r>
    </w:p>
    <w:p>
      <w:pPr>
        <w:rPr>
          <w:noProof/>
        </w:rPr>
      </w:pPr>
      <w:r>
        <w:rPr>
          <w:noProof/>
        </w:rPr>
        <w:t>so zreteľom na Zmluvu o fungovaní Európskej únie, a najmä na jej články 172 a 173, článok 175 tretí odsek a článok 182 ods. 1,</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6"/>
      </w:r>
      <w:r>
        <w:rPr>
          <w:noProof/>
        </w:rPr>
        <w:t xml:space="preserve">, </w:t>
      </w:r>
    </w:p>
    <w:p>
      <w:pPr>
        <w:rPr>
          <w:noProof/>
        </w:rPr>
      </w:pPr>
      <w:r>
        <w:rPr>
          <w:noProof/>
        </w:rPr>
        <w:t>so zreteľom na stanovisko Výboru regiónov</w:t>
      </w:r>
      <w:r>
        <w:rPr>
          <w:rStyle w:val="FootnoteReference"/>
          <w:noProof/>
        </w:rPr>
        <w:footnoteReference w:id="7"/>
      </w:r>
      <w:r>
        <w:rPr>
          <w:noProof/>
        </w:rPr>
        <w:t xml:space="preserve">, </w:t>
      </w:r>
    </w:p>
    <w:p>
      <w:pPr>
        <w:rPr>
          <w:noProof/>
        </w:rPr>
      </w:pPr>
      <w:r>
        <w:rPr>
          <w:noProof/>
        </w:rPr>
        <w:t>konajúc v súlade s riadnym legislatívnym postupom,</w:t>
      </w:r>
    </w:p>
    <w:p>
      <w:pPr>
        <w:rPr>
          <w:noProof/>
        </w:rPr>
      </w:pPr>
      <w:r>
        <w:rPr>
          <w:noProof/>
        </w:rPr>
        <w:t>keďže:</w:t>
      </w:r>
    </w:p>
    <w:p>
      <w:pPr>
        <w:pStyle w:val="ManualConsidrant"/>
        <w:rPr>
          <w:noProof/>
        </w:rPr>
      </w:pPr>
      <w:r>
        <w:rPr>
          <w:noProof/>
        </w:rPr>
        <w:t>(1)</w:t>
      </w:r>
      <w:r>
        <w:rPr>
          <w:noProof/>
        </w:rPr>
        <w:tab/>
        <w:t>Z odhadov Komisie založených na údajoch na úrovni podnikov vyplýva, že nápravy dôsledkov pandémie COVID-19 na akciových trhoch by mohli v roku 2020 dosahovať približne 720 miliárd EUR. Toto číslo by mohlo stúpnuť, ak by opatrenia na obmedzenie pohybu ostali v platnosti dlhšie, než sa v súčasnosti predpokladá, alebo ak by museli byť znovu uložené z dôvodu opätovného výskytu nákazy. Neriešenie tohto nedostatku kapitálu môže viesť k pretrvávajúcemu obdobiu nižších investícií a vyššej nezamestnanosti. Vplyv nedostatku kapitálu bude nerovnomerný v rámci odvetví a členských štátov a povedie k rozdielom na jednotnom trhu. Túto skutočnosť znásobuje to, že schopnosť členských štátov poskytovať štátnu pomoc sa značne líši.</w:t>
      </w:r>
    </w:p>
    <w:p>
      <w:pPr>
        <w:pStyle w:val="ManualConsidrant"/>
        <w:rPr>
          <w:noProof/>
          <w:sz w:val="22"/>
        </w:rPr>
      </w:pPr>
      <w:r>
        <w:rPr>
          <w:noProof/>
        </w:rPr>
        <w:t>(2)</w:t>
      </w:r>
      <w:r>
        <w:rPr>
          <w:noProof/>
        </w:rPr>
        <w:tab/>
        <w:t>V súlade s nariadením o [Nástroji Európskej únie na obnovu] a v rámci obmedzení zdrojov, ktoré sú v ňom vyčlenené, by sa mali vykonať opatrenia na obnovu a zlepšenie odolnosti v rámci segmentu podpory platobnej schopnosti Európskeho fondu pre strategické investície s cieľom riešiť nevídaný vplyv krízy spôsobenej ochorením COVID-19. Tieto dodatočné zdroje by sa mali použiť tak, aby sa zabezpečilo dodržanie súladu s lehotami stanovenými v nariadení [EURI].</w:t>
      </w:r>
    </w:p>
    <w:p>
      <w:pPr>
        <w:pStyle w:val="ManualConsidrant"/>
        <w:rPr>
          <w:noProof/>
        </w:rPr>
      </w:pPr>
      <w:r>
        <w:rPr>
          <w:noProof/>
        </w:rPr>
        <w:t>(3)</w:t>
      </w:r>
      <w:r>
        <w:rPr>
          <w:noProof/>
        </w:rPr>
        <w:tab/>
        <w:t>S cieľom bojovať proti závažným ekonomickým dôsledkom pandémie COVID-19 v Únii by sa spoločnostiam, ktoré zaznamenali ťažkosti z dôvodu hospodárskej krízy spôsobenej pandémiou a ktoré nemôžu získať dostatočnú podporu prostredníctvom trhového financovania alebo opatrení prijatých členskými štátmi, mal naliehavo poskytnúť nástroj na podporu platobnej schopnosti v rámci Nástroja na podporu platobnej schopnosti, ktorý by mal byť doplnený ako tretí segment v rámci EFSI.</w:t>
      </w:r>
    </w:p>
    <w:p>
      <w:pPr>
        <w:pStyle w:val="ManualConsidrant"/>
        <w:rPr>
          <w:noProof/>
          <w:spacing w:val="-2"/>
        </w:rPr>
      </w:pPr>
      <w:r>
        <w:rPr>
          <w:noProof/>
        </w:rPr>
        <w:lastRenderedPageBreak/>
        <w:t>(4)</w:t>
      </w:r>
      <w:r>
        <w:rPr>
          <w:noProof/>
        </w:rPr>
        <w:tab/>
      </w:r>
      <w:r>
        <w:rPr>
          <w:noProof/>
          <w:spacing w:val="-2"/>
        </w:rPr>
        <w:t>Spoločnosti podporené v rámci Nástroja na podporu platobnej schopnosti by mali byť usadené a mali by pôsobiť v Únii, čo znamená, že by mali mať sídlo v členskom štáte a mali by byť aktívne v Únii v tom zmysle, že majú v Únii podstatné činnosti z hľadiska zamestnancov, výroby, výskumu a vývoja alebo iných obchodných činností. Mali by vykonávať činnosti, ktorými sa podporujú ciele, na ktoré sa vzťahuje toto nariadenie. Mali by mať životaschopný obchodný model a nemali by sa nachádzať v ťažkostiach podľa rámca pre štátnu pomoc</w:t>
      </w:r>
      <w:r>
        <w:rPr>
          <w:rStyle w:val="FootnoteReference"/>
          <w:noProof/>
          <w:spacing w:val="-2"/>
        </w:rPr>
        <w:footnoteReference w:id="8"/>
      </w:r>
      <w:r>
        <w:rPr>
          <w:noProof/>
          <w:spacing w:val="-2"/>
        </w:rPr>
        <w:t xml:space="preserve"> už na konci roka 2019. Podpora by mala byť zameraná na oprávnené spoločnosti pôsobiace v tých členských štátoch a odvetviach, ktoré sú najviac postihnuté krízou spôsobenou ochorením COVID-19 a/alebo v ktorých je dostupnosť štátnej podpory platobnej schopnosti obmedzenejšia. </w:t>
      </w:r>
    </w:p>
    <w:p>
      <w:pPr>
        <w:pStyle w:val="ManualConsidrant"/>
        <w:rPr>
          <w:noProof/>
        </w:rPr>
      </w:pPr>
      <w:r>
        <w:rPr>
          <w:noProof/>
        </w:rPr>
        <w:t>(5)</w:t>
      </w:r>
      <w:r>
        <w:rPr>
          <w:noProof/>
        </w:rPr>
        <w:tab/>
        <w:t>Záruka EÚ poskytnutá Európskej investičnej banke (EIB) by sa mala zvýšiť o 66 436 320 000 EUR, aby sa vytvoril tretí segment EFSI – segment podpory platobnej schopnosti – v rámci ktorého by sa mala poskytovať podpora platobnej schopnosti.</w:t>
      </w:r>
    </w:p>
    <w:p>
      <w:pPr>
        <w:pStyle w:val="ManualConsidrant"/>
        <w:rPr>
          <w:noProof/>
        </w:rPr>
      </w:pPr>
      <w:r>
        <w:rPr>
          <w:noProof/>
        </w:rPr>
        <w:t>(6)</w:t>
      </w:r>
      <w:r>
        <w:rPr>
          <w:noProof/>
        </w:rPr>
        <w:tab/>
        <w:t xml:space="preserve">Tvorba rezerv záruky EÚ by sa mala zvýšiť zodpovedajúcim spôsobom. Vzhľadom na vysokú úroveň rizikovosti investičných operácií a operácií financovania v rámci segmentu podpory platobnej schopnosti by sa celková miera tvorby rezerv EFSI mala upraviť na 45,8 %. </w:t>
      </w:r>
    </w:p>
    <w:p>
      <w:pPr>
        <w:pStyle w:val="ManualConsidrant"/>
        <w:rPr>
          <w:noProof/>
          <w:spacing w:val="-4"/>
        </w:rPr>
      </w:pPr>
      <w:r>
        <w:rPr>
          <w:noProof/>
        </w:rPr>
        <w:t>(7)</w:t>
      </w:r>
      <w:r>
        <w:rPr>
          <w:noProof/>
        </w:rPr>
        <w:tab/>
      </w:r>
      <w:r>
        <w:rPr>
          <w:noProof/>
          <w:spacing w:val="-4"/>
        </w:rPr>
        <w:t>Očakáva sa, že suma záruky EÚ dostupnej v rámci segmentu podpory platobnej schopnosti zmobilizuje investície v reálnej ekonomike až vo výške 300 000 000 000 EUR.</w:t>
      </w:r>
    </w:p>
    <w:p>
      <w:pPr>
        <w:pStyle w:val="ManualConsidrant"/>
        <w:rPr>
          <w:noProof/>
        </w:rPr>
      </w:pPr>
      <w:r>
        <w:rPr>
          <w:noProof/>
        </w:rPr>
        <w:t>(8)</w:t>
      </w:r>
      <w:r>
        <w:rPr>
          <w:noProof/>
        </w:rPr>
        <w:tab/>
        <w:t>Spôsoby poskytovania podpory by mali byť flexibilné so zreteľom na potrebu odlišných riešení v jednotlivých členských štátoch. Mali by zahŕňať, okrem iného, financovanie skupinou EIB alebo záruku či investície do existujúcich nezávisle riadených fondov alebo do účelovo vytvorených subjektov, ktoré zase investujú do oprávnených spoločností. Podpora by okrem toho mohla prúdiť prostredníctvom novovytvorených nezávisle riadených fondov, a to aj tímov pracujúcich spolu po prvý raz (</w:t>
      </w:r>
      <w:r>
        <w:rPr>
          <w:i/>
          <w:iCs/>
          <w:noProof/>
        </w:rPr>
        <w:t>first-time teams</w:t>
      </w:r>
      <w:r>
        <w:rPr>
          <w:noProof/>
        </w:rPr>
        <w:t>), alebo prostredníctvom účelovo vytvorených subjektov osobitne zriadených na európskej, regionálnej alebo vnútroštátnej úrovni s cieľom využívať záruku EÚ na účel investovania do oprávnených spoločností. Záruka EÚ by mohla byť takisto použitá na garantovanie alebo financovanie intervencie národnej podpornej banky alebo inštitúcie v súlade s pravidlami štátnej pomoci spolu so súkromnými investormi na podporu oprávnených spoločností. Malo by sa zabrániť nenáležitému narušeniu hospodárskej súťaže na vnútornom trhu.</w:t>
      </w:r>
    </w:p>
    <w:p>
      <w:pPr>
        <w:pStyle w:val="ManualConsidrant"/>
        <w:rPr>
          <w:noProof/>
        </w:rPr>
      </w:pPr>
      <w:r>
        <w:rPr>
          <w:noProof/>
        </w:rPr>
        <w:t>(9)</w:t>
      </w:r>
      <w:r>
        <w:rPr>
          <w:noProof/>
        </w:rPr>
        <w:tab/>
        <w:t>Kapitálové fondy, účelovo vytvorené subjekty, investičné platformy a národné podporné banky a inštitúcie by mali poskytovať kapitálové alebo kvázikapitálové investície (napríklad hybridný dlh, prioritné akcie alebo konvertibilný kapitál) oprávneným spoločnostiam, ale s vylúčením subjektov zameriavajúcich sa na odkúpenie (alebo náhradný kapitál) určených na odpredaj aktív.</w:t>
      </w:r>
    </w:p>
    <w:p>
      <w:pPr>
        <w:pStyle w:val="ManualConsidrant"/>
        <w:rPr>
          <w:noProof/>
        </w:rPr>
      </w:pPr>
      <w:r>
        <w:rPr>
          <w:noProof/>
        </w:rPr>
        <w:t>(10)</w:t>
      </w:r>
      <w:r>
        <w:rPr>
          <w:noProof/>
        </w:rPr>
        <w:tab/>
        <w:t xml:space="preserve">Operácie financovania a investičné operácie by mali byť zladené so súčasnými prioritami politiky Únie, ako je európska zelená dohoda a stratégia zameraná na formovanie digitálnej budúcnosti Európy. Cieľom by mala byť aj podpora cezhraničných činností. </w:t>
      </w:r>
    </w:p>
    <w:p>
      <w:pPr>
        <w:pStyle w:val="ManualConsidrant"/>
        <w:rPr>
          <w:noProof/>
          <w:spacing w:val="-2"/>
        </w:rPr>
      </w:pPr>
      <w:r>
        <w:rPr>
          <w:noProof/>
        </w:rPr>
        <w:t>(11)</w:t>
      </w:r>
      <w:r>
        <w:rPr>
          <w:noProof/>
        </w:rPr>
        <w:tab/>
      </w:r>
      <w:r>
        <w:rPr>
          <w:noProof/>
          <w:spacing w:val="-2"/>
        </w:rPr>
        <w:t xml:space="preserve">O operáciách financovania a investičných operáciách v rámci segmentu podpory platobnej schopnosti by sa malo rozhodnúť do konca roka 2024, pričom aspoň o 60 % </w:t>
      </w:r>
      <w:r>
        <w:rPr>
          <w:noProof/>
          <w:spacing w:val="-2"/>
        </w:rPr>
        <w:lastRenderedPageBreak/>
        <w:t>operácií financovania a investičných operácií by sa malo rozhodnúť do konca roka 2022, aby sa umožnila rýchla reakcia na hospodársku krízu spôsobenú pandémiou COVID-19.</w:t>
      </w:r>
    </w:p>
    <w:p>
      <w:pPr>
        <w:pStyle w:val="ManualConsidrant"/>
        <w:rPr>
          <w:noProof/>
        </w:rPr>
      </w:pPr>
      <w:r>
        <w:rPr>
          <w:noProof/>
        </w:rPr>
        <w:t>(12)</w:t>
      </w:r>
      <w:r>
        <w:rPr>
          <w:noProof/>
        </w:rPr>
        <w:tab/>
        <w:t>Aby Komisia mohla smerovať podporu do európskeho hospodárstva prostredníctvom Európskeho investičného fondu (EIF), mala by byť schopná zúčastniť sa na jednom alebo viacerých možných navýšeniach kapitálu EIF, aby mohla pokračovať v podpore európskeho hospodárstva a jeho oživenia. Únia bude schopná udržať si svoj celkový podiel na základnom imaní EIF. V revidovanom viacročnom finančnom rámci na súčasné obdobie by malo byť stanovené dostatočné finančné krytie na tento účel.</w:t>
      </w:r>
    </w:p>
    <w:p>
      <w:pPr>
        <w:pStyle w:val="ManualConsidrant"/>
        <w:rPr>
          <w:noProof/>
        </w:rPr>
      </w:pPr>
      <w:r>
        <w:rPr>
          <w:noProof/>
        </w:rPr>
        <w:t>(13)</w:t>
      </w:r>
      <w:r>
        <w:rPr>
          <w:noProof/>
        </w:rPr>
        <w:tab/>
        <w:t xml:space="preserve">Mala by byť stanovená suma 100 000 000 EUR na podporu vytvárania a riadenia investičných fondov, účelovo vytvorených subjektov a investičných platforiem v členských štátoch, najmä v tých, ktoré nemajú rozvinuté trhy s kapitálovými fondmi, a na podporu zelenej a digitálnej transformácie spoločností financovaných v rámci segmentu podpory platobnej schopnosti. </w:t>
      </w:r>
    </w:p>
    <w:p>
      <w:pPr>
        <w:pStyle w:val="ManualConsidrant"/>
        <w:rPr>
          <w:noProof/>
        </w:rPr>
      </w:pPr>
      <w:r>
        <w:rPr>
          <w:noProof/>
        </w:rPr>
        <w:t>(14)</w:t>
      </w:r>
      <w:r>
        <w:rPr>
          <w:noProof/>
        </w:rPr>
        <w:tab/>
        <w:t>Investičnému výboru podľa nariadenia o InvestEU by sa po jeho vzniku mala zveriť zodpovednosť za poskytovanie záruky EÚ aj podľa tohto nariadenia.</w:t>
      </w:r>
    </w:p>
    <w:p>
      <w:pPr>
        <w:pStyle w:val="ManualConsidrant"/>
        <w:rPr>
          <w:noProof/>
        </w:rPr>
      </w:pPr>
      <w:r>
        <w:rPr>
          <w:noProof/>
        </w:rPr>
        <w:t>(15)</w:t>
      </w:r>
      <w:r>
        <w:rPr>
          <w:noProof/>
        </w:rPr>
        <w:tab/>
        <w:t>V článku 137 ods. 2 Dohody o vystúpení Spojeného kráľovstva Veľkej Británie a Severného Írska z Európskej únie a z Európskeho spoločenstva pre atómovú energiu sa stanovuje, že Spojené kráľovstvo, ako aj projekty nachádzajúce sa v Spojenom kráľovstve sú oprávnené len na tie finančné operácie, ktoré sú zaručené rozpočtom Únie prostredníctvom EFSI pod podmienkou, že boli schválené subjektmi a orgánmi vrátane EIB a Európskeho investičného fondu (ďalej len „EIF“) alebo osobami poverenými vykonávaním časti týchto aktivít ešte pred dátumom nadobudnutia platnosti dohody o vystúpení. V článku 143 ods. 1 dohody o vystúpení sa ďalej obmedzuje zodpovednosť Spojeného kráľovstva za jeho podiel na podmienených finančných záväzkoch Únie na tie podmienené záväzky, ktoré vyplývajú z finančných operácií, o ktorých rozhodla Únia pred dátumom nadobudnutia platnosti dohody o vystúpení. Akýkoľvek podmienený záväzok Únie podľa tohto nariadenia nasleduje po dátume vystúpenia Spojeného kráľovstva z Únie. Toto nariadenie by sa preto nemalo uplatňovať na Spojené kráľovstvo a v ňom.</w:t>
      </w:r>
    </w:p>
    <w:p>
      <w:pPr>
        <w:pStyle w:val="ManualConsidrant"/>
        <w:rPr>
          <w:noProof/>
        </w:rPr>
      </w:pPr>
      <w:r>
        <w:rPr>
          <w:noProof/>
        </w:rPr>
        <w:t>(16)</w:t>
      </w:r>
      <w:r>
        <w:rPr>
          <w:noProof/>
        </w:rPr>
        <w:tab/>
        <w:t>Na toto nariadenie sa uplatňujú horizontálne rozpočtové pravidlá, ktoré Európsky parlament a Rada prijali na základe článku 322 Zmluvy o fungovaní Európskej únie (ZFEÚ). Tieto pravidlá sú stanovené v nariadení o rozpočtových pravidlách a určujú najmä postup na stanovenie a plnenie rozpočtu prostredníctvom grantov, verejných obstarávaní, cien, nepriameho plnenia a zabezpečujú kontroly zodpovednosti účastníkov finančných operácií. Pravidlá prijaté na základe článku 322 ZFEÚ sa týkajú aj ochrany rozpočtu Únie v prípade všeobecných nedostatkov v oblasti dodržiavania zásady právneho štátu v členských štátoch, keďže dodržiavanie zásady právneho štátu je základným predpokladom pre správne finančné riadenie a účinné financovanie EÚ.</w:t>
      </w:r>
    </w:p>
    <w:p>
      <w:pPr>
        <w:pStyle w:val="ManualConsidrant"/>
        <w:rPr>
          <w:noProof/>
        </w:rPr>
      </w:pPr>
      <w:r>
        <w:rPr>
          <w:noProof/>
        </w:rPr>
        <w:t>(17)</w:t>
      </w:r>
      <w:r>
        <w:rPr>
          <w:noProof/>
        </w:rPr>
        <w:tab/>
        <w:t>Nariadenie (EÚ) 2015/1017 by sa preto malo zodpovedajúcim spôsobom zmeniť,</w:t>
      </w:r>
    </w:p>
    <w:p>
      <w:pPr>
        <w:rPr>
          <w:noProof/>
        </w:rPr>
      </w:pPr>
    </w:p>
    <w:p>
      <w:pPr>
        <w:pStyle w:val="Formuledadoption"/>
        <w:rPr>
          <w:noProof/>
        </w:rPr>
      </w:pPr>
      <w:r>
        <w:rPr>
          <w:noProof/>
        </w:rPr>
        <w:t>PRIJALI TOTO NARIADENIE:</w:t>
      </w:r>
    </w:p>
    <w:p>
      <w:pPr>
        <w:pStyle w:val="Titrearticle"/>
        <w:rPr>
          <w:noProof/>
        </w:rPr>
      </w:pPr>
      <w:r>
        <w:rPr>
          <w:noProof/>
        </w:rPr>
        <w:t>Článok 1</w:t>
      </w:r>
    </w:p>
    <w:p>
      <w:pPr>
        <w:rPr>
          <w:noProof/>
        </w:rPr>
      </w:pPr>
      <w:r>
        <w:rPr>
          <w:noProof/>
        </w:rPr>
        <w:t>Nariadenie (EÚ) 2015/1017 sa mení takto:</w:t>
      </w:r>
    </w:p>
    <w:p>
      <w:pPr>
        <w:pStyle w:val="Point0"/>
        <w:rPr>
          <w:noProof/>
        </w:rPr>
      </w:pPr>
      <w:r>
        <w:rPr>
          <w:noProof/>
        </w:rPr>
        <w:t>1.</w:t>
      </w:r>
      <w:r>
        <w:rPr>
          <w:noProof/>
        </w:rPr>
        <w:tab/>
        <w:t>V článku 2 sa dopĺňa tento bod 9:</w:t>
      </w:r>
    </w:p>
    <w:p>
      <w:pPr>
        <w:ind w:left="851"/>
        <w:rPr>
          <w:noProof/>
        </w:rPr>
      </w:pPr>
      <w:r>
        <w:rPr>
          <w:noProof/>
        </w:rPr>
        <w:lastRenderedPageBreak/>
        <w:t>„9.</w:t>
      </w:r>
      <w:r>
        <w:rPr>
          <w:noProof/>
        </w:rPr>
        <w:tab/>
        <w:t>„spoločnosti“ sú na účely segmentu podpory platobnej schopnosti spoločnosti, projektové spoločnosti, verejno-súkromné partnerstvá a iné právne štruktúry.“</w:t>
      </w:r>
    </w:p>
    <w:p>
      <w:pPr>
        <w:pStyle w:val="Point0"/>
        <w:rPr>
          <w:noProof/>
        </w:rPr>
      </w:pPr>
      <w:r>
        <w:rPr>
          <w:noProof/>
        </w:rPr>
        <w:t>2.</w:t>
      </w:r>
      <w:r>
        <w:rPr>
          <w:noProof/>
        </w:rPr>
        <w:tab/>
        <w:t>V článku 3 sa dopĺňa toto písmeno c):</w:t>
      </w:r>
    </w:p>
    <w:p>
      <w:pPr>
        <w:ind w:left="851"/>
        <w:rPr>
          <w:noProof/>
        </w:rPr>
      </w:pPr>
      <w:r>
        <w:rPr>
          <w:noProof/>
        </w:rPr>
        <w:t>„c)</w:t>
      </w:r>
      <w:r>
        <w:rPr>
          <w:noProof/>
        </w:rPr>
        <w:tab/>
        <w:t>platobnú schopnosť spoločností usadených v členskom štáte a pôsobiacich v Únii.“</w:t>
      </w:r>
    </w:p>
    <w:p>
      <w:pPr>
        <w:pStyle w:val="Point0"/>
        <w:rPr>
          <w:noProof/>
        </w:rPr>
      </w:pPr>
      <w:r>
        <w:rPr>
          <w:noProof/>
        </w:rPr>
        <w:t>3.</w:t>
      </w:r>
      <w:r>
        <w:rPr>
          <w:noProof/>
        </w:rPr>
        <w:tab/>
        <w:t>V článku 4 ods. 2 písm. a) sa bod iv) mení takto:</w:t>
      </w:r>
    </w:p>
    <w:p>
      <w:pPr>
        <w:ind w:left="851"/>
        <w:rPr>
          <w:noProof/>
        </w:rPr>
      </w:pPr>
      <w:r>
        <w:rPr>
          <w:noProof/>
        </w:rPr>
        <w:t>„oceňovania operácií v rámci záruky EÚ, ktoré má byť v súlade so všeobecnou politikou EIB v oblasti oceňovania; v prípade segmentu podpory platobnej schopnosti môžu byť dohodnuté iné opatrenia;“</w:t>
      </w:r>
    </w:p>
    <w:p>
      <w:pPr>
        <w:pStyle w:val="Point0"/>
        <w:rPr>
          <w:noProof/>
        </w:rPr>
      </w:pPr>
      <w:r>
        <w:rPr>
          <w:noProof/>
        </w:rPr>
        <w:t>4.</w:t>
      </w:r>
      <w:r>
        <w:rPr>
          <w:noProof/>
        </w:rPr>
        <w:tab/>
        <w:t>V článku 5 ods. 1 sa za posledný pododsek dopĺňa tento pododsek so zarážkou:</w:t>
      </w:r>
    </w:p>
    <w:p>
      <w:pPr>
        <w:ind w:left="851"/>
        <w:rPr>
          <w:noProof/>
          <w:vertAlign w:val="subscript"/>
        </w:rPr>
      </w:pPr>
      <w:r>
        <w:rPr>
          <w:noProof/>
        </w:rPr>
        <w:t xml:space="preserve">„– podpora fondom, účelovo vytvoreným subjektom, investičným platformám alebo iným mechanizmom v rámci segmentu podpory platobnej schopnosti.“ </w:t>
      </w:r>
    </w:p>
    <w:p>
      <w:pPr>
        <w:pStyle w:val="Point0"/>
        <w:rPr>
          <w:noProof/>
        </w:rPr>
      </w:pPr>
      <w:r>
        <w:rPr>
          <w:noProof/>
        </w:rPr>
        <w:t>5.</w:t>
      </w:r>
      <w:r>
        <w:rPr>
          <w:noProof/>
        </w:rPr>
        <w:tab/>
        <w:t>V článku 6 ods. 1 písm. a) sa dopĺňa tento pododsek:</w:t>
      </w:r>
    </w:p>
    <w:p>
      <w:pPr>
        <w:ind w:left="851"/>
        <w:rPr>
          <w:noProof/>
        </w:rPr>
      </w:pPr>
      <w:r>
        <w:rPr>
          <w:noProof/>
        </w:rPr>
        <w:t>„Podpora v rámci segmentu podpory platobnej schopnosti sa však poskytuje len vtedy, ak je v prospech spoločností, ktoré ešte na konci roka 2019 neboli v ťažkostiach podľa podmienok štátnej pomoci</w:t>
      </w:r>
      <w:r>
        <w:rPr>
          <w:rStyle w:val="FootnoteReference"/>
          <w:noProof/>
        </w:rPr>
        <w:footnoteReference w:id="9"/>
      </w:r>
      <w:r>
        <w:rPr>
          <w:noProof/>
        </w:rPr>
        <w:t>, ale odvtedy čelia významným rizikám ohrozujúcim ich platobnú schopnosť z dôvodu krízy spôsobenej pandémiou COVID-19;“</w:t>
      </w:r>
    </w:p>
    <w:p>
      <w:pPr>
        <w:pStyle w:val="Point0"/>
        <w:rPr>
          <w:noProof/>
        </w:rPr>
      </w:pPr>
      <w:r>
        <w:rPr>
          <w:noProof/>
        </w:rPr>
        <w:t>6.</w:t>
      </w:r>
      <w:r>
        <w:rPr>
          <w:noProof/>
        </w:rPr>
        <w:tab/>
        <w:t>V článku 6 sa dopĺňa tento odsek 3:</w:t>
      </w:r>
    </w:p>
    <w:p>
      <w:pPr>
        <w:ind w:left="851"/>
        <w:rPr>
          <w:noProof/>
        </w:rPr>
      </w:pPr>
      <w:r>
        <w:rPr>
          <w:noProof/>
        </w:rPr>
        <w:t>„3.</w:t>
      </w:r>
      <w:r>
        <w:rPr>
          <w:noProof/>
        </w:rPr>
        <w:tab/>
        <w:t>Bez toho, aby bol dotknutý odsek 2, čiastkové operácie vykonávané prostredníctvom finančných sprostredkovateľov môžu byť obmedzené na minimálnu veľkosť operácií financovania a investičných operácií v rámci segmentu podpory platobnej schopnosti.“</w:t>
      </w:r>
    </w:p>
    <w:p>
      <w:pPr>
        <w:pStyle w:val="Point0"/>
        <w:rPr>
          <w:noProof/>
        </w:rPr>
      </w:pPr>
      <w:r>
        <w:rPr>
          <w:noProof/>
        </w:rPr>
        <w:t>7.</w:t>
      </w:r>
      <w:r>
        <w:rPr>
          <w:noProof/>
        </w:rPr>
        <w:tab/>
        <w:t>V článku 7 ods. 2 sa dopĺňa toto nové písmeno e):</w:t>
      </w:r>
    </w:p>
    <w:p>
      <w:pPr>
        <w:ind w:left="851"/>
        <w:rPr>
          <w:noProof/>
        </w:rPr>
      </w:pPr>
      <w:r>
        <w:rPr>
          <w:noProof/>
        </w:rPr>
        <w:t>„usmernenie uvedené v oddiele 6 písm. d) prílohy II.“</w:t>
      </w:r>
    </w:p>
    <w:p>
      <w:pPr>
        <w:pStyle w:val="Point0"/>
        <w:rPr>
          <w:noProof/>
        </w:rPr>
      </w:pPr>
      <w:r>
        <w:rPr>
          <w:noProof/>
        </w:rPr>
        <w:t>8.</w:t>
      </w:r>
      <w:r>
        <w:rPr>
          <w:noProof/>
        </w:rPr>
        <w:tab/>
        <w:t>V článku 8 sa dopĺňa tento tretí odsek:</w:t>
      </w:r>
    </w:p>
    <w:p>
      <w:pPr>
        <w:ind w:left="851"/>
        <w:rPr>
          <w:noProof/>
        </w:rPr>
      </w:pPr>
      <w:r>
        <w:rPr>
          <w:noProof/>
        </w:rPr>
        <w:t>„Bez toho, aby bol dotknutý prvý odsek, v rámci segmentu podpory platobnej schopnosti môžu byť operáciami financovania a investičnými operáciami podporené len spoločnosti usadené v členskom štáte a pôsobiace v Únii.“</w:t>
      </w:r>
    </w:p>
    <w:p>
      <w:pPr>
        <w:pStyle w:val="Point0"/>
        <w:rPr>
          <w:noProof/>
        </w:rPr>
      </w:pPr>
      <w:r>
        <w:rPr>
          <w:noProof/>
        </w:rPr>
        <w:t>9.</w:t>
      </w:r>
      <w:r>
        <w:rPr>
          <w:noProof/>
        </w:rPr>
        <w:tab/>
        <w:t>V článku 9 ods. 2 sa za prvý pododsek dopĺňa táto druhá veta:</w:t>
      </w:r>
    </w:p>
    <w:p>
      <w:pPr>
        <w:ind w:left="851"/>
        <w:rPr>
          <w:noProof/>
        </w:rPr>
      </w:pPr>
      <w:r>
        <w:rPr>
          <w:noProof/>
        </w:rPr>
        <w:t>„Záruka EÚ sa takisto poskytuje na operácie financovania a investičné operácie vykonané EIF v rámci segmentu podpory platobnej schopnosti.“</w:t>
      </w:r>
    </w:p>
    <w:p>
      <w:pPr>
        <w:pStyle w:val="Point0"/>
        <w:rPr>
          <w:noProof/>
        </w:rPr>
      </w:pPr>
      <w:r>
        <w:rPr>
          <w:noProof/>
        </w:rPr>
        <w:t>10.</w:t>
      </w:r>
      <w:r>
        <w:rPr>
          <w:noProof/>
        </w:rPr>
        <w:tab/>
        <w:t>V článku 9 ods. 2 treťom pododseku sa úvodná veta mení takto:</w:t>
      </w:r>
    </w:p>
    <w:p>
      <w:pPr>
        <w:ind w:left="851"/>
        <w:rPr>
          <w:noProof/>
        </w:rPr>
      </w:pPr>
      <w:r>
        <w:rPr>
          <w:noProof/>
        </w:rPr>
        <w:t>„Príslušné operácie musia byť v súlade s politikami Únie vrátane európskej zelenej dohody</w:t>
      </w:r>
      <w:r>
        <w:rPr>
          <w:rStyle w:val="FootnoteReference"/>
          <w:noProof/>
        </w:rPr>
        <w:footnoteReference w:id="10"/>
      </w:r>
      <w:r>
        <w:rPr>
          <w:noProof/>
        </w:rPr>
        <w:t xml:space="preserve"> a stratégie zameranej na formovanie digitálnej budúcnosti Európy</w:t>
      </w:r>
      <w:r>
        <w:rPr>
          <w:rStyle w:val="FootnoteReference"/>
          <w:noProof/>
        </w:rPr>
        <w:footnoteReference w:id="11"/>
      </w:r>
      <w:r>
        <w:rPr>
          <w:noProof/>
        </w:rPr>
        <w:t>, musia podporovať inkluzívnu a symetrickú obnovu po pandémii COVID-19 a musia podporovať ktorýkoľvek z týchto všeobecných cieľov:“</w:t>
      </w:r>
    </w:p>
    <w:p>
      <w:pPr>
        <w:pStyle w:val="Point0"/>
        <w:rPr>
          <w:noProof/>
        </w:rPr>
      </w:pPr>
      <w:r>
        <w:rPr>
          <w:noProof/>
        </w:rPr>
        <w:lastRenderedPageBreak/>
        <w:t>11.</w:t>
      </w:r>
      <w:r>
        <w:rPr>
          <w:noProof/>
        </w:rPr>
        <w:tab/>
        <w:t>V článku 9 ods. 2 sa za tretí pododsek dopĺňa toto písmeno j):</w:t>
      </w:r>
    </w:p>
    <w:p>
      <w:pPr>
        <w:ind w:left="851"/>
        <w:rPr>
          <w:noProof/>
        </w:rPr>
      </w:pPr>
      <w:r>
        <w:rPr>
          <w:noProof/>
        </w:rPr>
        <w:t>„j)</w:t>
      </w:r>
      <w:r>
        <w:rPr>
          <w:noProof/>
        </w:rPr>
        <w:tab/>
        <w:t>podpora platobnej schopnosti v rámci segmentu podpory platobnej schopnosti pre spoločnosti uvedené v článku 3 písm. c) na podporu ktorýchkoľvek z cieľov uvedených v tomto odseku.“</w:t>
      </w:r>
    </w:p>
    <w:p>
      <w:pPr>
        <w:pStyle w:val="Point0"/>
        <w:rPr>
          <w:noProof/>
        </w:rPr>
      </w:pPr>
      <w:r>
        <w:rPr>
          <w:noProof/>
        </w:rPr>
        <w:t>12.</w:t>
      </w:r>
      <w:r>
        <w:rPr>
          <w:noProof/>
        </w:rPr>
        <w:tab/>
        <w:t>V článku 9 ods. 2 sa vypúšťa posledný pododsek a vkladá sa tento nový odsek 2a:</w:t>
      </w:r>
    </w:p>
    <w:p>
      <w:pPr>
        <w:ind w:left="851"/>
        <w:rPr>
          <w:noProof/>
        </w:rPr>
      </w:pPr>
      <w:r>
        <w:rPr>
          <w:noProof/>
        </w:rPr>
        <w:t>„Hoci EIB uznáva, že EFSI sa riadi dopytom, dáva si za cieľ:</w:t>
      </w:r>
    </w:p>
    <w:p>
      <w:pPr>
        <w:pStyle w:val="Point1"/>
        <w:rPr>
          <w:noProof/>
        </w:rPr>
      </w:pPr>
      <w:r>
        <w:rPr>
          <w:noProof/>
        </w:rPr>
        <w:t>a)</w:t>
      </w:r>
      <w:r>
        <w:rPr>
          <w:noProof/>
        </w:rPr>
        <w:tab/>
        <w:t>aby v súlade so záväzkami prijatými na 21. konferencii zmluvných strán Rámcového dohovoru Organizácie Spojených národov o zmene klímy (COP21) aspoň 40 % financovania z EFSI v rámci segmentu pre infraštruktúru a inovácie podporovalo prvky projektu, ktoré prispievajú k opatreniam v oblasti klímy. Do tohto výpočtu sa nezahŕňa financovanie z EFSI pre MSP a malé spoločnosti so strednou trhovou kapitalizáciou. EIB použije na určenie uvedených prvkov alebo podielov na nákladoch opatrení v oblasti klímy svoju medzinárodne schválenú metodiku;</w:t>
      </w:r>
    </w:p>
    <w:p>
      <w:pPr>
        <w:pStyle w:val="Point1"/>
        <w:rPr>
          <w:noProof/>
        </w:rPr>
      </w:pPr>
      <w:r>
        <w:rPr>
          <w:noProof/>
        </w:rPr>
        <w:t>b)</w:t>
      </w:r>
      <w:r>
        <w:rPr>
          <w:noProof/>
        </w:rPr>
        <w:tab/>
        <w:t>zabezpečí, aby sa väčšina financovania z EFSI v rámci segmentu podpory platobnej schopnosti využívala na podporu oprávnených spoločností v členských štátoch a odvetví, ktoré sú najviac hospodársky zasiahnuté pandémiou COVID-19;</w:t>
      </w:r>
    </w:p>
    <w:p>
      <w:pPr>
        <w:pStyle w:val="Point1"/>
        <w:rPr>
          <w:noProof/>
        </w:rPr>
      </w:pPr>
      <w:r>
        <w:rPr>
          <w:noProof/>
        </w:rPr>
        <w:t>c)</w:t>
      </w:r>
      <w:r>
        <w:rPr>
          <w:noProof/>
        </w:rPr>
        <w:tab/>
        <w:t>zabezpečí, aby sa väčšina financovania z EFSI v rámci segmentu podpory platobnej schopnosti využívala na podporu oprávnených spoločností v členských štátoch, v ktorých je dostupnosť štátnej podpory platobnej schopnosti obmedzenejšia.</w:t>
      </w:r>
    </w:p>
    <w:p>
      <w:pPr>
        <w:ind w:left="851"/>
        <w:rPr>
          <w:noProof/>
        </w:rPr>
      </w:pPr>
      <w:r>
        <w:rPr>
          <w:noProof/>
        </w:rPr>
        <w:t>Riadiaca rada v prípade potreby poskytne podrobné usmernenia týkajúce sa písmen a) až c).</w:t>
      </w:r>
    </w:p>
    <w:p>
      <w:pPr>
        <w:pStyle w:val="Point0"/>
        <w:rPr>
          <w:noProof/>
        </w:rPr>
      </w:pPr>
      <w:r>
        <w:rPr>
          <w:noProof/>
        </w:rPr>
        <w:t>13.</w:t>
      </w:r>
      <w:r>
        <w:rPr>
          <w:noProof/>
        </w:rPr>
        <w:tab/>
        <w:t>V článku 9 ods. 3 sa písmená a) a b) menia takto:</w:t>
      </w:r>
    </w:p>
    <w:p>
      <w:pPr>
        <w:ind w:left="851"/>
        <w:rPr>
          <w:noProof/>
        </w:rPr>
      </w:pPr>
      <w:r>
        <w:rPr>
          <w:noProof/>
        </w:rPr>
        <w:t>„a)</w:t>
      </w:r>
      <w:r>
        <w:rPr>
          <w:noProof/>
        </w:rPr>
        <w:tab/>
        <w:t>31. decembra 2020 v prípade operácií EIB v rámci segmentu pre infraštruktúru a inovácie, v súvislosti s ktorými bola zmluva medzi EIB a príjemcom alebo finančným sprostredkovateľom podpísaná do 31. decembra 2022;</w:t>
      </w:r>
    </w:p>
    <w:p>
      <w:pPr>
        <w:ind w:left="851"/>
        <w:rPr>
          <w:noProof/>
        </w:rPr>
      </w:pPr>
      <w:r>
        <w:rPr>
          <w:noProof/>
        </w:rPr>
        <w:t xml:space="preserve">b) </w:t>
      </w:r>
      <w:r>
        <w:rPr>
          <w:noProof/>
        </w:rPr>
        <w:tab/>
        <w:t>31. decembra 2020 v prípade operácií EIF v rámci segmentu pre MSP, v súvislosti s ktorými bola zmluva medzi EIB a príjemcom alebo finančným sprostredkovateľom podpísaná do 31. decembra 2022;“</w:t>
      </w:r>
    </w:p>
    <w:p>
      <w:pPr>
        <w:pStyle w:val="Point0"/>
        <w:rPr>
          <w:noProof/>
        </w:rPr>
      </w:pPr>
      <w:r>
        <w:rPr>
          <w:noProof/>
        </w:rPr>
        <w:t>14.</w:t>
      </w:r>
      <w:r>
        <w:rPr>
          <w:noProof/>
        </w:rPr>
        <w:tab/>
        <w:t>V článku 9 ods. 3 sa vkladá toto písmeno c):</w:t>
      </w:r>
    </w:p>
    <w:p>
      <w:pPr>
        <w:ind w:left="851"/>
        <w:rPr>
          <w:noProof/>
        </w:rPr>
      </w:pPr>
      <w:r>
        <w:rPr>
          <w:noProof/>
        </w:rPr>
        <w:t xml:space="preserve">„c) </w:t>
      </w:r>
      <w:r>
        <w:rPr>
          <w:noProof/>
        </w:rPr>
        <w:tab/>
        <w:t xml:space="preserve">31. decembra 2024 v prípade operácií EIB alebo EIF na základe záruky EÚ pre segment podpory platobnej schopnosti uvedený v článku 11 ods. 1 treťom pododseku. Zmluvy medzi EIB alebo EIF a príjemcom alebo finančným sprostredkovateľom súvisiace s uvedenými operáciami budú do 31. decembra 2026 predmetom schválenia riadiacimi orgánmi EIB alebo EIF v súlade s článkom 4 ods. 6 nariadenia [EURI].“ </w:t>
      </w:r>
    </w:p>
    <w:p>
      <w:pPr>
        <w:pStyle w:val="Point0"/>
        <w:rPr>
          <w:noProof/>
        </w:rPr>
      </w:pPr>
      <w:r>
        <w:rPr>
          <w:noProof/>
        </w:rPr>
        <w:t>15.</w:t>
      </w:r>
      <w:r>
        <w:rPr>
          <w:noProof/>
        </w:rPr>
        <w:tab/>
        <w:t>V článku 10 ods. 2 sa písmená b) a c) menia takto:</w:t>
      </w:r>
    </w:p>
    <w:p>
      <w:pPr>
        <w:ind w:left="851"/>
        <w:rPr>
          <w:noProof/>
        </w:rPr>
      </w:pPr>
      <w:r>
        <w:rPr>
          <w:noProof/>
        </w:rPr>
        <w:t>„b)</w:t>
      </w:r>
      <w:r>
        <w:rPr>
          <w:noProof/>
        </w:rPr>
        <w:tab/>
        <w:t>financovanie EIB alebo záruk pre EIF umožňujúce EIF realizovať úvery, záruky, protizáruky, akúkoľvek inú formu nástroja na zvýšenie kreditnej kvality, nástroje kapitálového trhu a kapitálové či kvázikapitálové účasti vrátane národných podporných bánk alebo inštitúcií, investičných platforiem, fondov alebo účelovo vytvorených subjektov;</w:t>
      </w:r>
    </w:p>
    <w:p>
      <w:pPr>
        <w:ind w:left="851"/>
        <w:rPr>
          <w:noProof/>
        </w:rPr>
      </w:pPr>
      <w:r>
        <w:rPr>
          <w:noProof/>
        </w:rPr>
        <w:lastRenderedPageBreak/>
        <w:t>c)</w:t>
      </w:r>
      <w:r>
        <w:rPr>
          <w:noProof/>
        </w:rPr>
        <w:tab/>
        <w:t>záruky EIB pre národné podporné banky alebo inštitúcie, investičné platformy, fondy alebo účelovo vytvorené subjekty v rámci protizáruky záruky EÚ.“</w:t>
      </w:r>
    </w:p>
    <w:p>
      <w:pPr>
        <w:pStyle w:val="Point0"/>
        <w:rPr>
          <w:noProof/>
        </w:rPr>
      </w:pPr>
      <w:r>
        <w:rPr>
          <w:noProof/>
        </w:rPr>
        <w:t>16.</w:t>
      </w:r>
      <w:r>
        <w:rPr>
          <w:noProof/>
        </w:rPr>
        <w:tab/>
        <w:t>V článku 10 ods. 2 sa dopĺňa tento tretí pododsek:</w:t>
      </w:r>
    </w:p>
    <w:p>
      <w:pPr>
        <w:ind w:left="851"/>
        <w:rPr>
          <w:noProof/>
        </w:rPr>
      </w:pPr>
      <w:r>
        <w:rPr>
          <w:noProof/>
        </w:rPr>
        <w:t>„Oprávnené nástroje v rámci segmentu podpory platobnej schopnosti majú za cieľ poskytovať kapitál alebo kvázikapitál spoločnostiam uvedeným v článku 3 písm. c). Môžu sa používať hybridné nástroje v súlade s prílohou II, ak takéto nástroje spĺňajú účel daného segmentu.“</w:t>
      </w:r>
    </w:p>
    <w:p>
      <w:pPr>
        <w:pStyle w:val="Point0"/>
        <w:rPr>
          <w:noProof/>
        </w:rPr>
      </w:pPr>
      <w:r>
        <w:rPr>
          <w:noProof/>
        </w:rPr>
        <w:t>17.</w:t>
      </w:r>
      <w:r>
        <w:rPr>
          <w:noProof/>
        </w:rPr>
        <w:tab/>
        <w:t>V článku 10 ods. 4 sa dopĺňa táto druhá veta:</w:t>
      </w:r>
    </w:p>
    <w:p>
      <w:pPr>
        <w:ind w:left="851"/>
        <w:rPr>
          <w:noProof/>
        </w:rPr>
      </w:pPr>
      <w:r>
        <w:rPr>
          <w:noProof/>
        </w:rPr>
        <w:t>„V rámci segmentu podpory platobnej schopnosti môže EIF poskytnúť záruku fondom a účelovo vytvoreným subjektom.“</w:t>
      </w:r>
    </w:p>
    <w:p>
      <w:pPr>
        <w:pStyle w:val="Point0"/>
        <w:rPr>
          <w:noProof/>
        </w:rPr>
      </w:pPr>
      <w:r>
        <w:rPr>
          <w:noProof/>
        </w:rPr>
        <w:t>18.</w:t>
      </w:r>
      <w:r>
        <w:rPr>
          <w:noProof/>
        </w:rPr>
        <w:tab/>
        <w:t>V článku 10 sa dopĺňa tento odsek 5:</w:t>
      </w:r>
    </w:p>
    <w:p>
      <w:pPr>
        <w:ind w:left="851"/>
        <w:rPr>
          <w:noProof/>
        </w:rPr>
      </w:pPr>
      <w:r>
        <w:rPr>
          <w:noProof/>
        </w:rPr>
        <w:t>„Sprostredkovatelia v rámci segmentu podpory platobnej schopnosti musia byť usadení v členskom štáte a pôsobiť v Únii. Riadiaca rada stanoví potrebné požiadavky týkajúce sa kontroly sprostredkovateľov (fondov, účelovo vytvorených subjektov a iných) v súvislosti s akýmkoľvek uplatniteľným verejným poriadkom alebo aspektmi bezpečnosti.“</w:t>
      </w:r>
    </w:p>
    <w:p>
      <w:pPr>
        <w:pStyle w:val="Point0"/>
        <w:rPr>
          <w:noProof/>
        </w:rPr>
      </w:pPr>
      <w:r>
        <w:rPr>
          <w:noProof/>
        </w:rPr>
        <w:t>19.</w:t>
      </w:r>
      <w:r>
        <w:rPr>
          <w:noProof/>
        </w:rPr>
        <w:tab/>
        <w:t>Článok 11 ods. 1 sa mení takto:</w:t>
      </w:r>
    </w:p>
    <w:p>
      <w:pPr>
        <w:ind w:left="851"/>
        <w:rPr>
          <w:noProof/>
        </w:rPr>
      </w:pPr>
      <w:r>
        <w:rPr>
          <w:noProof/>
        </w:rPr>
        <w:t>„1.</w:t>
      </w:r>
      <w:r>
        <w:rPr>
          <w:noProof/>
        </w:rPr>
        <w:tab/>
        <w:t xml:space="preserve">Záruka EÚ nesmie nikdy presiahnuť sumu 92 436 320 000 EUR, z ktorej časť možno prideliť na financovanie alebo na záruky EIB pre EIF v súlade s odsekom 3 alebo v rámci segmentu podpory platobnej schopnosti. </w:t>
      </w:r>
    </w:p>
    <w:p>
      <w:pPr>
        <w:ind w:left="851"/>
        <w:rPr>
          <w:noProof/>
        </w:rPr>
      </w:pPr>
      <w:r>
        <w:rPr>
          <w:noProof/>
        </w:rPr>
        <w:t>Na operácie v rámci segmentu podpory platobnej schopnosti sa pridelí záruka EÚ vo výške až 66 436 320 000 EUR.</w:t>
      </w:r>
    </w:p>
    <w:p>
      <w:pPr>
        <w:ind w:left="851"/>
        <w:rPr>
          <w:noProof/>
        </w:rPr>
      </w:pPr>
      <w:r>
        <w:rPr>
          <w:noProof/>
        </w:rPr>
        <w:t>Suma až 56 476 320 000 EUR zo sumy uvedenej v druhom pododseku sa pridelí na vykonávacie opatrenia uvedené v článku 2 nariadenia [EURI] a je dostupná až od dátumu uvedeného v článku 4 ods. 3 uvedeného nariadenia.</w:t>
      </w:r>
    </w:p>
    <w:p>
      <w:pPr>
        <w:ind w:left="851"/>
        <w:rPr>
          <w:noProof/>
        </w:rPr>
      </w:pPr>
      <w:r>
        <w:rPr>
          <w:noProof/>
        </w:rPr>
        <w:t>Súhrnné čisté platby zo všeobecného rozpočtu Únie na základe záruky EÚ nesmú presiahnuť 92 436 320 000 EUR a nesmú presiahnuť 26 000 000 000 EUR pred [</w:t>
      </w:r>
      <w:r>
        <w:rPr>
          <w:i/>
          <w:noProof/>
        </w:rPr>
        <w:t>dátum nadobudnutia účinnosti tohto nariadenia</w:t>
      </w:r>
      <w:r>
        <w:rPr>
          <w:noProof/>
        </w:rPr>
        <w:t>].“</w:t>
      </w:r>
    </w:p>
    <w:p>
      <w:pPr>
        <w:pStyle w:val="Point0"/>
        <w:rPr>
          <w:noProof/>
        </w:rPr>
      </w:pPr>
      <w:r>
        <w:rPr>
          <w:noProof/>
        </w:rPr>
        <w:t>20.</w:t>
      </w:r>
      <w:r>
        <w:rPr>
          <w:noProof/>
        </w:rPr>
        <w:tab/>
        <w:t>V článku 11 ods. 3 sa prvá veta mení takto:</w:t>
      </w:r>
    </w:p>
    <w:p>
      <w:pPr>
        <w:ind w:left="851"/>
        <w:rPr>
          <w:noProof/>
        </w:rPr>
      </w:pPr>
      <w:r>
        <w:rPr>
          <w:noProof/>
        </w:rPr>
        <w:t>„3.</w:t>
      </w:r>
      <w:r>
        <w:rPr>
          <w:noProof/>
        </w:rPr>
        <w:tab/>
        <w:t>Ak EIB poskytuje financovanie alebo záruky pre EIF v rámci segmentu pre MSP s cieľom realizovať operácie financovania a investičné operácie EIB, záruka EÚ poskytne úplnú záruku pre takéto financovanie alebo záruky do počiatočnej sumy 6 500 000 0000 EUR za predpokladu, že EIB postupne poskytne financovanie alebo záruky v hodnote aspoň 4 000 000 000 EUR bez krytia zárukou EÚ.“</w:t>
      </w:r>
    </w:p>
    <w:p>
      <w:pPr>
        <w:pStyle w:val="Point0"/>
        <w:rPr>
          <w:noProof/>
        </w:rPr>
      </w:pPr>
      <w:r>
        <w:rPr>
          <w:noProof/>
        </w:rPr>
        <w:t>21.</w:t>
      </w:r>
      <w:r>
        <w:rPr>
          <w:noProof/>
        </w:rPr>
        <w:tab/>
        <w:t>V článku 11 ods. 6 sa druhý pododsek mení takto:</w:t>
      </w:r>
    </w:p>
    <w:p>
      <w:pPr>
        <w:pStyle w:val="Text1"/>
        <w:rPr>
          <w:noProof/>
        </w:rPr>
      </w:pPr>
      <w:r>
        <w:rPr>
          <w:noProof/>
        </w:rPr>
        <w:t>„Záruka EÚ zároveň kryje sumy uvedené v článku 9 ods. 6 druhom, treťom a štvrtom pododseku.“</w:t>
      </w:r>
    </w:p>
    <w:p>
      <w:pPr>
        <w:pStyle w:val="Point0"/>
        <w:rPr>
          <w:noProof/>
        </w:rPr>
      </w:pPr>
      <w:r>
        <w:rPr>
          <w:noProof/>
        </w:rPr>
        <w:t>22.</w:t>
      </w:r>
      <w:r>
        <w:rPr>
          <w:noProof/>
        </w:rPr>
        <w:tab/>
        <w:t>Článok 12 sa mení takto:</w:t>
      </w:r>
    </w:p>
    <w:p>
      <w:pPr>
        <w:pStyle w:val="Point1"/>
        <w:rPr>
          <w:noProof/>
        </w:rPr>
      </w:pPr>
      <w:r>
        <w:rPr>
          <w:noProof/>
        </w:rPr>
        <w:t>a)</w:t>
      </w:r>
      <w:r>
        <w:rPr>
          <w:noProof/>
        </w:rPr>
        <w:tab/>
        <w:t xml:space="preserve">V odseku 2 sa dopĺňa nové písmeno e): </w:t>
      </w:r>
    </w:p>
    <w:p>
      <w:pPr>
        <w:ind w:left="851"/>
        <w:rPr>
          <w:noProof/>
        </w:rPr>
      </w:pPr>
      <w:r>
        <w:rPr>
          <w:noProof/>
        </w:rPr>
        <w:t>„e)</w:t>
      </w:r>
      <w:r>
        <w:rPr>
          <w:noProof/>
        </w:rPr>
        <w:tab/>
        <w:t xml:space="preserve">sumy 28 238 160 000 EUR zo sumy uvedenej v článku 3 ods. 2 písm. c) bode ii) nariadenia [EURI].“ </w:t>
      </w:r>
    </w:p>
    <w:p>
      <w:pPr>
        <w:pStyle w:val="Point1"/>
        <w:rPr>
          <w:noProof/>
        </w:rPr>
      </w:pPr>
      <w:r>
        <w:rPr>
          <w:noProof/>
        </w:rPr>
        <w:t>b)</w:t>
      </w:r>
      <w:r>
        <w:rPr>
          <w:noProof/>
        </w:rPr>
        <w:tab/>
        <w:t xml:space="preserve">V odseku 3 sa vkladá tento druhý pododsek: </w:t>
      </w:r>
    </w:p>
    <w:p>
      <w:pPr>
        <w:ind w:left="851"/>
        <w:rPr>
          <w:noProof/>
        </w:rPr>
      </w:pPr>
      <w:r>
        <w:rPr>
          <w:noProof/>
        </w:rPr>
        <w:lastRenderedPageBreak/>
        <w:t>„Základné prostriedky záručného fondu stanovené v odseku 2 písm. e) tohto článku predstavujú vonkajší pripísaný príjem v súlade s článkom 21 ods. 5 nariadenia o rozpočtových pravidlách.“</w:t>
      </w:r>
    </w:p>
    <w:p>
      <w:pPr>
        <w:pStyle w:val="Point1"/>
        <w:rPr>
          <w:noProof/>
        </w:rPr>
      </w:pPr>
      <w:r>
        <w:rPr>
          <w:noProof/>
        </w:rPr>
        <w:t>c)</w:t>
      </w:r>
      <w:r>
        <w:rPr>
          <w:noProof/>
        </w:rPr>
        <w:tab/>
        <w:t>Odsek 5 sa mení takto:</w:t>
      </w:r>
    </w:p>
    <w:p>
      <w:pPr>
        <w:ind w:left="851"/>
        <w:rPr>
          <w:noProof/>
        </w:rPr>
      </w:pPr>
      <w:r>
        <w:rPr>
          <w:noProof/>
        </w:rPr>
        <w:t>„5.</w:t>
      </w:r>
      <w:r>
        <w:rPr>
          <w:noProof/>
        </w:rPr>
        <w:tab/>
        <w:t>Základné prostriedky záručného fondu uvedené v odseku 2 písm. a) až d) a základné prostriedky uvedené v odseku 2 písm. e) sa používajú na dosiahnutie primeranej úrovne (ďalej len „cieľová suma“) tak, aby zodpovedali celkovým záručným záväzkom EÚ. Cieľová suma sa stanovuje na 45,8 % celkových záručných záväzkov EÚ.“</w:t>
      </w:r>
    </w:p>
    <w:p>
      <w:pPr>
        <w:pStyle w:val="Point1"/>
        <w:rPr>
          <w:noProof/>
        </w:rPr>
      </w:pPr>
      <w:r>
        <w:rPr>
          <w:noProof/>
        </w:rPr>
        <w:t>d)</w:t>
      </w:r>
      <w:r>
        <w:rPr>
          <w:noProof/>
        </w:rPr>
        <w:tab/>
        <w:t>Odsek 7 sa mení takto:</w:t>
      </w:r>
    </w:p>
    <w:p>
      <w:pPr>
        <w:ind w:left="851"/>
        <w:rPr>
          <w:noProof/>
        </w:rPr>
      </w:pPr>
      <w:r>
        <w:rPr>
          <w:noProof/>
        </w:rPr>
        <w:t>„7.</w:t>
      </w:r>
      <w:r>
        <w:rPr>
          <w:noProof/>
        </w:rPr>
        <w:tab/>
        <w:t>Počnúc 1. januárom 2028, ak v dôsledku uplatnenia záruky EÚ úroveň záručného fondu klesne pod 50 % cieľovej sumy alebo ak by podľa posúdenia rizík vykonaného Komisiou mohla klesnúť pod túto úroveň v priebehu roka, Komisia predloží správu o všetkých mimoriadnych opatreniach, ktoré by mohli byť potrebné.“</w:t>
      </w:r>
    </w:p>
    <w:p>
      <w:pPr>
        <w:pStyle w:val="Point1"/>
        <w:rPr>
          <w:noProof/>
        </w:rPr>
      </w:pPr>
      <w:r>
        <w:rPr>
          <w:noProof/>
        </w:rPr>
        <w:t>e)</w:t>
      </w:r>
      <w:r>
        <w:rPr>
          <w:noProof/>
        </w:rPr>
        <w:tab/>
        <w:t>Odsek 10 sa mení takto:</w:t>
      </w:r>
    </w:p>
    <w:p>
      <w:pPr>
        <w:ind w:left="851"/>
        <w:rPr>
          <w:noProof/>
        </w:rPr>
      </w:pPr>
      <w:r>
        <w:rPr>
          <w:noProof/>
        </w:rPr>
        <w:t>„10.</w:t>
      </w:r>
      <w:r>
        <w:rPr>
          <w:noProof/>
        </w:rPr>
        <w:tab/>
        <w:t>Ak sa záruka EÚ v plnej miere obnoví do výšky 92 436 320 000 EUR, akákoľvek suma v záručnom fonde presahujúca cieľovú sumu sa uhradí do všeobecného rozpočtu Únie.“</w:t>
      </w:r>
    </w:p>
    <w:p>
      <w:pPr>
        <w:pStyle w:val="Point0"/>
        <w:rPr>
          <w:noProof/>
        </w:rPr>
      </w:pPr>
      <w:r>
        <w:rPr>
          <w:noProof/>
        </w:rPr>
        <w:t>23.</w:t>
      </w:r>
      <w:r>
        <w:rPr>
          <w:noProof/>
        </w:rPr>
        <w:tab/>
        <w:t>V článku 13 sa druhý odsek mení takto:</w:t>
      </w:r>
    </w:p>
    <w:p>
      <w:pPr>
        <w:pStyle w:val="Text1"/>
        <w:rPr>
          <w:noProof/>
        </w:rPr>
      </w:pPr>
      <w:r>
        <w:rPr>
          <w:noProof/>
        </w:rPr>
        <w:t>„V prípade potreby sa platobné rozpočtové prostriedky môžu zapísať do všeobecného rozpočtu Únie po roku 2020 až do, a vrátane, rozpočtového roka 2027 v záujme splnenia povinností vyplývajúcich z článku 12 ods. 5.“</w:t>
      </w:r>
    </w:p>
    <w:p>
      <w:pPr>
        <w:pStyle w:val="Point0"/>
        <w:rPr>
          <w:noProof/>
        </w:rPr>
      </w:pPr>
      <w:r>
        <w:rPr>
          <w:noProof/>
        </w:rPr>
        <w:t>24.</w:t>
      </w:r>
      <w:r>
        <w:rPr>
          <w:noProof/>
        </w:rPr>
        <w:tab/>
        <w:t>Vkladá sa táto kapitola IIIa:</w:t>
      </w:r>
    </w:p>
    <w:p>
      <w:pPr>
        <w:jc w:val="center"/>
        <w:rPr>
          <w:noProof/>
        </w:rPr>
      </w:pPr>
      <w:r>
        <w:rPr>
          <w:noProof/>
        </w:rPr>
        <w:t>„Článok 13a</w:t>
      </w:r>
    </w:p>
    <w:p>
      <w:pPr>
        <w:jc w:val="center"/>
        <w:rPr>
          <w:noProof/>
        </w:rPr>
      </w:pPr>
      <w:r>
        <w:rPr>
          <w:noProof/>
        </w:rPr>
        <w:t>Účasť na navýšení kapitálu Európskeho investičného fondu</w:t>
      </w:r>
    </w:p>
    <w:p>
      <w:pPr>
        <w:autoSpaceDE w:val="0"/>
        <w:autoSpaceDN w:val="0"/>
        <w:adjustRightInd w:val="0"/>
        <w:spacing w:before="0" w:after="0"/>
        <w:rPr>
          <w:noProof/>
        </w:rPr>
      </w:pPr>
      <w:r>
        <w:rPr>
          <w:noProof/>
        </w:rPr>
        <w:t>Únia upíše akcie v nadchádzajúcich navýšeniach kapitálu Európskeho investičného fondu tak, aby jej pomerný podiel na kapitále zostal na súčasnej úrovni. Upísanie akcií a platba až 500 000 000 EUR splatenej časti akcií sa vykoná v súlade so zmluvnými podmienkami, ktoré schvaľuje valné zhromaždenie fondu.“</w:t>
      </w:r>
    </w:p>
    <w:p>
      <w:pPr>
        <w:pStyle w:val="Point0"/>
        <w:rPr>
          <w:noProof/>
        </w:rPr>
      </w:pPr>
      <w:r>
        <w:rPr>
          <w:noProof/>
        </w:rPr>
        <w:t>25.</w:t>
      </w:r>
      <w:r>
        <w:rPr>
          <w:noProof/>
        </w:rPr>
        <w:tab/>
        <w:t>Článok 14 sa mení takto:</w:t>
      </w:r>
    </w:p>
    <w:p>
      <w:pPr>
        <w:ind w:left="851"/>
        <w:rPr>
          <w:noProof/>
        </w:rPr>
      </w:pPr>
      <w:r>
        <w:rPr>
          <w:noProof/>
        </w:rPr>
        <w:t>a) V odseku 2 sa vkladá toto písmeno i):</w:t>
      </w:r>
    </w:p>
    <w:p>
      <w:pPr>
        <w:ind w:left="851"/>
        <w:rPr>
          <w:noProof/>
        </w:rPr>
      </w:pPr>
      <w:r>
        <w:rPr>
          <w:noProof/>
        </w:rPr>
        <w:t>„i) poskytovania podpory na operácie financovania a investičné operácie v rámci segmentu podpory platobnej schopnosti.“</w:t>
      </w:r>
    </w:p>
    <w:p>
      <w:pPr>
        <w:ind w:left="851"/>
        <w:rPr>
          <w:noProof/>
        </w:rPr>
      </w:pPr>
      <w:r>
        <w:rPr>
          <w:noProof/>
        </w:rPr>
        <w:t>b) Odsek 3 sa mení takto:</w:t>
      </w:r>
    </w:p>
    <w:p>
      <w:pPr>
        <w:ind w:left="851"/>
        <w:rPr>
          <w:noProof/>
        </w:rPr>
      </w:pPr>
      <w:r>
        <w:rPr>
          <w:noProof/>
        </w:rPr>
        <w:t>„Služby EIAH sú dostupné verejným a súkromným predkladateľom projektov vrátane národných podporných bánk alebo inštitúcií, investičných platforiem, fondov, účelovo vytvorených subjektov a regionálnych a miestnych verejných subjektov.“</w:t>
      </w:r>
    </w:p>
    <w:p>
      <w:pPr>
        <w:pStyle w:val="Point0"/>
        <w:rPr>
          <w:noProof/>
        </w:rPr>
      </w:pPr>
      <w:r>
        <w:rPr>
          <w:noProof/>
        </w:rPr>
        <w:t>26.</w:t>
      </w:r>
      <w:r>
        <w:rPr>
          <w:noProof/>
        </w:rPr>
        <w:tab/>
        <w:t>Vkladá sa tento článok 14a:</w:t>
      </w:r>
    </w:p>
    <w:p>
      <w:pPr>
        <w:jc w:val="center"/>
        <w:rPr>
          <w:noProof/>
        </w:rPr>
      </w:pPr>
      <w:r>
        <w:rPr>
          <w:noProof/>
        </w:rPr>
        <w:t>„Článok 14a</w:t>
      </w:r>
    </w:p>
    <w:p>
      <w:pPr>
        <w:jc w:val="center"/>
        <w:rPr>
          <w:noProof/>
        </w:rPr>
      </w:pPr>
      <w:r>
        <w:rPr>
          <w:noProof/>
        </w:rPr>
        <w:t xml:space="preserve">Financovanie poradenských služieb a technickej pomoci </w:t>
      </w:r>
    </w:p>
    <w:p>
      <w:pPr>
        <w:autoSpaceDE w:val="0"/>
        <w:autoSpaceDN w:val="0"/>
        <w:adjustRightInd w:val="0"/>
        <w:spacing w:before="0" w:after="0"/>
        <w:rPr>
          <w:noProof/>
        </w:rPr>
      </w:pPr>
      <w:r>
        <w:rPr>
          <w:noProof/>
        </w:rPr>
        <w:lastRenderedPageBreak/>
        <w:t xml:space="preserve">Sprístupní sa suma do 100 000 000 EUR na krytie nákladov, poradenských služieb a technickej a administratívnej pomoci na vytváranie a riadenie fondov, účelovo vytvorených subjektov, investičných platforiem a iných nástrojov na účely segmentu podpory platobnej schopnosti vrátane podpory uvedenej v článku 14 ods. 2 písm. i) s osobitným zameraním na členské štáty s menej rozvinutými kapitálovými trhmi. Technická pomoc je dostupná aj na podporu zelenej a digitálnej transformácie spoločností financovaných v rámci tohto segmentu. </w:t>
      </w:r>
    </w:p>
    <w:p>
      <w:pPr>
        <w:autoSpaceDE w:val="0"/>
        <w:autoSpaceDN w:val="0"/>
        <w:adjustRightInd w:val="0"/>
        <w:spacing w:before="0" w:after="0"/>
        <w:rPr>
          <w:noProof/>
        </w:rPr>
      </w:pPr>
    </w:p>
    <w:p>
      <w:pPr>
        <w:autoSpaceDE w:val="0"/>
        <w:autoSpaceDN w:val="0"/>
        <w:adjustRightInd w:val="0"/>
        <w:spacing w:before="0" w:after="0"/>
        <w:rPr>
          <w:noProof/>
        </w:rPr>
      </w:pPr>
      <w:r>
        <w:rPr>
          <w:noProof/>
        </w:rPr>
        <w:t>Komisia implementuje túto sumu v rámci priameho alebo nepriameho riadenia, ako je uvedené v článku 62 ods. 1 písm. a) a c) nariadenia o rozpočtových pravidlách.</w:t>
      </w:r>
    </w:p>
    <w:p>
      <w:pPr>
        <w:autoSpaceDE w:val="0"/>
        <w:autoSpaceDN w:val="0"/>
        <w:adjustRightInd w:val="0"/>
        <w:spacing w:before="0" w:after="0"/>
        <w:rPr>
          <w:noProof/>
        </w:rPr>
      </w:pPr>
    </w:p>
    <w:p>
      <w:pPr>
        <w:autoSpaceDE w:val="0"/>
        <w:autoSpaceDN w:val="0"/>
        <w:adjustRightInd w:val="0"/>
        <w:spacing w:before="0" w:after="0"/>
        <w:rPr>
          <w:noProof/>
        </w:rPr>
      </w:pPr>
      <w:r>
        <w:rPr>
          <w:noProof/>
        </w:rPr>
        <w:t>Suma 80 000 000 EUR zo sumy uvedenej v prvom pododseku predstavuje vonkajšie pripísané príjmy v súlade s článkom 21 ods. 5 nariadenia o rozpočtových pravidlách a podlieha článku 4 ods. 4 a 8 nariadenia [EURI].</w:t>
      </w:r>
    </w:p>
    <w:p>
      <w:pPr>
        <w:pStyle w:val="Point0"/>
        <w:rPr>
          <w:noProof/>
        </w:rPr>
      </w:pPr>
      <w:r>
        <w:rPr>
          <w:noProof/>
        </w:rPr>
        <w:t>27.</w:t>
      </w:r>
      <w:r>
        <w:rPr>
          <w:noProof/>
        </w:rPr>
        <w:tab/>
        <w:t>V článku 16 ods. 2 sa vkladá tento druhý pododsek:</w:t>
      </w:r>
    </w:p>
    <w:p>
      <w:pPr>
        <w:ind w:left="851"/>
        <w:rPr>
          <w:noProof/>
        </w:rPr>
      </w:pPr>
      <w:r>
        <w:rPr>
          <w:noProof/>
        </w:rPr>
        <w:t>„O operáciách v rámci segmentu podpory platobnej schopnosti sa podávajú správy samostatne podľa potreby a tak, ako je stanovené v dohode o záruke.“</w:t>
      </w:r>
    </w:p>
    <w:p>
      <w:pPr>
        <w:pStyle w:val="Point0"/>
        <w:rPr>
          <w:noProof/>
        </w:rPr>
      </w:pPr>
      <w:r>
        <w:rPr>
          <w:noProof/>
        </w:rPr>
        <w:t>28.</w:t>
      </w:r>
      <w:r>
        <w:rPr>
          <w:noProof/>
        </w:rPr>
        <w:tab/>
        <w:t>V článku 16 ods. 3 sa vkladá tento druhý pododsek:</w:t>
      </w:r>
    </w:p>
    <w:p>
      <w:pPr>
        <w:ind w:left="851"/>
        <w:rPr>
          <w:noProof/>
        </w:rPr>
      </w:pPr>
      <w:r>
        <w:rPr>
          <w:noProof/>
        </w:rPr>
        <w:t>„Riadne účtovné závierky záruky EÚ, zostavené v súlade s účtovnými pravidlami prijatými účtovníkom Komisie, ako sa uvádza v článku 80 nariadenia Európskeho parlamentu a Rady o rozpočtových pravidlách (EÚ, Euratom) 2018/1046 z 18. júla 2018 o rozpočtových pravidlách, ktoré sa vzťahujú na všeobecný rozpočet Únie. Neauditované účtovné závierky a všetky informácie potrebné na zostavenie účtovníctva Únie poskytne skupina EIB do 15. februára nasledujúceho rozpočtového roka a auditované účtovné závierky do 31. marca nasledujúceho rozpočtového roka.“</w:t>
      </w:r>
    </w:p>
    <w:p>
      <w:pPr>
        <w:pStyle w:val="Point0"/>
        <w:rPr>
          <w:noProof/>
        </w:rPr>
      </w:pPr>
      <w:r>
        <w:rPr>
          <w:noProof/>
        </w:rPr>
        <w:t>29.</w:t>
      </w:r>
      <w:r>
        <w:rPr>
          <w:noProof/>
        </w:rPr>
        <w:tab/>
        <w:t xml:space="preserve">V článku 18 ods. 3 sa úvodná veta mení takto: </w:t>
      </w:r>
    </w:p>
    <w:p>
      <w:pPr>
        <w:ind w:left="851"/>
        <w:rPr>
          <w:noProof/>
        </w:rPr>
      </w:pPr>
      <w:r>
        <w:rPr>
          <w:noProof/>
        </w:rPr>
        <w:t>„3.</w:t>
      </w:r>
      <w:r>
        <w:rPr>
          <w:noProof/>
        </w:rPr>
        <w:tab/>
        <w:t>Do 30. júna 2018, do 30. decembra 2021 a každé tri roky potom:“</w:t>
      </w:r>
    </w:p>
    <w:p>
      <w:pPr>
        <w:pStyle w:val="Point0"/>
        <w:rPr>
          <w:noProof/>
        </w:rPr>
      </w:pPr>
      <w:r>
        <w:rPr>
          <w:noProof/>
        </w:rPr>
        <w:t>30.</w:t>
      </w:r>
      <w:r>
        <w:rPr>
          <w:noProof/>
        </w:rPr>
        <w:tab/>
        <w:t>V článku 24 sa dopĺňajú tieto odseky 3 a 4:</w:t>
      </w:r>
    </w:p>
    <w:p>
      <w:pPr>
        <w:ind w:left="851"/>
        <w:rPr>
          <w:noProof/>
        </w:rPr>
      </w:pPr>
      <w:r>
        <w:rPr>
          <w:noProof/>
        </w:rPr>
        <w:t>„3.</w:t>
      </w:r>
      <w:r>
        <w:rPr>
          <w:noProof/>
        </w:rPr>
        <w:tab/>
        <w:t>EIB môže po nadobudnutí účinnosti tohto nariadenia predkladať investičnému výboru operácie financovania a investičné operácie schválené jej riadiacimi orgánmi počas obdobia od prijatia návrhu Komisie na zmenu nariadenia (EÚ) 2015/2017 do podpísania zmenenej dohody o záruke vyplývajúcej zo zmeneného nariadenia, ak takéto operácie spĺňajú požiadavky na podporu podľa nástroja na podporu platobnej schopnosti. Operácie predkladané investičnému výboru nesmeli predtým využiť podporu zo záruky EÚ.</w:t>
      </w:r>
    </w:p>
    <w:p>
      <w:pPr>
        <w:ind w:left="851"/>
        <w:rPr>
          <w:noProof/>
        </w:rPr>
      </w:pPr>
      <w:r>
        <w:rPr>
          <w:noProof/>
        </w:rPr>
        <w:t>4.</w:t>
      </w:r>
      <w:r>
        <w:rPr>
          <w:noProof/>
        </w:rPr>
        <w:tab/>
        <w:t>Potom, ako investičný výbor stanovený v nariadení o InvestEU prevezme svoje funkcie, preberá zodpovednosť aj za poskytovanie záruky EÚ podľa tohto nariadenia.“</w:t>
      </w:r>
    </w:p>
    <w:p>
      <w:pPr>
        <w:pStyle w:val="Point0"/>
        <w:rPr>
          <w:noProof/>
        </w:rPr>
      </w:pPr>
      <w:r>
        <w:rPr>
          <w:noProof/>
        </w:rPr>
        <w:t>31.</w:t>
      </w:r>
      <w:r>
        <w:rPr>
          <w:noProof/>
        </w:rPr>
        <w:tab/>
        <w:t>Príloha II k nariadeniu (EÚ) 2015/1017 sa mení takto:</w:t>
      </w:r>
    </w:p>
    <w:p>
      <w:pPr>
        <w:pStyle w:val="Point1"/>
        <w:rPr>
          <w:noProof/>
        </w:rPr>
      </w:pPr>
      <w:r>
        <w:rPr>
          <w:noProof/>
        </w:rPr>
        <w:t>1.</w:t>
      </w:r>
      <w:r>
        <w:rPr>
          <w:noProof/>
        </w:rPr>
        <w:tab/>
        <w:t>V oddiele 1 sa tretí odsek nahrádza takto:</w:t>
      </w:r>
    </w:p>
    <w:p>
      <w:pPr>
        <w:pStyle w:val="Text2"/>
        <w:rPr>
          <w:noProof/>
        </w:rPr>
      </w:pPr>
      <w:r>
        <w:rPr>
          <w:noProof/>
        </w:rPr>
        <w:t xml:space="preserve">„Investičné usmernenia sa vzťahujú iba na operácie EFSI týkajúce sa dlhových nástrojov a nástrojov kapitálového trhu uvedených v článku 10 ods. 2 písm. a) tohto nariadenia a na operácie EFSI v segmente podpory platobnej schopnosti uvedenom v článku 10 ods. 2 písm. b) a článku 10 ods. 2 písm. c). Usmernenia teda nie sú uplatniteľné na operácie EFSI týkajúce sa nástrojov uvedených </w:t>
      </w:r>
      <w:r>
        <w:rPr>
          <w:noProof/>
        </w:rPr>
        <w:lastRenderedPageBreak/>
        <w:t>v článku 10 ods. 2 písm. b) okrem tých, ktoré sú podporované na základe segmentu podpory platobnej schopnosti.“</w:t>
      </w:r>
    </w:p>
    <w:p>
      <w:pPr>
        <w:pStyle w:val="Point1"/>
        <w:rPr>
          <w:noProof/>
        </w:rPr>
      </w:pPr>
      <w:r>
        <w:rPr>
          <w:noProof/>
        </w:rPr>
        <w:t>2.</w:t>
      </w:r>
      <w:r>
        <w:rPr>
          <w:noProof/>
        </w:rPr>
        <w:tab/>
        <w:t>Oddiel 2 sa mení takto:</w:t>
      </w:r>
    </w:p>
    <w:p>
      <w:pPr>
        <w:pStyle w:val="Point2"/>
        <w:rPr>
          <w:noProof/>
        </w:rPr>
      </w:pPr>
      <w:r>
        <w:rPr>
          <w:noProof/>
        </w:rPr>
        <w:t>a)</w:t>
      </w:r>
      <w:r>
        <w:rPr>
          <w:noProof/>
        </w:rPr>
        <w:tab/>
        <w:t>V písmene b) sa prvý odsek nahrádza takto:</w:t>
      </w:r>
    </w:p>
    <w:p>
      <w:pPr>
        <w:pStyle w:val="Text3"/>
        <w:rPr>
          <w:noProof/>
        </w:rPr>
      </w:pPr>
      <w:r>
        <w:rPr>
          <w:noProof/>
        </w:rPr>
        <w:t>„b) Záruka EÚ sa poskytuje na priamu alebo nepriamu podporu financovania nových operácií. V oblasti infraštruktúry by sa mali podporovať investície na zelenej lúke (vytváranie aktív). Takisto možno podporovať investície do opustených priemyselných lokalít (rozšírenie a modernizácia existujúcich aktív). V rámci segmentu podpory platobnej schopnosti je cieľom financovania zlepšenie kapitálovej základne spoločností a ich platobnej schopnosti. Podmienkami financovania by sa malo zabrániť narušeniu hospodárskej súťaže medzi spoločnosťami. Záruka EÚ sa spravidla neposkytuje na podporu refinančných operácií (ako sú nahradenie existujúcej dohody o úvere či iné formy finančnej podpory pre projekty, ktoré sú už čiastočne alebo úplne zrealizované), s výnimkou v rámci segmentu podpory platobnej schopnosti alebo výnimočných a náležite odôvodnených prípadov, keď je preukázané, že takáto transakcia umožní nové investície vo výške sumy rovnocennej aspoň výške sumy transakcie, a ktoré by splnili kritériá oprávnenosti a všeobecné ciele stanovené v článku 6 a článku 9 ods. 2.“</w:t>
      </w:r>
    </w:p>
    <w:p>
      <w:pPr>
        <w:pStyle w:val="Point2"/>
        <w:rPr>
          <w:noProof/>
        </w:rPr>
      </w:pPr>
      <w:r>
        <w:rPr>
          <w:noProof/>
        </w:rPr>
        <w:t>b)</w:t>
      </w:r>
      <w:r>
        <w:rPr>
          <w:noProof/>
        </w:rPr>
        <w:tab/>
        <w:t>Písmeno c) sa mení takto:</w:t>
      </w:r>
    </w:p>
    <w:p>
      <w:pPr>
        <w:pStyle w:val="Text3"/>
        <w:rPr>
          <w:noProof/>
        </w:rPr>
      </w:pPr>
      <w:r>
        <w:rPr>
          <w:noProof/>
        </w:rPr>
        <w:t>„c) Záruka EÚ podporuje širokú škálu produktov, ktoré umožňujú EFSI prispôsobiť sa potrebám trhu a zároveň podporiť súkromné investície do projektov bez vytláčania financovania z prostriedkov súkromného trhu. V tejto súvislosti sa očakáva, že EIB poskytne financovanie v rámci EFSI v snahe dosiahnuť celkový cieľ verejných alebo súkromných investícií aspoň vo výške 500 000 000 000 EUR v rámci segmentu pre infraštruktúru a inovácie a v rámci segmentu pre MSP spolu, čo zahŕňa financovanie mobilizované prostredníctvom EIF v rámci operácií EFSI týkajúcich sa nástrojov uvedených v článku 10 ods. 2 písm. b), národných podporných bánk alebo inštitúcií a prostredníctvom posilneného prístupu k financovaniu pre subjekty, ktoré majú do 3 000 zamestnancov. Oprávnené produkty zahŕňajú okrem iného</w:t>
      </w:r>
      <w:r>
        <w:rPr>
          <w:rStyle w:val="FootnoteReference"/>
          <w:noProof/>
        </w:rPr>
        <w:footnoteReference w:id="12"/>
      </w:r>
      <w:r>
        <w:rPr>
          <w:noProof/>
        </w:rPr>
        <w:t xml:space="preserve"> úvery, záruky/protizáruky, mezanínové a podriadené financovanie, nástroje kapitálového trhu vrátane zvýšenia kreditnej kvality a kapitálové či kvázikapitálové účasti, a to aj prostredníctvom národných podporných bánk alebo inštitúcií, investičných platforiem, fondov alebo účelovo vytvorených subjektov. V tejto súvislosti s cieľom umožniť širokej škále investorov investovať do projektov EFSI sa EIB umožní štruktúrovať príslušné portfóliá. V segmente podpory platobnej schopnosti sú oprávnené produkty tie, ktorých výsledkom je poskytovanie investícií, sprostredkovaného kapitálu alebo kvázikapitálu spoločnostiam a projektom, ale s vylúčením subjektov zameriavajúcich sa na odkúpenie (alebo náhradný kapitál) určených na odpredaj aktív. Očakáva sa, že EIB a EIF budú poskytovať financovanie v snahe dosiahnuť cieľ investície do 300 000 000 000 EUR v rámci segmentu podpory platobnej schopnosti.</w:t>
      </w:r>
    </w:p>
    <w:p>
      <w:pPr>
        <w:pStyle w:val="Point2"/>
        <w:rPr>
          <w:noProof/>
        </w:rPr>
      </w:pPr>
      <w:r>
        <w:rPr>
          <w:noProof/>
        </w:rPr>
        <w:lastRenderedPageBreak/>
        <w:t>c)</w:t>
      </w:r>
      <w:r>
        <w:rPr>
          <w:noProof/>
        </w:rPr>
        <w:tab/>
        <w:t>V písmene d) sa prvá veta mení takto:</w:t>
      </w:r>
    </w:p>
    <w:p>
      <w:pPr>
        <w:pStyle w:val="Text3"/>
        <w:rPr>
          <w:noProof/>
        </w:rPr>
      </w:pPr>
      <w:r>
        <w:rPr>
          <w:noProof/>
        </w:rPr>
        <w:t>„d) Národné podporné banky alebo inštitúcie, investičné platformy, fondy a účelovo vytvorené subjekty sú oprávnené na krytie zárukou EIB v rámci protizáruky záruky EÚ v súlade s článkom 10 ods. 2 písm. c).“</w:t>
      </w:r>
    </w:p>
    <w:p>
      <w:pPr>
        <w:pStyle w:val="Point1"/>
        <w:rPr>
          <w:noProof/>
        </w:rPr>
      </w:pPr>
      <w:r>
        <w:rPr>
          <w:noProof/>
        </w:rPr>
        <w:t>3.</w:t>
      </w:r>
      <w:r>
        <w:rPr>
          <w:noProof/>
        </w:rPr>
        <w:tab/>
        <w:t>V oddiele 6 sa dopĺňa toto písmeno d):</w:t>
      </w:r>
    </w:p>
    <w:p>
      <w:pPr>
        <w:pStyle w:val="PointDouble2"/>
        <w:rPr>
          <w:noProof/>
        </w:rPr>
      </w:pPr>
      <w:r>
        <w:rPr>
          <w:noProof/>
        </w:rPr>
        <w:t>„d) Segment podpory platobnej schopnosti</w:t>
      </w:r>
    </w:p>
    <w:p>
      <w:pPr>
        <w:pStyle w:val="ListNumberLevel3"/>
        <w:rPr>
          <w:noProof/>
        </w:rPr>
      </w:pPr>
      <w:r>
        <w:rPr>
          <w:noProof/>
        </w:rPr>
        <w:t>Záruka EÚ sa môže používať na podporu financovania z EIB alebo EIF alebo na záruky pre fondy, účelovo vytvorené subjekty alebo iné investičné platformy alebo na investície do nich, a to aj prostredníctvom národných podporných bánk alebo inštitúcií, alebo iných príslušných nástrojov, ktoré poskytujú kapitál a kapitálové investície do spoločností.</w:t>
      </w:r>
    </w:p>
    <w:p>
      <w:pPr>
        <w:pStyle w:val="ListNumberLevel3"/>
        <w:rPr>
          <w:noProof/>
          <w:spacing w:val="-4"/>
        </w:rPr>
      </w:pPr>
      <w:r>
        <w:rPr>
          <w:noProof/>
          <w:spacing w:val="-4"/>
        </w:rPr>
        <w:t xml:space="preserve">Segment podpory platobnej schopnosti je osobitne zameraný na fondy, účelovo vytvorené subjekty alebo investičné platformy zamerané na spoločnosti zapájajúce sa do cezhraničných činností v rámci Únie a/alebo spoločnosti s vysokým potenciálom zelenej alebo digitálnej transformácie. </w:t>
      </w:r>
    </w:p>
    <w:p>
      <w:pPr>
        <w:pStyle w:val="ListNumberLevel3"/>
        <w:rPr>
          <w:noProof/>
        </w:rPr>
      </w:pPr>
      <w:r>
        <w:rPr>
          <w:noProof/>
        </w:rPr>
        <w:t>Fondy, účelovo vytvorené subjekty alebo investičné platformy poskytujú financovanie za komerčných podmienok alebo podmienok, ktoré sú v súlade s dočasným rámcom pre štátnu pomoc</w:t>
      </w:r>
      <w:r>
        <w:rPr>
          <w:rStyle w:val="FootnoteReference"/>
          <w:noProof/>
        </w:rPr>
        <w:footnoteReference w:id="13"/>
      </w:r>
      <w:r>
        <w:rPr>
          <w:noProof/>
        </w:rPr>
        <w:t xml:space="preserve">, s náležitým zohľadnením európskej povahy Nástroja na podporu platobnej schopnosti a nezávislého riadenia fondov a iných nástrojov. </w:t>
      </w:r>
    </w:p>
    <w:p>
      <w:pPr>
        <w:pStyle w:val="ListNumberLevel3"/>
        <w:rPr>
          <w:noProof/>
        </w:rPr>
      </w:pPr>
      <w:r>
        <w:rPr>
          <w:noProof/>
        </w:rPr>
        <w:t xml:space="preserve">Fondy, účelovo vytvorené subjekty alebo investičné platformy musia mať obchodné riadenie, ktoré prijíma investičné rozhodnutia, alebo nezávislé riadenie, ktoré má trhový odstup od všetkých investorov. </w:t>
      </w:r>
    </w:p>
    <w:p>
      <w:pPr>
        <w:pStyle w:val="ListNumberLevel3"/>
        <w:rPr>
          <w:noProof/>
          <w:spacing w:val="-4"/>
        </w:rPr>
      </w:pPr>
      <w:r>
        <w:rPr>
          <w:noProof/>
          <w:spacing w:val="-4"/>
        </w:rPr>
        <w:t>Spoločnosti, na ktoré sú zamerané fondy, účelovo vytvorené subjekty alebo investičné platformy, sa nabádajú k tomu, aby v maximálnej možnej miere dodržiavali minimálne sociálne a environmentálne záruky na vysokej úrovni v súlade s usmerneniami poskytnutými riadiacou radou. Tieto usmernenia by mali obsahovať primerané ustanovenia na prevenciu neprimeraných administratívnych záťaží so zohľadnením veľkosti spoločností vrátane jednoduchších ustanovení pre MSP. Spoločnosti, ktoré sú do určitej miery vystavené vopred vymedzenému zoznamu environmentálne škodlivých činností, najmä v odvetviach, na ktoré sa vzťahuje systém obchodovania s emisnými kvótami skleníkových plynov v EÚ (EU ETS), sa nabádajú k tomu, aby v budúcnosti zaviedli plány zelenej transformácie. Spoločnosti sa takisto nabádajú k tomu, aby pokročili vo svojej digitálnej transformácii. Na pomoc spoločnostiam s týmito transformáciami je k dispozícii technická pomoc.</w:t>
      </w:r>
    </w:p>
    <w:p>
      <w:pPr>
        <w:pStyle w:val="ListNumberLevel3"/>
        <w:rPr>
          <w:noProof/>
          <w:spacing w:val="-10"/>
        </w:rPr>
      </w:pPr>
      <w:r>
        <w:rPr>
          <w:noProof/>
          <w:spacing w:val="-10"/>
        </w:rPr>
        <w:t xml:space="preserve">Operácie v rámci tohto segmentu sa vykonávajú v súlade s internými pravidlami a postupmi EIB alebo EIF. Všetky relevantné informácie na posúdenie operácie sa sprístupnia členom riadiacej rady a investičného výboru. </w:t>
      </w:r>
    </w:p>
    <w:p>
      <w:pPr>
        <w:pStyle w:val="ListNumberLevel3"/>
        <w:rPr>
          <w:noProof/>
        </w:rPr>
      </w:pPr>
      <w:r>
        <w:rPr>
          <w:noProof/>
        </w:rPr>
        <w:t>Záruky alebo investície z EIB alebo EIF sa oceňujú v súlade s článkom 4 ods. 2 písm. a) bodom iv) alebo článkom 4 ods. 2 písm. a) bodom v).“</w:t>
      </w:r>
    </w:p>
    <w:p>
      <w:pPr>
        <w:pStyle w:val="Point1"/>
        <w:rPr>
          <w:noProof/>
        </w:rPr>
      </w:pPr>
      <w:r>
        <w:rPr>
          <w:noProof/>
        </w:rPr>
        <w:lastRenderedPageBreak/>
        <w:t>4.</w:t>
      </w:r>
      <w:r>
        <w:rPr>
          <w:noProof/>
        </w:rPr>
        <w:tab/>
        <w:t>V oddiele 8 sa písmeno b) mení takto:</w:t>
      </w:r>
    </w:p>
    <w:p>
      <w:pPr>
        <w:pStyle w:val="Text2"/>
        <w:rPr>
          <w:noProof/>
        </w:rPr>
      </w:pPr>
      <w:r>
        <w:rPr>
          <w:noProof/>
        </w:rPr>
        <w:t>„b) Geografická koncentrácia</w:t>
      </w:r>
    </w:p>
    <w:p>
      <w:pPr>
        <w:pStyle w:val="Text2"/>
        <w:rPr>
          <w:noProof/>
        </w:rPr>
      </w:pPr>
      <w:r>
        <w:rPr>
          <w:noProof/>
        </w:rPr>
        <w:t>Operácie, ktoré podporuje EFSI, sa na konci príslušného investičného obdobia nesmú sústreďovať na žiadnom konkrétnom území. Na tento účel riadiaca rada schváli orientačné usmernenia týkajúce sa geografickej diverzifikácie a koncentrácie. Riadiaca rada sa po konzultácii s investičným výborom môže rozhodnúť zmeniť tieto orientačné hraničné hodnoty.</w:t>
      </w:r>
    </w:p>
    <w:p>
      <w:pPr>
        <w:pStyle w:val="Text2"/>
        <w:rPr>
          <w:noProof/>
        </w:rPr>
      </w:pPr>
      <w:r>
        <w:rPr>
          <w:noProof/>
        </w:rPr>
        <w:t xml:space="preserve">Riadiaca rada stanoví špecifické hraničné hodnoty diverzifikácie a koncentrácie v rámci segmentu podpory platobnej schopnosti, aby sa zabezpečilo splnenie príslušných požiadaviek článku 9 ods. 2a písm. b) a c) pri súčasnej prevencii nadmernej koncentrácie v obmedzenom počte členských štátov. Riadiaca rada pravidelne zváži hospodársky vplyv pandémie COVID-19 na členské štáty a odvetvia. Na základe toho sa riadiaca rada po konzultácii s investičným výborom môže rozhodnúť zmeniť tieto orientačné hraničné hodnoty. </w:t>
      </w:r>
    </w:p>
    <w:p>
      <w:pPr>
        <w:pStyle w:val="Text2"/>
        <w:rPr>
          <w:noProof/>
        </w:rPr>
      </w:pPr>
      <w:r>
        <w:rPr>
          <w:noProof/>
        </w:rPr>
        <w:t>Riadiaca rada svoje rozhodnutie týkajúce sa orientačných hraničných hodnôt a špecifických hraničných hodnôt pre segment podpory platobnej schopnosti písomne zdôvodní Európskemu parlamentu a Rade. EFSI by sa mal usilovať o pokrytie všetkých členských štátov.“</w:t>
      </w:r>
    </w:p>
    <w:p>
      <w:pPr>
        <w:pStyle w:val="Titrearticle"/>
        <w:rPr>
          <w:noProof/>
        </w:rPr>
      </w:pPr>
      <w:r>
        <w:rPr>
          <w:noProof/>
        </w:rPr>
        <w:t>Článok 2</w:t>
      </w:r>
    </w:p>
    <w:p>
      <w:pPr>
        <w:rPr>
          <w:noProof/>
        </w:rPr>
      </w:pPr>
      <w:r>
        <w:rPr>
          <w:noProof/>
        </w:rPr>
        <w:t>Toto nariadenie nadobúda účinnosť tretím dňom po jeho uverejnení v </w:t>
      </w:r>
      <w:r>
        <w:rPr>
          <w:i/>
          <w:iCs/>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LEGISLATÍVNY FINANČNÝ VÝKAZ</w:t>
      </w:r>
    </w:p>
    <w:p>
      <w:pPr>
        <w:pStyle w:val="ManualHeading1"/>
        <w:rPr>
          <w:noProof/>
        </w:rPr>
      </w:pPr>
      <w:r>
        <w:rPr>
          <w:noProof/>
        </w:rPr>
        <w:t>1.</w:t>
      </w:r>
      <w:r>
        <w:rPr>
          <w:noProof/>
        </w:rPr>
        <w:tab/>
        <w:t xml:space="preserve">RÁMEC NÁVRHU/INICIATÍVY </w:t>
      </w:r>
    </w:p>
    <w:p>
      <w:pPr>
        <w:pStyle w:val="ManualHeading2"/>
        <w:rPr>
          <w:noProof/>
        </w:rPr>
      </w:pPr>
      <w:r>
        <w:rPr>
          <w:noProof/>
        </w:rPr>
        <w:t>1.1.</w:t>
      </w:r>
      <w:r>
        <w:rPr>
          <w:noProof/>
        </w:rPr>
        <w:tab/>
        <w:t xml:space="preserve">Názov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 ktorým sa mení nariadenie (EÚ) 2015/1017, pokiaľ ide o vytvorenie Nástroja na podporu platobnej schopnosti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1.2.</w:t>
      </w:r>
      <w:r>
        <w:rPr>
          <w:noProof/>
        </w:rPr>
        <w:tab/>
        <w:t>Príslušné oblasti politiky v rámci ABM/ABB</w:t>
      </w:r>
      <w:r>
        <w:rPr>
          <w:rStyle w:val="FootnoteReference"/>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Oblasť politiky: Hospodárske a finančné záležitosti</w:t>
      </w:r>
    </w:p>
    <w:p>
      <w:pPr>
        <w:pStyle w:val="Text1"/>
        <w:pBdr>
          <w:top w:val="single" w:sz="4" w:space="1" w:color="auto"/>
          <w:left w:val="single" w:sz="4" w:space="4" w:color="auto"/>
          <w:bottom w:val="single" w:sz="4" w:space="1" w:color="auto"/>
          <w:right w:val="single" w:sz="4" w:space="4" w:color="auto"/>
        </w:pBdr>
        <w:rPr>
          <w:noProof/>
        </w:rPr>
      </w:pPr>
      <w:r>
        <w:rPr>
          <w:noProof/>
        </w:rPr>
        <w:t>Činnosť ABB: finančné operácie a nástroje</w:t>
      </w:r>
    </w:p>
    <w:p>
      <w:pPr>
        <w:pStyle w:val="Text1"/>
        <w:pBdr>
          <w:top w:val="single" w:sz="4" w:space="1" w:color="auto"/>
          <w:left w:val="single" w:sz="4" w:space="4" w:color="auto"/>
          <w:bottom w:val="single" w:sz="4" w:space="1" w:color="auto"/>
          <w:right w:val="single" w:sz="4" w:space="4" w:color="auto"/>
        </w:pBdr>
        <w:rPr>
          <w:noProof/>
        </w:rPr>
      </w:pPr>
      <w:r>
        <w:rPr>
          <w:noProof/>
        </w:rPr>
        <w:t>Podrobný opis činností v rámci ABB je uvedený v oddiele 1.4.2.</w:t>
      </w:r>
    </w:p>
    <w:p>
      <w:pPr>
        <w:pStyle w:val="ManualHeading2"/>
        <w:rPr>
          <w:noProof/>
          <w:szCs w:val="24"/>
        </w:rPr>
      </w:pPr>
      <w:r>
        <w:rPr>
          <w:noProof/>
        </w:rPr>
        <w:t>1.3.</w:t>
      </w:r>
      <w:r>
        <w:rPr>
          <w:noProof/>
        </w:rPr>
        <w:tab/>
        <w:t xml:space="preserve">Druh návrhu/iniciatívy </w:t>
      </w:r>
    </w:p>
    <w:p>
      <w:pPr>
        <w:pStyle w:val="Text1"/>
        <w:rPr>
          <w:b/>
          <w:noProof/>
          <w:sz w:val="22"/>
        </w:rPr>
      </w:pPr>
      <w:r>
        <w:rPr>
          <w:noProof/>
          <w:sz w:val="22"/>
        </w:rPr>
        <w:sym w:font="Wingdings" w:char="F0A8"/>
      </w:r>
      <w:r>
        <w:rPr>
          <w:b/>
          <w:i/>
          <w:noProof/>
          <w:sz w:val="22"/>
        </w:rPr>
        <w:t xml:space="preserve"> </w:t>
      </w:r>
      <w:r>
        <w:rPr>
          <w:noProof/>
        </w:rPr>
        <w:t xml:space="preserve">Návrh/iniciatíva sa týka </w:t>
      </w:r>
      <w:r>
        <w:rPr>
          <w:b/>
          <w:noProof/>
        </w:rPr>
        <w:t>novej akcie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15"/>
      </w:r>
      <w:r>
        <w:rPr>
          <w:noProof/>
          <w:sz w:val="22"/>
        </w:rPr>
        <w:t xml:space="preserve"> </w:t>
      </w:r>
    </w:p>
    <w:p>
      <w:pPr>
        <w:pStyle w:val="Text1"/>
        <w:rPr>
          <w:noProof/>
          <w:sz w:val="22"/>
        </w:rPr>
      </w:pPr>
      <w:r>
        <w:rPr>
          <w:noProof/>
          <w:sz w:val="22"/>
        </w:rPr>
        <w:t>X</w:t>
      </w:r>
      <w:r>
        <w:rPr>
          <w:i/>
          <w:noProof/>
          <w:sz w:val="22"/>
        </w:rPr>
        <w:t xml:space="preserve"> </w:t>
      </w:r>
      <w:r>
        <w:rPr>
          <w:noProof/>
        </w:rPr>
        <w:t xml:space="preserve">Návrh/iniciatíva sa týka </w:t>
      </w:r>
      <w:r>
        <w:rPr>
          <w:b/>
          <w:noProof/>
        </w:rPr>
        <w:t>predĺženia trvania existujúcej akcie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r>
        <w:rPr>
          <w:noProof/>
        </w:rPr>
        <w:t xml:space="preserve"> </w:t>
      </w:r>
    </w:p>
    <w:p>
      <w:pPr>
        <w:pStyle w:val="ManualHeading2"/>
        <w:rPr>
          <w:noProof/>
          <w:szCs w:val="24"/>
        </w:rPr>
      </w:pPr>
      <w:r>
        <w:rPr>
          <w:noProof/>
        </w:rPr>
        <w:t>1.4.</w:t>
      </w:r>
      <w:r>
        <w:rPr>
          <w:noProof/>
        </w:rPr>
        <w:tab/>
        <w:t>Ciele</w:t>
      </w:r>
    </w:p>
    <w:p>
      <w:pPr>
        <w:pStyle w:val="ManualHeading3"/>
        <w:rPr>
          <w:noProof/>
        </w:rPr>
      </w:pPr>
      <w:r>
        <w:rPr>
          <w:noProof/>
        </w:rPr>
        <w:t>1.4.1.</w:t>
      </w:r>
      <w:r>
        <w:rPr>
          <w:noProof/>
        </w:rPr>
        <w:tab/>
        <w:t xml:space="preserve">Viacročné strategické ciele Komisie, ktoré sú predmetom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Podporovanie investícií na posilnenie rastu a podpora platobnej schopnosti v súlade s prioritami Únie, napríklad európskou zelenou dohodou, investičným plánom pre udržateľnú Európu a odvetvovými politikami, ktoré sa týkajú investičnej podpory. </w:t>
      </w:r>
    </w:p>
    <w:p>
      <w:pPr>
        <w:pStyle w:val="ManualHeading3"/>
        <w:rPr>
          <w:noProof/>
          <w:szCs w:val="24"/>
        </w:rPr>
      </w:pPr>
      <w:r>
        <w:rPr>
          <w:noProof/>
        </w:rPr>
        <w:t>1.4.2.</w:t>
      </w:r>
      <w:r>
        <w:rPr>
          <w:noProof/>
        </w:rPr>
        <w:tab/>
        <w:t xml:space="preserve">Špecifické ciele a príslušné činnosti v rámci ABM/ABB </w:t>
      </w:r>
    </w:p>
    <w:p>
      <w:pPr>
        <w:pStyle w:val="Text1"/>
        <w:pBdr>
          <w:top w:val="single" w:sz="4" w:space="1" w:color="auto"/>
          <w:left w:val="single" w:sz="4" w:space="4" w:color="auto"/>
          <w:bottom w:val="single" w:sz="4" w:space="1" w:color="auto"/>
          <w:right w:val="single" w:sz="4" w:space="4" w:color="auto"/>
        </w:pBdr>
        <w:rPr>
          <w:noProof/>
        </w:rPr>
      </w:pPr>
      <w:r>
        <w:rPr>
          <w:b/>
          <w:noProof/>
        </w:rPr>
        <w:t>Špecifický cieľ č. 1</w:t>
      </w:r>
      <w:r>
        <w:rPr>
          <w:noProof/>
        </w:rPr>
        <w:t>: Zvýšenie objemu operácií financovania a investičných operácií skupiny Európskej investičnej banky (skupiny EIB) v prioritných oblastiach</w:t>
      </w:r>
    </w:p>
    <w:p>
      <w:pPr>
        <w:pStyle w:val="Text1"/>
        <w:pBdr>
          <w:top w:val="single" w:sz="4" w:space="1" w:color="auto"/>
          <w:left w:val="single" w:sz="4" w:space="4" w:color="auto"/>
          <w:bottom w:val="single" w:sz="4" w:space="1" w:color="auto"/>
          <w:right w:val="single" w:sz="4" w:space="4" w:color="auto"/>
        </w:pBdr>
        <w:rPr>
          <w:noProof/>
        </w:rPr>
      </w:pPr>
      <w:r>
        <w:rPr>
          <w:b/>
          <w:noProof/>
        </w:rPr>
        <w:t>Špecifický cieľ č. 2</w:t>
      </w:r>
      <w:r>
        <w:rPr>
          <w:noProof/>
        </w:rPr>
        <w:t>: Poskytnutie poradenskej podpory na identifikáciu, prípravu a vývoj investičných projektov pre verejné a súkromné protistrany alebo na podporu vytvorenia a riadenia fondov a iných subjektov na účely nástroja na podporu platobnej schopnosti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u w:val="single"/>
        </w:rPr>
      </w:pPr>
      <w:r>
        <w:rPr>
          <w:noProof/>
        </w:rPr>
        <w:t>GR pre hospodárske a finančné záležitosti (ECFIN): finančné operácie a nástroje</w:t>
      </w:r>
    </w:p>
    <w:p>
      <w:pPr>
        <w:pStyle w:val="ManualHeading3"/>
        <w:rPr>
          <w:noProof/>
        </w:rPr>
      </w:pPr>
      <w:r>
        <w:rPr>
          <w:noProof/>
        </w:rPr>
        <w:t>1.4.3.</w:t>
      </w:r>
      <w:r>
        <w:rPr>
          <w:noProof/>
        </w:rPr>
        <w:tab/>
        <w:t>Očakávané výsledky a vplyv</w:t>
      </w:r>
    </w:p>
    <w:p>
      <w:pPr>
        <w:pStyle w:val="Text1"/>
        <w:pBdr>
          <w:top w:val="single" w:sz="4" w:space="1" w:color="auto"/>
          <w:left w:val="single" w:sz="4" w:space="4" w:color="auto"/>
          <w:bottom w:val="single" w:sz="4" w:space="1" w:color="auto"/>
          <w:right w:val="single" w:sz="4" w:space="4" w:color="auto"/>
        </w:pBdr>
        <w:rPr>
          <w:noProof/>
        </w:rPr>
      </w:pPr>
      <w:r>
        <w:rPr>
          <w:noProof/>
        </w:rPr>
        <w:t>Očakáva sa, že prostredníctvom návrhu sa mobilizujú investície vo výške 300 000 000 000 EUR v reálnej ekonomike podporovaním spoločností, ktoré čelia hospodárskym ťažkostiam z dôvodu krízy spôsobenej pandémiou COVID-19 v Únii.</w:t>
      </w:r>
    </w:p>
    <w:p>
      <w:pPr>
        <w:pStyle w:val="ManualHeading3"/>
        <w:rPr>
          <w:noProof/>
          <w:szCs w:val="24"/>
        </w:rPr>
      </w:pPr>
      <w:r>
        <w:rPr>
          <w:noProof/>
        </w:rPr>
        <w:t>1.4.4.</w:t>
      </w:r>
      <w:r>
        <w:rPr>
          <w:noProof/>
        </w:rPr>
        <w:tab/>
        <w:t xml:space="preserve">Ukazovatele výsledkov a vplyvu </w:t>
      </w:r>
    </w:p>
    <w:p>
      <w:pPr>
        <w:pStyle w:val="Text1"/>
        <w:pBdr>
          <w:top w:val="single" w:sz="4" w:space="1" w:color="auto"/>
          <w:left w:val="single" w:sz="4" w:space="4" w:color="auto"/>
          <w:bottom w:val="single" w:sz="4" w:space="1" w:color="auto"/>
          <w:right w:val="single" w:sz="4" w:space="4" w:color="auto"/>
        </w:pBdr>
        <w:rPr>
          <w:noProof/>
        </w:rPr>
      </w:pPr>
      <w:r>
        <w:rPr>
          <w:noProof/>
        </w:rPr>
        <w:t>Dosiahnutie cieľov návrhu bude monitorované prostredníctvom kľúčových ukazovateľov výkonnosti a kľúčových ukazovateľov monitorovania v súlade s existujúcimi opatreniami týkajúcimi sa segmentu pre infraštruktúru a inovácie a segmentu pre MSP podľa nariadenia o EFSI. Pre segment podpory platobnej schopnosti budú podľa potreby stanovené osobitné ukazovatele.</w:t>
      </w:r>
    </w:p>
    <w:p>
      <w:pPr>
        <w:pStyle w:val="ManualHeading2"/>
        <w:rPr>
          <w:noProof/>
          <w:szCs w:val="24"/>
        </w:rPr>
      </w:pPr>
      <w:r>
        <w:rPr>
          <w:noProof/>
        </w:rPr>
        <w:t>1.5.</w:t>
      </w:r>
      <w:r>
        <w:rPr>
          <w:noProof/>
        </w:rPr>
        <w:tab/>
        <w:t xml:space="preserve">Dôvody návrhu/iniciatívy </w:t>
      </w:r>
    </w:p>
    <w:p>
      <w:pPr>
        <w:pStyle w:val="ManualHeading3"/>
        <w:rPr>
          <w:noProof/>
        </w:rPr>
      </w:pPr>
      <w:r>
        <w:rPr>
          <w:noProof/>
        </w:rPr>
        <w:t>1.5.1.</w:t>
      </w:r>
      <w:r>
        <w:rPr>
          <w:noProof/>
        </w:rPr>
        <w:tab/>
        <w:t xml:space="preserve">Potreby, ktoré sa majú uspokojiť v krátkodobom alebo dlhodobom horizonte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Komisia navrhuje posilniť svoj návrh viacročného finančného rámca s cieľom riešiť nepriaznivé ekonomické dôsledky pandémie COVID-19 pre spoločnosti a projekty v Únii. Mnoho z nich už čelí ťažkostiam v oblasti platobnej schopnosti z dôvodu krízy, tieto problémy sa prehĺbia s pretrvávaním obdobia obmedzenia pohybu a pravidlá o obmedzení fyzického kontaktu budú mať naďalej vplyv na podnikateľskú činnosť naprieč mnohými odvetviami. Ťažkosti môžu byť dlhodobé, dokonca môžu pretrvať po období obmedzenia pohybu. </w:t>
      </w:r>
    </w:p>
    <w:p>
      <w:pPr>
        <w:pStyle w:val="Text1"/>
        <w:pBdr>
          <w:top w:val="single" w:sz="4" w:space="1" w:color="auto"/>
          <w:left w:val="single" w:sz="4" w:space="4" w:color="auto"/>
          <w:bottom w:val="single" w:sz="4" w:space="1" w:color="auto"/>
          <w:right w:val="single" w:sz="4" w:space="4" w:color="auto"/>
        </w:pBdr>
        <w:rPr>
          <w:noProof/>
        </w:rPr>
      </w:pPr>
      <w:r>
        <w:rPr>
          <w:noProof/>
        </w:rPr>
        <w:t>Spoločnosti, ktoré majú byť podporené, sú spoločnosti, ktoré mali pred krízou životaschopný obchodný model, ktorých platobná schopnosť je však obmedzená z dôvodu krízy spôsobenej ochorením COVID-19. Účelom je pomôcť im prekonať toto zložité obdobie tak, aby ešte existovali a dokázali zvládnuť oživenie, keď nastane čas.</w:t>
      </w:r>
    </w:p>
    <w:p>
      <w:pPr>
        <w:pStyle w:val="ManualHeading3"/>
        <w:rPr>
          <w:noProof/>
          <w:szCs w:val="24"/>
        </w:rPr>
      </w:pPr>
      <w:r>
        <w:rPr>
          <w:noProof/>
        </w:rPr>
        <w:t>1.5.2.</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Zámerom návrhu je vyvážiť očakávané narušenia na jednotnom trhu, keďže dostupnosť opatrení na podporu platobnej schopnosti spoločností sa môže medzi členskými štátmi značne líšiť a viesť k nerovnakým podmienkam. </w:t>
      </w:r>
    </w:p>
    <w:p>
      <w:pPr>
        <w:pStyle w:val="ManualHeading3"/>
        <w:rPr>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Navrhuje sa mobilizovať rozpočtové výdavky poskytnutím záruky EÚ s cieľom prilákať aj súkromné financovanie na podporu spoločností v Únii, čo sa už podarilo v rámci nariadenia o EFSI.</w:t>
      </w:r>
    </w:p>
    <w:p>
      <w:pPr>
        <w:pStyle w:val="ManualHeading3"/>
        <w:rPr>
          <w:noProof/>
          <w:szCs w:val="24"/>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Návrh je v súlade s príslušnými politikami Únie, napríklad európskou zelenou dohodou, investičným plánom pre udržateľnú Európu a odvetvovými politikami, ktoré sa týkajú investičnej podpory.</w:t>
      </w:r>
    </w:p>
    <w:p>
      <w:pPr>
        <w:pStyle w:val="Text1"/>
        <w:pBdr>
          <w:top w:val="single" w:sz="4" w:space="1" w:color="auto"/>
          <w:left w:val="single" w:sz="4" w:space="4" w:color="auto"/>
          <w:bottom w:val="single" w:sz="4" w:space="1" w:color="auto"/>
          <w:right w:val="single" w:sz="4" w:space="4" w:color="auto"/>
        </w:pBdr>
        <w:rPr>
          <w:noProof/>
        </w:rPr>
      </w:pPr>
      <w:r>
        <w:rPr>
          <w:noProof/>
        </w:rPr>
        <w:t>Nástroj na podporu platobnej schopnosti dopĺňa iné programy Únie zamerané na zmierňovanie vplyvov krízy spôsobenej ochorením COVID-19 alebo na oživenie hospodárstva po skončení tejto krízy. Dopĺňa najmä podporu pre MSP, ktorá sa bude poskytovať prostredníctvom i) pomoci na oživenie pre súdržnosť (REACT-EU), v rámci ktorej sa poskytne predsunutá podpora aj pre MSP; a ii) Celoeurópskeho záručného fondu v reakcii na krízu spôsobenú ochorením COVID-19, ktorý vytvára EIB s podporou záruky od členských štátov. Doplnkovú podporu od roku 2021 poskytne aj segment pre MSP, ktorý sa posilňuje v rámci Programu InvestEU.</w:t>
      </w:r>
    </w:p>
    <w:p>
      <w:pPr>
        <w:pStyle w:val="ManualHeading2"/>
        <w:rPr>
          <w:noProof/>
          <w:szCs w:val="24"/>
        </w:rPr>
      </w:pPr>
      <w:r>
        <w:rPr>
          <w:noProof/>
        </w:rPr>
        <w:br w:type="page"/>
        <w:t>1.6.</w:t>
      </w:r>
      <w:r>
        <w:rPr>
          <w:noProof/>
        </w:rPr>
        <w:tab/>
        <w:t xml:space="preserve">Trvanie a finančný vplyv </w:t>
      </w:r>
    </w:p>
    <w:p>
      <w:pPr>
        <w:pStyle w:val="Text1"/>
        <w:rPr>
          <w:noProof/>
        </w:rPr>
      </w:pPr>
      <w:r>
        <w:rPr>
          <w:noProof/>
        </w:rPr>
        <w:t>x</w:t>
      </w:r>
      <w:r>
        <w:rPr>
          <w:b/>
          <w:i/>
          <w:noProof/>
        </w:rPr>
        <w:t xml:space="preserve"> </w:t>
      </w:r>
      <w:r>
        <w:rPr>
          <w:noProof/>
        </w:rPr>
        <w:t>Návrh/iniciatíva s </w:t>
      </w:r>
      <w:r>
        <w:rPr>
          <w:b/>
          <w:noProof/>
        </w:rPr>
        <w:t xml:space="preserve">obmedzeným trvaním </w:t>
      </w:r>
    </w:p>
    <w:p>
      <w:pPr>
        <w:pStyle w:val="ListDash2"/>
        <w:rPr>
          <w:noProof/>
        </w:rPr>
      </w:pPr>
      <w:r>
        <w:rPr>
          <w:noProof/>
        </w:rPr>
        <w:sym w:font="Wingdings" w:char="F0A8"/>
      </w:r>
      <w:r>
        <w:rPr>
          <w:noProof/>
        </w:rPr>
        <w:tab/>
        <w:t xml:space="preserve">Návrh/iniciatíva je v platnosti od roku 2020 do roku 2026 </w:t>
      </w:r>
    </w:p>
    <w:p>
      <w:pPr>
        <w:pStyle w:val="ListDash2"/>
        <w:rPr>
          <w:noProof/>
        </w:rPr>
      </w:pPr>
      <w:r>
        <w:rPr>
          <w:noProof/>
        </w:rPr>
        <w:t>x</w:t>
      </w:r>
      <w:r>
        <w:rPr>
          <w:noProof/>
        </w:rPr>
        <w:tab/>
        <w:t>Finančný vplyv od roku 2020 do roku 2027</w:t>
      </w:r>
    </w:p>
    <w:p>
      <w:pPr>
        <w:pStyle w:val="ManualHeading2"/>
        <w:rPr>
          <w:noProof/>
          <w:szCs w:val="24"/>
        </w:rPr>
      </w:pPr>
      <w:r>
        <w:rPr>
          <w:noProof/>
        </w:rPr>
        <w:t>1.7.</w:t>
      </w:r>
      <w:r>
        <w:rPr>
          <w:noProof/>
        </w:rPr>
        <w:tab/>
        <w:t>Plánovaný spôsob riadenia</w:t>
      </w:r>
      <w:r>
        <w:rPr>
          <w:rStyle w:val="FootnoteReference"/>
          <w:noProof/>
        </w:rPr>
        <w:footnoteReference w:id="16"/>
      </w:r>
      <w:r>
        <w:rPr>
          <w:rStyle w:val="FootnoteReference"/>
          <w:noProof/>
        </w:rPr>
        <w:t xml:space="preserve"> </w:t>
      </w:r>
    </w:p>
    <w:p>
      <w:pPr>
        <w:pStyle w:val="Text1"/>
        <w:rPr>
          <w:noProof/>
        </w:rPr>
      </w:pPr>
      <w:r>
        <w:rPr>
          <w:noProof/>
        </w:rPr>
        <w:t>x</w:t>
      </w:r>
      <w:r>
        <w:rPr>
          <w:i/>
          <w:noProof/>
        </w:rPr>
        <w:t xml:space="preserve"> </w:t>
      </w:r>
      <w:r>
        <w:rPr>
          <w:b/>
          <w:noProof/>
        </w:rPr>
        <w:t>Priame riadenie</w:t>
      </w:r>
      <w:r>
        <w:rPr>
          <w:noProof/>
        </w:rPr>
        <w:t xml:space="preserve"> na úrovni Komisie</w:t>
      </w:r>
    </w:p>
    <w:p>
      <w:pPr>
        <w:pStyle w:val="ListDash2"/>
        <w:rPr>
          <w:rFonts w:cs="EUAlbertina"/>
          <w:noProof/>
        </w:rPr>
      </w:pPr>
      <w:r>
        <w:rPr>
          <w:noProof/>
        </w:rPr>
        <w:t xml:space="preserve">x prostredníctvom jej útvarov vrátane zamestnancov v delegáciách Únie </w:t>
      </w:r>
    </w:p>
    <w:p>
      <w:pPr>
        <w:pStyle w:val="ListDash2"/>
        <w:rPr>
          <w:noProof/>
        </w:rPr>
      </w:pPr>
      <w:r>
        <w:rPr>
          <w:noProof/>
        </w:rPr>
        <w:sym w:font="Wingdings" w:char="F0A8"/>
      </w:r>
      <w:r>
        <w:rPr>
          <w:noProof/>
        </w:rPr>
        <w:tab/>
        <w:t xml:space="preserve">prostredníctvom výkonných agentúr </w:t>
      </w:r>
    </w:p>
    <w:p>
      <w:pPr>
        <w:pStyle w:val="Text1"/>
        <w:rPr>
          <w:noProof/>
        </w:rPr>
      </w:pPr>
      <w:r>
        <w:rPr>
          <w:noProof/>
        </w:rPr>
        <w:sym w:font="Wingdings" w:char="F0A8"/>
      </w:r>
      <w:r>
        <w:rPr>
          <w:b/>
          <w:i/>
          <w:noProof/>
        </w:rPr>
        <w:t xml:space="preserve"> </w:t>
      </w:r>
      <w:r>
        <w:rPr>
          <w:b/>
          <w:noProof/>
        </w:rPr>
        <w:t>Zdieľané riadenie</w:t>
      </w:r>
      <w:r>
        <w:rPr>
          <w:noProof/>
        </w:rPr>
        <w:t xml:space="preserve"> s členskými štátmi </w:t>
      </w:r>
    </w:p>
    <w:p>
      <w:pPr>
        <w:pStyle w:val="Text1"/>
        <w:rPr>
          <w:noProof/>
        </w:rPr>
      </w:pPr>
      <w:r>
        <w:rPr>
          <w:noProof/>
        </w:rPr>
        <w:t>x</w:t>
      </w:r>
      <w:r>
        <w:rPr>
          <w:i/>
          <w:noProof/>
        </w:rPr>
        <w:t xml:space="preserve"> </w:t>
      </w:r>
      <w:r>
        <w:rPr>
          <w:b/>
          <w:noProof/>
        </w:rPr>
        <w:t>Nepriame riadenie</w:t>
      </w:r>
      <w:r>
        <w:rPr>
          <w:noProof/>
        </w:rPr>
        <w:t>, pri ktorom sa plnením rozpočtu poveria: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t>X Európska investičná banka (EIB) a Európsky investičný fond,</w:t>
      </w:r>
    </w:p>
    <w:p>
      <w:pPr>
        <w:pStyle w:val="ListDash2"/>
        <w:rPr>
          <w:noProof/>
        </w:rPr>
      </w:pPr>
      <w:r>
        <w:rPr>
          <w:noProof/>
        </w:rPr>
        <w:sym w:font="Wingdings" w:char="F0A8"/>
      </w:r>
      <w:r>
        <w:rPr>
          <w:noProof/>
        </w:rPr>
        <w:t xml:space="preserve"> subjekty uvedené v článkoch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Záručný fond EFSI patrí pod priame riadenie Komisie. Európske centrum investičného poradenstva je nepriamo riadené prostredníctvom Európskej investičnej banky. Poradenské služby a technická pomoc môžu byť riadené priamo alebo nepriamo na úrovni Komisie, a to aj prostredníctvom EIB.</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2.</w:t>
      </w:r>
      <w:r>
        <w:rPr>
          <w:noProof/>
        </w:rPr>
        <w:tab/>
        <w:t xml:space="preserve">OPATRENIA V OBLASTI RIADENIA </w:t>
      </w:r>
    </w:p>
    <w:p>
      <w:pPr>
        <w:pStyle w:val="ManualHeading2"/>
        <w:rPr>
          <w:noProof/>
        </w:rPr>
      </w:pPr>
      <w:r>
        <w:rPr>
          <w:noProof/>
        </w:rPr>
        <w:t>2.1.</w:t>
      </w:r>
      <w:r>
        <w:rPr>
          <w:noProof/>
        </w:rPr>
        <w:tab/>
        <w:t xml:space="preserve">Opatrenia týkajúce sa monitorovania a predkladania správ </w:t>
      </w:r>
    </w:p>
    <w:p>
      <w:pPr>
        <w:pStyle w:val="Text1"/>
        <w:rPr>
          <w:i/>
          <w:noProof/>
          <w:sz w:val="20"/>
          <w:u w:val="single"/>
        </w:rPr>
      </w:pPr>
    </w:p>
    <w:p>
      <w:pPr>
        <w:pStyle w:val="Text1"/>
        <w:pBdr>
          <w:top w:val="single" w:sz="4" w:space="1" w:color="auto"/>
          <w:left w:val="single" w:sz="4" w:space="4" w:color="auto"/>
          <w:bottom w:val="single" w:sz="4" w:space="1" w:color="auto"/>
          <w:right w:val="single" w:sz="4" w:space="4" w:color="auto"/>
        </w:pBdr>
        <w:rPr>
          <w:noProof/>
        </w:rPr>
      </w:pPr>
      <w:r>
        <w:rPr>
          <w:noProof/>
        </w:rPr>
        <w:t>V súlade s článkom 10 nariadenia o EFSI predkladá EIB, podľa potreby v spolupráci s EIF, každý polrok Komisii správu o operáciách financovania a investičných operáciách EIB. EIB, podľa potreby v spolupráci s EIF, okrem toho predkladá každoročne Európskemu parlamentu a Rade správu o operáciách financovania a investičných operáciách EIB. Od Komisie sa vyžaduje, aby každoročne do 31. marca zaslala Európskemu parlamentu, Rade a Dvoru audítorov výročnú správu o stave záručného fondu a jeho spravovaní v predchádzajúcom roku.</w:t>
      </w:r>
    </w:p>
    <w:p>
      <w:pPr>
        <w:pBdr>
          <w:top w:val="single" w:sz="4" w:space="1" w:color="auto"/>
          <w:left w:val="single" w:sz="4" w:space="4" w:color="auto"/>
          <w:bottom w:val="single" w:sz="4" w:space="1" w:color="auto"/>
          <w:right w:val="single" w:sz="4" w:space="4" w:color="auto"/>
        </w:pBdr>
        <w:ind w:left="850"/>
        <w:rPr>
          <w:noProof/>
          <w:spacing w:val="-2"/>
        </w:rPr>
      </w:pPr>
      <w:r>
        <w:rPr>
          <w:noProof/>
          <w:spacing w:val="-2"/>
        </w:rPr>
        <w:t>V súlade s článkom 12 nariadenia o EFSI hodnotí EIB fungovanie EFSI a Európskemu Parlamentu, Rade a Komisii predkladá svoje hodnotenie. Komisia okrem toho hodnotí využívanie záruky EÚ a fungovanie záručného fondu a Európskemu parlamentu a Rade o tom predkladá správu. Komplexnú správu o fungovaní EFSI treba predložiť každé tri roky (ďalšiu v roku 2021), pričom túto správu musí sprevádzať komplexná správa o využívaní záruky EÚ a o fungovaní záručného fondu.</w:t>
      </w:r>
    </w:p>
    <w:p>
      <w:pPr>
        <w:pStyle w:val="ManualHeading2"/>
        <w:rPr>
          <w:noProof/>
          <w:szCs w:val="24"/>
        </w:rPr>
      </w:pPr>
      <w:r>
        <w:rPr>
          <w:noProof/>
        </w:rPr>
        <w:t>2.2.</w:t>
      </w:r>
      <w:r>
        <w:rPr>
          <w:noProof/>
        </w:rPr>
        <w:tab/>
        <w:t xml:space="preserve">Systémy riadenia a kontroly </w:t>
      </w:r>
    </w:p>
    <w:p>
      <w:pPr>
        <w:pStyle w:val="ManualHeading3"/>
        <w:rPr>
          <w:noProof/>
        </w:rPr>
      </w:pPr>
      <w:r>
        <w:rPr>
          <w:noProof/>
        </w:rPr>
        <w:t>2.2.1.</w:t>
      </w:r>
      <w:r>
        <w:rPr>
          <w:noProof/>
        </w:rPr>
        <w:tab/>
        <w:t xml:space="preserve">Zistené riziká </w:t>
      </w:r>
    </w:p>
    <w:p>
      <w:pPr>
        <w:pStyle w:val="Text1"/>
        <w:pBdr>
          <w:top w:val="single" w:sz="4" w:space="1" w:color="auto"/>
          <w:left w:val="single" w:sz="4" w:space="4" w:color="auto"/>
          <w:bottom w:val="single" w:sz="4" w:space="1" w:color="auto"/>
          <w:right w:val="single" w:sz="4" w:space="4" w:color="auto"/>
        </w:pBdr>
        <w:rPr>
          <w:noProof/>
        </w:rPr>
      </w:pPr>
      <w:r>
        <w:rPr>
          <w:noProof/>
        </w:rPr>
        <w:t>Operácie financovania a investičné operácie EIB, ktoré sú kryté zárukou EÚ, so sebou nesú nezanedbateľnú mieru finančného rizika. Pravdepodobnosť uplatnenia záruky je vysoká. Odhaduje sa však, že záručný fond poskytuje rozpočtu Únie potrebnú ochranu. Samotné projekty sa môžu dostať do realizačného sklzu a môžu byť prekročené ich náklady.</w:t>
      </w:r>
    </w:p>
    <w:p>
      <w:pPr>
        <w:pBdr>
          <w:top w:val="single" w:sz="4" w:space="1" w:color="auto"/>
          <w:left w:val="single" w:sz="4" w:space="4" w:color="auto"/>
          <w:bottom w:val="single" w:sz="4" w:space="1" w:color="auto"/>
          <w:right w:val="single" w:sz="4" w:space="4" w:color="auto"/>
        </w:pBdr>
        <w:ind w:left="850"/>
        <w:rPr>
          <w:noProof/>
        </w:rPr>
      </w:pPr>
      <w:r>
        <w:rPr>
          <w:noProof/>
        </w:rPr>
        <w:t>Aj keby boli náklady projektov založené na konzervatívnych predpokladoch, efektívnosť nákladov iniciatívy by mohla utrpieť v dôsledku nedostatočného rozšírenia nástrojov na trhu a postupne sa meniacich trhových podmienok, čím by došlo k zníženiu predpokladaného multiplikačného účinku.</w:t>
      </w:r>
    </w:p>
    <w:p>
      <w:pPr>
        <w:pBdr>
          <w:top w:val="single" w:sz="4" w:space="1" w:color="auto"/>
          <w:left w:val="single" w:sz="4" w:space="4" w:color="auto"/>
          <w:bottom w:val="single" w:sz="4" w:space="1" w:color="auto"/>
          <w:right w:val="single" w:sz="4" w:space="4" w:color="auto"/>
        </w:pBdr>
        <w:ind w:left="850"/>
        <w:rPr>
          <w:noProof/>
        </w:rPr>
      </w:pPr>
      <w:r>
        <w:rPr>
          <w:noProof/>
        </w:rPr>
        <w:t>V súlade s článkom 8 ods. 4 nariadenia o EFSI sa zdroje záručného fondu majú investovať. S týmito investíciami sa viaže investičné riziko (napr. trhové a kreditné riziko) a určité operačné riziko.</w:t>
      </w:r>
    </w:p>
    <w:p>
      <w:pPr>
        <w:pStyle w:val="ManualHeading3"/>
        <w:rPr>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Fond EFSI riadi riadiaca rada, ktorá určuje strategickú orientáciu EFSI, prevádzkové politiky a postupy, pravidlá platiace pre jednotlivé operácie s investičnými platformami a národnými podpornými bankami, ako aj rizikový profil EFSI.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Rozhodnutia o využívaní podpory EFSI v rámci segmentu podpory platobnej schopnosti má prijímať investičný výbor, ako to je v súčasnosti v prípade druhých dvoch segmentov. V prípade operácií vykonávaných EIF sa vedie konzultácia s investičným výborom o finančných produktoch. Investičný výbor pozostáva z nezávislých expertov, ktorí majú znalosti a skúsenosti v oblastiach investičných projektov a ktorí podliehajú riadiacej rade, ktorá dohliada na plnenie cieľov EFSI.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Generálny riaditeľ EFSI zodpovedá za každodenné riadenie EFSI a prípravu zasadnutí investičného výboru. Generálny riaditeľ podlieha priamo riadiacej rade a každý štvrťrok jej predkladá správy o činnosti EFSI. Generálneho riaditeľa vymenoval prezident EIB po tom, ako kandidáta vybratého riadiacou radou schválil Európsky parlament. </w:t>
      </w:r>
    </w:p>
    <w:p>
      <w:pPr>
        <w:pStyle w:val="Text1"/>
        <w:pBdr>
          <w:top w:val="single" w:sz="4" w:space="1" w:color="auto"/>
          <w:left w:val="single" w:sz="4" w:space="4" w:color="auto"/>
          <w:bottom w:val="single" w:sz="4" w:space="1" w:color="auto"/>
          <w:right w:val="single" w:sz="4" w:space="4" w:color="auto"/>
        </w:pBdr>
        <w:rPr>
          <w:noProof/>
        </w:rPr>
      </w:pPr>
      <w:r>
        <w:rPr>
          <w:noProof/>
        </w:rPr>
        <w:t>Komisia spravuje aktíva záručného fondu v súlade s nariadením o EFSI a na základe jej vlastných platných interných pravidiel a postupov.</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2.3.</w:t>
      </w:r>
      <w:r>
        <w:rPr>
          <w:noProof/>
        </w:rPr>
        <w:tab/>
        <w:t xml:space="preserve">Opatrenia na predchádzanie podvodom a nezrovnalostiam </w:t>
      </w:r>
    </w:p>
    <w:p>
      <w:pPr>
        <w:pStyle w:val="Text1"/>
        <w:pBdr>
          <w:top w:val="single" w:sz="4" w:space="1" w:color="auto"/>
          <w:left w:val="single" w:sz="4" w:space="4" w:color="auto"/>
          <w:bottom w:val="single" w:sz="4" w:space="1" w:color="auto"/>
          <w:right w:val="single" w:sz="4" w:space="4" w:color="auto"/>
        </w:pBdr>
        <w:rPr>
          <w:noProof/>
        </w:rPr>
      </w:pPr>
      <w:r>
        <w:rPr>
          <w:noProof/>
        </w:rPr>
        <w:t>V článku 21 nariadenia o EFSI sa objasňuje právomoc Európskeho úradu pre boj proti podvodom (OLAF) uskutočňovať vyšetrovania operácií podporovaných podľa tejto iniciatívy. Skupina EIB stanovila osobitné pravidlá spolupráce s úradom OLAF v súvislosti s možnými prípadmi podvodu, korupcie alebo inej nezákonnej činnosti škodlivej pre finančné záujmy Spoločenstiev.</w:t>
      </w:r>
    </w:p>
    <w:p>
      <w:pPr>
        <w:pBdr>
          <w:top w:val="single" w:sz="4" w:space="1" w:color="auto"/>
          <w:left w:val="single" w:sz="4" w:space="4" w:color="auto"/>
          <w:bottom w:val="single" w:sz="4" w:space="1" w:color="auto"/>
          <w:right w:val="single" w:sz="4" w:space="4" w:color="auto"/>
        </w:pBdr>
        <w:ind w:left="850"/>
        <w:rPr>
          <w:noProof/>
        </w:rPr>
      </w:pPr>
      <w:r>
        <w:rPr>
          <w:noProof/>
        </w:rPr>
        <w:t>Okrem toho sa uplatňujú pravidlá a postupy EIB, okrem iného vrátane politiky EIB na boj proti podvodom.</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3.</w:t>
      </w:r>
      <w:r>
        <w:rPr>
          <w:noProof/>
        </w:rPr>
        <w:tab/>
        <w:t xml:space="preserve">ODHADOVANÝ FINANČNÝ VPLYV NÁVRHU/INICIATÍVY </w:t>
      </w:r>
    </w:p>
    <w:p>
      <w:pPr>
        <w:pStyle w:val="ManualHeading2"/>
        <w:rPr>
          <w:noProof/>
        </w:rPr>
      </w:pPr>
      <w:r>
        <w:rPr>
          <w:noProof/>
        </w:rPr>
        <w:t>3.1.</w:t>
      </w:r>
      <w:r>
        <w:rPr>
          <w:noProof/>
        </w:rPr>
        <w:tab/>
        <w:t xml:space="preserve">Príslušné okruhy viacročného finančného rámca a rozpočtové riadky výdavkov </w:t>
      </w:r>
    </w:p>
    <w:p>
      <w:pPr>
        <w:pStyle w:val="ListBullet1"/>
        <w:rPr>
          <w:noProof/>
        </w:rPr>
      </w:pPr>
      <w:r>
        <w:rPr>
          <w:noProof/>
        </w:rPr>
        <w:t xml:space="preserve">Existujúce rozpočtové riadky </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Mar>
              <w:left w:w="28" w:type="dxa"/>
              <w:right w:w="28" w:type="dxa"/>
            </w:tcMar>
            <w:vAlign w:val="center"/>
          </w:tcPr>
          <w:p>
            <w:pPr>
              <w:spacing w:before="60" w:after="60"/>
              <w:jc w:val="center"/>
              <w:rPr>
                <w:noProof/>
                <w:sz w:val="18"/>
                <w:szCs w:val="18"/>
              </w:rPr>
            </w:pPr>
            <w:r>
              <w:rPr>
                <w:noProof/>
                <w:sz w:val="18"/>
                <w:szCs w:val="18"/>
              </w:rPr>
              <w:t>Okruh viacročného finančného rámca</w:t>
            </w:r>
          </w:p>
        </w:tc>
        <w:tc>
          <w:tcPr>
            <w:tcW w:w="3960" w:type="dxa"/>
            <w:tcMar>
              <w:left w:w="28" w:type="dxa"/>
              <w:right w:w="28" w:type="dxa"/>
            </w:tcMar>
            <w:vAlign w:val="center"/>
          </w:tcPr>
          <w:p>
            <w:pPr>
              <w:spacing w:before="60" w:after="60"/>
              <w:jc w:val="center"/>
              <w:rPr>
                <w:noProof/>
                <w:sz w:val="18"/>
                <w:szCs w:val="18"/>
              </w:rPr>
            </w:pPr>
            <w:r>
              <w:rPr>
                <w:noProof/>
                <w:sz w:val="18"/>
                <w:szCs w:val="18"/>
              </w:rPr>
              <w:t>Rozpočtový riadok</w:t>
            </w:r>
          </w:p>
        </w:tc>
        <w:tc>
          <w:tcPr>
            <w:tcW w:w="1080" w:type="dxa"/>
            <w:tcMar>
              <w:left w:w="28" w:type="dxa"/>
              <w:right w:w="28" w:type="dxa"/>
            </w:tcMar>
            <w:vAlign w:val="center"/>
          </w:tcPr>
          <w:p>
            <w:pPr>
              <w:spacing w:before="60" w:after="60"/>
              <w:jc w:val="center"/>
              <w:rPr>
                <w:noProof/>
                <w:sz w:val="18"/>
                <w:szCs w:val="18"/>
              </w:rPr>
            </w:pPr>
            <w:r>
              <w:rPr>
                <w:noProof/>
                <w:sz w:val="18"/>
                <w:szCs w:val="18"/>
              </w:rPr>
              <w:t xml:space="preserve">Typ </w:t>
            </w:r>
            <w:r>
              <w:rPr>
                <w:noProof/>
                <w:sz w:val="18"/>
                <w:szCs w:val="18"/>
              </w:rPr>
              <w:br/>
              <w:t>výdavkov</w:t>
            </w:r>
          </w:p>
        </w:tc>
        <w:tc>
          <w:tcPr>
            <w:tcW w:w="4440" w:type="dxa"/>
            <w:gridSpan w:val="4"/>
            <w:tcMar>
              <w:left w:w="28" w:type="dxa"/>
              <w:right w:w="28" w:type="dxa"/>
            </w:tcMar>
            <w:vAlign w:val="center"/>
          </w:tcPr>
          <w:p>
            <w:pPr>
              <w:spacing w:before="60" w:after="60"/>
              <w:jc w:val="center"/>
              <w:rPr>
                <w:noProof/>
                <w:sz w:val="18"/>
                <w:szCs w:val="18"/>
              </w:rPr>
            </w:pPr>
            <w:r>
              <w:rPr>
                <w:noProof/>
                <w:sz w:val="18"/>
                <w:szCs w:val="18"/>
              </w:rPr>
              <w:t xml:space="preserve">Príspevky </w:t>
            </w:r>
          </w:p>
        </w:tc>
      </w:tr>
      <w:tr>
        <w:tc>
          <w:tcPr>
            <w:tcW w:w="1080" w:type="dxa"/>
            <w:vMerge/>
            <w:tcMar>
              <w:left w:w="28" w:type="dxa"/>
              <w:right w:w="28" w:type="dxa"/>
            </w:tcMar>
            <w:vAlign w:val="center"/>
          </w:tcPr>
          <w:p>
            <w:pPr>
              <w:jc w:val="center"/>
              <w:rPr>
                <w:noProof/>
                <w:sz w:val="18"/>
                <w:szCs w:val="18"/>
              </w:rPr>
            </w:pPr>
          </w:p>
        </w:tc>
        <w:tc>
          <w:tcPr>
            <w:tcW w:w="3960" w:type="dxa"/>
            <w:tcMar>
              <w:left w:w="28" w:type="dxa"/>
              <w:right w:w="28" w:type="dxa"/>
            </w:tcMar>
            <w:vAlign w:val="center"/>
          </w:tcPr>
          <w:p>
            <w:pPr>
              <w:rPr>
                <w:noProof/>
                <w:sz w:val="18"/>
                <w:szCs w:val="18"/>
              </w:rPr>
            </w:pPr>
            <w:r>
              <w:rPr>
                <w:noProof/>
                <w:sz w:val="18"/>
                <w:szCs w:val="18"/>
              </w:rPr>
              <w:t xml:space="preserve">Číslo </w:t>
            </w:r>
            <w:r>
              <w:rPr>
                <w:noProof/>
                <w:sz w:val="18"/>
                <w:szCs w:val="18"/>
              </w:rPr>
              <w:br/>
              <w:t>Okruh 1a (VFR na roky 2014 – 2020) ………………………...……………]</w:t>
            </w:r>
          </w:p>
        </w:tc>
        <w:tc>
          <w:tcPr>
            <w:tcW w:w="1080" w:type="dxa"/>
            <w:tcMar>
              <w:left w:w="28" w:type="dxa"/>
              <w:right w:w="28" w:type="dxa"/>
            </w:tcMar>
            <w:vAlign w:val="center"/>
          </w:tcPr>
          <w:p>
            <w:pPr>
              <w:jc w:val="center"/>
              <w:rPr>
                <w:noProof/>
                <w:sz w:val="18"/>
                <w:szCs w:val="18"/>
              </w:rPr>
            </w:pPr>
            <w:r>
              <w:rPr>
                <w:noProof/>
                <w:sz w:val="18"/>
                <w:szCs w:val="18"/>
              </w:rPr>
              <w:t>DRP/NRP</w:t>
            </w:r>
            <w:r>
              <w:rPr>
                <w:rStyle w:val="FootnoteReference"/>
                <w:noProof/>
                <w:sz w:val="18"/>
                <w:szCs w:val="18"/>
              </w:rPr>
              <w:footnoteReference w:id="17"/>
            </w:r>
          </w:p>
        </w:tc>
        <w:tc>
          <w:tcPr>
            <w:tcW w:w="956" w:type="dxa"/>
            <w:tcMar>
              <w:left w:w="28" w:type="dxa"/>
              <w:right w:w="28" w:type="dxa"/>
            </w:tcMar>
            <w:vAlign w:val="center"/>
          </w:tcPr>
          <w:p>
            <w:pPr>
              <w:jc w:val="center"/>
              <w:rPr>
                <w:noProof/>
                <w:sz w:val="18"/>
                <w:szCs w:val="18"/>
              </w:rPr>
            </w:pPr>
            <w:r>
              <w:rPr>
                <w:noProof/>
                <w:sz w:val="18"/>
                <w:szCs w:val="18"/>
              </w:rPr>
              <w:t>krajín EZVO</w:t>
            </w:r>
            <w:r>
              <w:rPr>
                <w:rStyle w:val="FootnoteReference"/>
                <w:noProof/>
                <w:sz w:val="18"/>
                <w:szCs w:val="18"/>
              </w:rPr>
              <w:footnoteReference w:id="18"/>
            </w:r>
          </w:p>
          <w:p>
            <w:pPr>
              <w:spacing w:before="0" w:after="0"/>
              <w:jc w:val="center"/>
              <w:rPr>
                <w:b/>
                <w:noProof/>
                <w:sz w:val="18"/>
                <w:szCs w:val="18"/>
              </w:rPr>
            </w:pPr>
          </w:p>
        </w:tc>
        <w:tc>
          <w:tcPr>
            <w:tcW w:w="1080" w:type="dxa"/>
            <w:tcMar>
              <w:left w:w="28" w:type="dxa"/>
              <w:right w:w="28" w:type="dxa"/>
            </w:tcMar>
            <w:vAlign w:val="center"/>
          </w:tcPr>
          <w:p>
            <w:pPr>
              <w:jc w:val="center"/>
              <w:rPr>
                <w:noProof/>
                <w:sz w:val="18"/>
                <w:szCs w:val="18"/>
              </w:rPr>
            </w:pPr>
            <w:r>
              <w:rPr>
                <w:noProof/>
                <w:sz w:val="18"/>
                <w:szCs w:val="18"/>
              </w:rPr>
              <w:t>kandidátskych krajín</w:t>
            </w:r>
            <w:r>
              <w:rPr>
                <w:rStyle w:val="FootnoteReference"/>
                <w:noProof/>
                <w:sz w:val="18"/>
                <w:szCs w:val="18"/>
              </w:rPr>
              <w:footnoteReference w:id="19"/>
            </w:r>
          </w:p>
          <w:p>
            <w:pPr>
              <w:spacing w:before="0" w:after="0"/>
              <w:jc w:val="center"/>
              <w:rPr>
                <w:noProof/>
                <w:sz w:val="18"/>
                <w:szCs w:val="18"/>
              </w:rPr>
            </w:pPr>
          </w:p>
        </w:tc>
        <w:tc>
          <w:tcPr>
            <w:tcW w:w="956" w:type="dxa"/>
            <w:tcMar>
              <w:left w:w="28" w:type="dxa"/>
              <w:right w:w="28" w:type="dxa"/>
            </w:tcMar>
            <w:vAlign w:val="center"/>
          </w:tcPr>
          <w:p>
            <w:pPr>
              <w:jc w:val="center"/>
              <w:rPr>
                <w:noProof/>
                <w:sz w:val="18"/>
                <w:szCs w:val="18"/>
              </w:rPr>
            </w:pPr>
            <w:r>
              <w:rPr>
                <w:noProof/>
                <w:sz w:val="18"/>
                <w:szCs w:val="18"/>
              </w:rPr>
              <w:t>tretích krajín</w:t>
            </w:r>
          </w:p>
        </w:tc>
        <w:tc>
          <w:tcPr>
            <w:tcW w:w="1448" w:type="dxa"/>
            <w:tcMar>
              <w:left w:w="28" w:type="dxa"/>
              <w:right w:w="28" w:type="dxa"/>
            </w:tcMar>
            <w:vAlign w:val="center"/>
          </w:tcPr>
          <w:p>
            <w:pPr>
              <w:jc w:val="center"/>
              <w:rPr>
                <w:noProof/>
                <w:sz w:val="18"/>
                <w:szCs w:val="18"/>
              </w:rPr>
            </w:pPr>
            <w:r>
              <w:rPr>
                <w:noProof/>
                <w:sz w:val="18"/>
                <w:szCs w:val="18"/>
              </w:rPr>
              <w:t xml:space="preserve">v zmysle článku 21 ods. 2 písm. b) nariadenia o rozpočtových pravidlách </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01.010401 Podporné výdavky na Európsky fond pre strategické investície (EFSI)</w:t>
            </w:r>
          </w:p>
        </w:tc>
        <w:tc>
          <w:tcPr>
            <w:tcW w:w="1080" w:type="dxa"/>
            <w:vAlign w:val="center"/>
          </w:tcPr>
          <w:p>
            <w:pPr>
              <w:jc w:val="center"/>
              <w:rPr>
                <w:noProof/>
                <w:sz w:val="22"/>
              </w:rPr>
            </w:pPr>
            <w:r>
              <w:rPr>
                <w:noProof/>
                <w:sz w:val="22"/>
              </w:rPr>
              <w:t>NRP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01.040101 Európsky investičný fond – Poskytnutie splatených akcií upísaného kapitálu</w:t>
            </w:r>
          </w:p>
          <w:p>
            <w:pPr>
              <w:spacing w:before="60"/>
              <w:rPr>
                <w:noProof/>
              </w:rPr>
            </w:pPr>
            <w:r>
              <w:rPr>
                <w:noProof/>
              </w:rPr>
              <w:t>01.0404 Záruka pre Európsky fond pre strategické investície (EFSI)</w:t>
            </w:r>
          </w:p>
          <w:p>
            <w:pPr>
              <w:spacing w:before="60"/>
              <w:rPr>
                <w:noProof/>
              </w:rPr>
            </w:pPr>
            <w:r>
              <w:rPr>
                <w:noProof/>
              </w:rPr>
              <w:t>01.040502 Doplnenie záruky pre Európsky fond pre strategické investície (EFSI) – Segment podpory platobnej schopnosti</w:t>
            </w:r>
          </w:p>
          <w:p>
            <w:pPr>
              <w:spacing w:after="60"/>
              <w:rPr>
                <w:noProof/>
                <w:sz w:val="22"/>
              </w:rPr>
            </w:pPr>
            <w:r>
              <w:rPr>
                <w:noProof/>
              </w:rPr>
              <w:t>01.040602 Európske centrum investičného poradenstva (EIAH) a Európsky portál investičných projektov (EIPP) – (technická pomoc) – Segment podpory platobnej schopnosti</w:t>
            </w:r>
          </w:p>
        </w:tc>
        <w:tc>
          <w:tcPr>
            <w:tcW w:w="1080" w:type="dxa"/>
            <w:vAlign w:val="center"/>
          </w:tcPr>
          <w:p>
            <w:pPr>
              <w:jc w:val="center"/>
              <w:rPr>
                <w:noProof/>
                <w:sz w:val="22"/>
              </w:rPr>
            </w:pPr>
            <w:r>
              <w:rPr>
                <w:noProof/>
                <w:sz w:val="22"/>
              </w:rPr>
              <w:t>DRP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Požadované nové rozpočtové riadky </w:t>
      </w:r>
    </w:p>
    <w:p>
      <w:pPr>
        <w:pStyle w:val="Text1"/>
        <w:rPr>
          <w:i/>
          <w:noProof/>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Mar>
              <w:left w:w="28" w:type="dxa"/>
              <w:right w:w="28" w:type="dxa"/>
            </w:tcMar>
            <w:vAlign w:val="center"/>
          </w:tcPr>
          <w:p>
            <w:pPr>
              <w:spacing w:before="60" w:after="60"/>
              <w:jc w:val="center"/>
              <w:rPr>
                <w:noProof/>
                <w:sz w:val="18"/>
                <w:szCs w:val="18"/>
              </w:rPr>
            </w:pPr>
            <w:r>
              <w:rPr>
                <w:noProof/>
                <w:sz w:val="18"/>
                <w:szCs w:val="18"/>
              </w:rPr>
              <w:t>Okruh viacročného finančného rámca</w:t>
            </w:r>
          </w:p>
        </w:tc>
        <w:tc>
          <w:tcPr>
            <w:tcW w:w="3960" w:type="dxa"/>
            <w:tcMar>
              <w:left w:w="28" w:type="dxa"/>
              <w:right w:w="28" w:type="dxa"/>
            </w:tcMar>
            <w:vAlign w:val="center"/>
          </w:tcPr>
          <w:p>
            <w:pPr>
              <w:spacing w:before="60" w:after="60"/>
              <w:jc w:val="center"/>
              <w:rPr>
                <w:noProof/>
                <w:sz w:val="18"/>
                <w:szCs w:val="18"/>
              </w:rPr>
            </w:pPr>
            <w:r>
              <w:rPr>
                <w:noProof/>
                <w:sz w:val="18"/>
                <w:szCs w:val="18"/>
              </w:rPr>
              <w:t>Rozpočtový riadok</w:t>
            </w:r>
          </w:p>
        </w:tc>
        <w:tc>
          <w:tcPr>
            <w:tcW w:w="1080" w:type="dxa"/>
            <w:tcMar>
              <w:left w:w="28" w:type="dxa"/>
              <w:right w:w="28" w:type="dxa"/>
            </w:tcMar>
            <w:vAlign w:val="center"/>
          </w:tcPr>
          <w:p>
            <w:pPr>
              <w:spacing w:before="60" w:after="60"/>
              <w:jc w:val="center"/>
              <w:rPr>
                <w:noProof/>
                <w:sz w:val="18"/>
                <w:szCs w:val="18"/>
              </w:rPr>
            </w:pPr>
            <w:r>
              <w:rPr>
                <w:noProof/>
                <w:sz w:val="18"/>
                <w:szCs w:val="18"/>
              </w:rPr>
              <w:t>Typ</w:t>
            </w:r>
            <w:r>
              <w:rPr>
                <w:noProof/>
                <w:sz w:val="18"/>
                <w:szCs w:val="18"/>
              </w:rPr>
              <w:br/>
              <w:t>výdavkov</w:t>
            </w:r>
          </w:p>
        </w:tc>
        <w:tc>
          <w:tcPr>
            <w:tcW w:w="4440" w:type="dxa"/>
            <w:gridSpan w:val="4"/>
            <w:tcMar>
              <w:left w:w="28" w:type="dxa"/>
              <w:right w:w="28" w:type="dxa"/>
            </w:tcMar>
            <w:vAlign w:val="center"/>
          </w:tcPr>
          <w:p>
            <w:pPr>
              <w:spacing w:before="60" w:after="60"/>
              <w:jc w:val="center"/>
              <w:rPr>
                <w:noProof/>
                <w:sz w:val="18"/>
                <w:szCs w:val="18"/>
              </w:rPr>
            </w:pPr>
            <w:r>
              <w:rPr>
                <w:noProof/>
                <w:sz w:val="18"/>
                <w:szCs w:val="18"/>
              </w:rPr>
              <w:t xml:space="preserve">Príspevky </w:t>
            </w:r>
          </w:p>
        </w:tc>
      </w:tr>
      <w:tr>
        <w:tc>
          <w:tcPr>
            <w:tcW w:w="1080" w:type="dxa"/>
            <w:vMerge/>
            <w:tcMar>
              <w:left w:w="28" w:type="dxa"/>
              <w:right w:w="28" w:type="dxa"/>
            </w:tcMar>
            <w:vAlign w:val="center"/>
          </w:tcPr>
          <w:p>
            <w:pPr>
              <w:jc w:val="center"/>
              <w:rPr>
                <w:noProof/>
                <w:sz w:val="18"/>
                <w:szCs w:val="18"/>
              </w:rPr>
            </w:pPr>
          </w:p>
        </w:tc>
        <w:tc>
          <w:tcPr>
            <w:tcW w:w="3960" w:type="dxa"/>
            <w:tcMar>
              <w:left w:w="28" w:type="dxa"/>
              <w:right w:w="28" w:type="dxa"/>
            </w:tcMar>
            <w:vAlign w:val="center"/>
          </w:tcPr>
          <w:p>
            <w:pPr>
              <w:rPr>
                <w:noProof/>
                <w:sz w:val="18"/>
                <w:szCs w:val="18"/>
              </w:rPr>
            </w:pPr>
            <w:r>
              <w:rPr>
                <w:noProof/>
                <w:sz w:val="18"/>
                <w:szCs w:val="18"/>
              </w:rPr>
              <w:t xml:space="preserve">Číslo </w:t>
            </w:r>
            <w:r>
              <w:rPr>
                <w:noProof/>
                <w:sz w:val="18"/>
                <w:szCs w:val="18"/>
              </w:rPr>
              <w:br/>
              <w:t>Okruh 1 (VFR na roky 2021 – 2027)</w:t>
            </w:r>
          </w:p>
        </w:tc>
        <w:tc>
          <w:tcPr>
            <w:tcW w:w="1080" w:type="dxa"/>
            <w:tcMar>
              <w:left w:w="28" w:type="dxa"/>
              <w:right w:w="28" w:type="dxa"/>
            </w:tcMar>
            <w:vAlign w:val="center"/>
          </w:tcPr>
          <w:p>
            <w:pPr>
              <w:jc w:val="center"/>
              <w:rPr>
                <w:noProof/>
                <w:sz w:val="18"/>
                <w:szCs w:val="18"/>
              </w:rPr>
            </w:pPr>
            <w:r>
              <w:rPr>
                <w:noProof/>
                <w:sz w:val="18"/>
                <w:szCs w:val="18"/>
              </w:rPr>
              <w:t>DRP/NRP</w:t>
            </w:r>
          </w:p>
        </w:tc>
        <w:tc>
          <w:tcPr>
            <w:tcW w:w="956" w:type="dxa"/>
            <w:tcMar>
              <w:left w:w="28" w:type="dxa"/>
              <w:right w:w="28" w:type="dxa"/>
            </w:tcMar>
            <w:vAlign w:val="center"/>
          </w:tcPr>
          <w:p>
            <w:pPr>
              <w:jc w:val="center"/>
              <w:rPr>
                <w:noProof/>
                <w:sz w:val="18"/>
                <w:szCs w:val="18"/>
              </w:rPr>
            </w:pPr>
            <w:r>
              <w:rPr>
                <w:noProof/>
                <w:sz w:val="18"/>
                <w:szCs w:val="18"/>
              </w:rPr>
              <w:t>krajín EZVO</w:t>
            </w:r>
          </w:p>
        </w:tc>
        <w:tc>
          <w:tcPr>
            <w:tcW w:w="1080" w:type="dxa"/>
            <w:tcMar>
              <w:left w:w="28" w:type="dxa"/>
              <w:right w:w="28" w:type="dxa"/>
            </w:tcMar>
            <w:vAlign w:val="center"/>
          </w:tcPr>
          <w:p>
            <w:pPr>
              <w:jc w:val="center"/>
              <w:rPr>
                <w:noProof/>
                <w:sz w:val="18"/>
                <w:szCs w:val="18"/>
              </w:rPr>
            </w:pPr>
            <w:r>
              <w:rPr>
                <w:noProof/>
                <w:sz w:val="18"/>
                <w:szCs w:val="18"/>
              </w:rPr>
              <w:t>kandidátskych krajín</w:t>
            </w:r>
          </w:p>
        </w:tc>
        <w:tc>
          <w:tcPr>
            <w:tcW w:w="956" w:type="dxa"/>
            <w:tcMar>
              <w:left w:w="28" w:type="dxa"/>
              <w:right w:w="28" w:type="dxa"/>
            </w:tcMar>
            <w:vAlign w:val="center"/>
          </w:tcPr>
          <w:p>
            <w:pPr>
              <w:jc w:val="center"/>
              <w:rPr>
                <w:noProof/>
                <w:sz w:val="18"/>
                <w:szCs w:val="18"/>
              </w:rPr>
            </w:pPr>
            <w:r>
              <w:rPr>
                <w:noProof/>
                <w:sz w:val="18"/>
                <w:szCs w:val="18"/>
              </w:rPr>
              <w:t>tretích krajín</w:t>
            </w:r>
          </w:p>
        </w:tc>
        <w:tc>
          <w:tcPr>
            <w:tcW w:w="1448" w:type="dxa"/>
            <w:tcMar>
              <w:left w:w="28" w:type="dxa"/>
              <w:right w:w="28" w:type="dxa"/>
            </w:tcMar>
            <w:vAlign w:val="center"/>
          </w:tcPr>
          <w:p>
            <w:pPr>
              <w:jc w:val="center"/>
              <w:rPr>
                <w:noProof/>
                <w:sz w:val="18"/>
                <w:szCs w:val="18"/>
              </w:rPr>
            </w:pPr>
            <w:r>
              <w:rPr>
                <w:noProof/>
                <w:sz w:val="18"/>
                <w:szCs w:val="18"/>
              </w:rPr>
              <w:t xml:space="preserve">v zmysle článku 21 ods. 2 písm. b) nariadenia o rozpočtových pravidlách </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szCs w:val="24"/>
              </w:rPr>
            </w:pPr>
            <w:r>
              <w:rPr>
                <w:noProof/>
              </w:rPr>
              <w:t>02.0104 Podporné výdavky na Európsky fond pre strategické investície (EFSI)</w:t>
            </w:r>
          </w:p>
        </w:tc>
        <w:tc>
          <w:tcPr>
            <w:tcW w:w="1080" w:type="dxa"/>
            <w:vAlign w:val="center"/>
          </w:tcPr>
          <w:p>
            <w:pPr>
              <w:jc w:val="center"/>
              <w:rPr>
                <w:noProof/>
                <w:sz w:val="22"/>
              </w:rPr>
            </w:pPr>
            <w:r>
              <w:rPr>
                <w:noProof/>
                <w:sz w:val="22"/>
              </w:rPr>
              <w:t>NRP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rPr>
            </w:pPr>
            <w:r>
              <w:rPr>
                <w:noProof/>
              </w:rPr>
              <w:t>02.0501 Záruka pre Európsky fond pre strategické investície (EFSI)</w:t>
            </w:r>
          </w:p>
          <w:p>
            <w:pPr>
              <w:spacing w:before="60"/>
              <w:rPr>
                <w:noProof/>
              </w:rPr>
            </w:pPr>
            <w:r>
              <w:rPr>
                <w:noProof/>
              </w:rPr>
              <w:t>02.050202 Doplnenie záruky pre Európsky fond pre strategické investície (EFSI) – Segment podpory platobnej schopnosti</w:t>
            </w:r>
          </w:p>
          <w:p>
            <w:pPr>
              <w:spacing w:before="60"/>
              <w:rPr>
                <w:noProof/>
                <w:sz w:val="22"/>
              </w:rPr>
            </w:pPr>
            <w:r>
              <w:rPr>
                <w:noProof/>
                <w:sz w:val="22"/>
              </w:rPr>
              <w:t>02.050302</w:t>
            </w:r>
            <w:r>
              <w:rPr>
                <w:noProof/>
              </w:rPr>
              <w:t xml:space="preserve"> Európske centrum investičného poradenstva (EIAH) a Európsky portál investičných projektov (EIPP) – (technická pomoc) – Segment podpory platobnej schopnosti</w:t>
            </w:r>
          </w:p>
          <w:p>
            <w:pPr>
              <w:spacing w:after="60"/>
              <w:rPr>
                <w:noProof/>
                <w:sz w:val="22"/>
              </w:rPr>
            </w:pPr>
          </w:p>
        </w:tc>
        <w:tc>
          <w:tcPr>
            <w:tcW w:w="1080" w:type="dxa"/>
            <w:vAlign w:val="center"/>
          </w:tcPr>
          <w:p>
            <w:pPr>
              <w:jc w:val="center"/>
              <w:rPr>
                <w:noProof/>
                <w:sz w:val="22"/>
              </w:rPr>
            </w:pPr>
            <w:r>
              <w:rPr>
                <w:noProof/>
                <w:sz w:val="22"/>
              </w:rPr>
              <w:t>DRP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18"/>
              </w:rPr>
            </w:pPr>
            <w:r>
              <w:rPr>
                <w:noProof/>
                <w:sz w:val="22"/>
              </w:rPr>
              <w:t>NIE</w:t>
            </w:r>
          </w:p>
        </w:tc>
        <w:tc>
          <w:tcPr>
            <w:tcW w:w="956" w:type="dxa"/>
            <w:vAlign w:val="center"/>
          </w:tcPr>
          <w:p>
            <w:pPr>
              <w:jc w:val="center"/>
              <w:rPr>
                <w:noProof/>
                <w:sz w:val="18"/>
              </w:rPr>
            </w:pPr>
            <w:r>
              <w:rPr>
                <w:noProof/>
                <w:sz w:val="22"/>
              </w:rPr>
              <w:t>NIE</w:t>
            </w:r>
          </w:p>
        </w:tc>
        <w:tc>
          <w:tcPr>
            <w:tcW w:w="1448" w:type="dxa"/>
            <w:vAlign w:val="center"/>
          </w:tcPr>
          <w:p>
            <w:pPr>
              <w:jc w:val="center"/>
              <w:rPr>
                <w:noProof/>
                <w:sz w:val="22"/>
              </w:rPr>
            </w:pPr>
            <w:r>
              <w:rPr>
                <w:noProof/>
                <w:sz w:val="22"/>
              </w:rPr>
              <w:t>NIE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Odhadovaný vplyv na výdavky </w:t>
      </w:r>
    </w:p>
    <w:p>
      <w:pPr>
        <w:pStyle w:val="ManualHeading3"/>
        <w:rPr>
          <w:noProof/>
          <w:u w:val="single"/>
        </w:rPr>
      </w:pPr>
      <w:r>
        <w:rPr>
          <w:noProof/>
        </w:rPr>
        <w:t>3.2.1.</w:t>
      </w:r>
      <w:r>
        <w:rPr>
          <w:noProof/>
        </w:rPr>
        <w:tab/>
        <w:t xml:space="preserve">Zhrnutie odhadovaného vplyvu na výdavky </w:t>
      </w:r>
    </w:p>
    <w:p>
      <w:pPr>
        <w:jc w:val="right"/>
        <w:rPr>
          <w:noProof/>
          <w:sz w:val="20"/>
        </w:rPr>
      </w:pPr>
      <w:r>
        <w:rPr>
          <w:noProof/>
          <w:sz w:val="20"/>
        </w:rPr>
        <w:t>v mil. EUR (zaokrúhlené na tri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sz w:val="22"/>
              </w:rPr>
            </w:pPr>
            <w:r>
              <w:rPr>
                <w:noProof/>
                <w:sz w:val="22"/>
              </w:rPr>
              <w:t>Číslo</w:t>
            </w:r>
          </w:p>
        </w:tc>
        <w:tc>
          <w:tcPr>
            <w:tcW w:w="7817" w:type="dxa"/>
            <w:vAlign w:val="center"/>
          </w:tcPr>
          <w:p>
            <w:pPr>
              <w:spacing w:before="60" w:after="60"/>
              <w:rPr>
                <w:noProof/>
                <w:sz w:val="22"/>
              </w:rPr>
            </w:pPr>
            <w:r>
              <w:rPr>
                <w:noProof/>
                <w:sz w:val="22"/>
              </w:rPr>
              <w:t>Okruh 1a (VFR na roky 2014 – 2020), potom okruh 1 (VFR na roky 2021 – 2027)</w:t>
            </w:r>
          </w:p>
        </w:tc>
      </w:tr>
    </w:tbl>
    <w:p>
      <w:pPr>
        <w:spacing w:before="0" w:after="0"/>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144"/>
        <w:gridCol w:w="1054"/>
      </w:tblGrid>
      <w:tr>
        <w:trPr>
          <w:jc w:val="center"/>
        </w:trPr>
        <w:tc>
          <w:tcPr>
            <w:tcW w:w="6197" w:type="dxa"/>
            <w:gridSpan w:val="3"/>
            <w:tcBorders>
              <w:top w:val="nil"/>
              <w:left w:val="nil"/>
              <w:bottom w:val="nil"/>
              <w:right w:val="single" w:sz="4" w:space="0" w:color="auto"/>
            </w:tcBorders>
            <w:vAlign w:val="center"/>
          </w:tcPr>
          <w:p>
            <w:pPr>
              <w:jc w:val="center"/>
              <w:rPr>
                <w:b/>
                <w:noProof/>
                <w:sz w:val="20"/>
                <w:szCs w:val="20"/>
              </w:rPr>
            </w:pPr>
          </w:p>
        </w:tc>
        <w:tc>
          <w:tcPr>
            <w:tcW w:w="868" w:type="dxa"/>
            <w:tcBorders>
              <w:left w:val="single" w:sz="4" w:space="0" w:color="auto"/>
            </w:tcBorders>
            <w:tcMar>
              <w:left w:w="28" w:type="dxa"/>
              <w:right w:w="28" w:type="dxa"/>
            </w:tcMar>
            <w:vAlign w:val="center"/>
          </w:tcPr>
          <w:p>
            <w:pPr>
              <w:jc w:val="center"/>
              <w:rPr>
                <w:b/>
                <w:noProof/>
                <w:sz w:val="18"/>
                <w:szCs w:val="18"/>
              </w:rPr>
            </w:pPr>
            <w:r>
              <w:rPr>
                <w:b/>
                <w:noProof/>
                <w:sz w:val="18"/>
                <w:szCs w:val="18"/>
              </w:rPr>
              <w:t>2020</w:t>
            </w:r>
          </w:p>
        </w:tc>
        <w:tc>
          <w:tcPr>
            <w:tcW w:w="868" w:type="dxa"/>
            <w:tcMar>
              <w:left w:w="28" w:type="dxa"/>
              <w:right w:w="28" w:type="dxa"/>
            </w:tcMar>
            <w:vAlign w:val="center"/>
          </w:tcPr>
          <w:p>
            <w:pPr>
              <w:jc w:val="center"/>
              <w:rPr>
                <w:b/>
                <w:noProof/>
                <w:sz w:val="18"/>
                <w:szCs w:val="18"/>
              </w:rPr>
            </w:pPr>
            <w:r>
              <w:rPr>
                <w:b/>
                <w:noProof/>
                <w:sz w:val="18"/>
                <w:szCs w:val="18"/>
              </w:rPr>
              <w:t>2021</w:t>
            </w:r>
          </w:p>
        </w:tc>
        <w:tc>
          <w:tcPr>
            <w:tcW w:w="868" w:type="dxa"/>
            <w:tcMar>
              <w:left w:w="28" w:type="dxa"/>
              <w:right w:w="28" w:type="dxa"/>
            </w:tcMar>
            <w:vAlign w:val="center"/>
          </w:tcPr>
          <w:p>
            <w:pPr>
              <w:jc w:val="center"/>
              <w:rPr>
                <w:b/>
                <w:noProof/>
                <w:sz w:val="18"/>
                <w:szCs w:val="18"/>
              </w:rPr>
            </w:pPr>
            <w:r>
              <w:rPr>
                <w:b/>
                <w:noProof/>
                <w:sz w:val="18"/>
                <w:szCs w:val="18"/>
              </w:rPr>
              <w:t>2022</w:t>
            </w:r>
          </w:p>
        </w:tc>
        <w:tc>
          <w:tcPr>
            <w:tcW w:w="868" w:type="dxa"/>
            <w:tcMar>
              <w:left w:w="28" w:type="dxa"/>
              <w:right w:w="28" w:type="dxa"/>
            </w:tcMar>
            <w:vAlign w:val="center"/>
          </w:tcPr>
          <w:p>
            <w:pPr>
              <w:jc w:val="center"/>
              <w:rPr>
                <w:b/>
                <w:noProof/>
                <w:sz w:val="18"/>
                <w:szCs w:val="18"/>
              </w:rPr>
            </w:pPr>
            <w:r>
              <w:rPr>
                <w:b/>
                <w:noProof/>
                <w:sz w:val="18"/>
                <w:szCs w:val="18"/>
              </w:rPr>
              <w:t>2023</w:t>
            </w:r>
          </w:p>
        </w:tc>
        <w:tc>
          <w:tcPr>
            <w:tcW w:w="868" w:type="dxa"/>
            <w:tcMar>
              <w:left w:w="28" w:type="dxa"/>
              <w:right w:w="28" w:type="dxa"/>
            </w:tcMar>
            <w:vAlign w:val="center"/>
          </w:tcPr>
          <w:p>
            <w:pPr>
              <w:jc w:val="center"/>
              <w:rPr>
                <w:b/>
                <w:noProof/>
                <w:sz w:val="18"/>
                <w:szCs w:val="18"/>
              </w:rPr>
            </w:pPr>
            <w:r>
              <w:rPr>
                <w:b/>
                <w:noProof/>
                <w:sz w:val="18"/>
                <w:szCs w:val="18"/>
              </w:rPr>
              <w:t>2024</w:t>
            </w:r>
          </w:p>
        </w:tc>
        <w:tc>
          <w:tcPr>
            <w:tcW w:w="868" w:type="dxa"/>
            <w:tcMar>
              <w:left w:w="28" w:type="dxa"/>
              <w:right w:w="28" w:type="dxa"/>
            </w:tcMar>
            <w:vAlign w:val="center"/>
          </w:tcPr>
          <w:p>
            <w:pPr>
              <w:jc w:val="center"/>
              <w:rPr>
                <w:b/>
                <w:noProof/>
                <w:sz w:val="18"/>
                <w:szCs w:val="18"/>
              </w:rPr>
            </w:pPr>
            <w:r>
              <w:rPr>
                <w:b/>
                <w:noProof/>
                <w:sz w:val="18"/>
                <w:szCs w:val="18"/>
              </w:rPr>
              <w:t>2025</w:t>
            </w:r>
          </w:p>
        </w:tc>
        <w:tc>
          <w:tcPr>
            <w:tcW w:w="868" w:type="dxa"/>
            <w:tcMar>
              <w:left w:w="28" w:type="dxa"/>
              <w:right w:w="28" w:type="dxa"/>
            </w:tcMar>
            <w:vAlign w:val="center"/>
          </w:tcPr>
          <w:p>
            <w:pPr>
              <w:jc w:val="center"/>
              <w:rPr>
                <w:b/>
                <w:noProof/>
                <w:sz w:val="18"/>
                <w:szCs w:val="18"/>
              </w:rPr>
            </w:pPr>
            <w:r>
              <w:rPr>
                <w:b/>
                <w:noProof/>
                <w:sz w:val="18"/>
                <w:szCs w:val="18"/>
              </w:rPr>
              <w:t>2026</w:t>
            </w:r>
          </w:p>
        </w:tc>
        <w:tc>
          <w:tcPr>
            <w:tcW w:w="1144" w:type="dxa"/>
            <w:tcMar>
              <w:left w:w="28" w:type="dxa"/>
              <w:right w:w="28" w:type="dxa"/>
            </w:tcMar>
            <w:vAlign w:val="center"/>
          </w:tcPr>
          <w:p>
            <w:pPr>
              <w:jc w:val="center"/>
              <w:rPr>
                <w:b/>
                <w:i/>
                <w:noProof/>
                <w:sz w:val="18"/>
                <w:szCs w:val="18"/>
              </w:rPr>
            </w:pPr>
            <w:r>
              <w:rPr>
                <w:b/>
                <w:i/>
                <w:noProof/>
                <w:sz w:val="18"/>
                <w:szCs w:val="18"/>
              </w:rPr>
              <w:t>2027</w:t>
            </w:r>
          </w:p>
        </w:tc>
        <w:tc>
          <w:tcPr>
            <w:tcW w:w="1054" w:type="dxa"/>
            <w:tcMar>
              <w:left w:w="28" w:type="dxa"/>
              <w:right w:w="28" w:type="dxa"/>
            </w:tcMar>
            <w:vAlign w:val="center"/>
          </w:tcPr>
          <w:p>
            <w:pPr>
              <w:jc w:val="center"/>
              <w:rPr>
                <w:b/>
                <w:noProof/>
                <w:sz w:val="18"/>
                <w:szCs w:val="18"/>
              </w:rPr>
            </w:pPr>
            <w:r>
              <w:rPr>
                <w:b/>
                <w:noProof/>
                <w:sz w:val="18"/>
                <w:szCs w:val="18"/>
              </w:rPr>
              <w:t>SPOLU</w:t>
            </w:r>
          </w:p>
        </w:tc>
      </w:tr>
      <w:tr>
        <w:trPr>
          <w:trHeight w:val="433"/>
          <w:jc w:val="center"/>
        </w:trPr>
        <w:tc>
          <w:tcPr>
            <w:tcW w:w="4103" w:type="dxa"/>
            <w:vMerge w:val="restart"/>
            <w:vAlign w:val="center"/>
          </w:tcPr>
          <w:p>
            <w:pPr>
              <w:spacing w:before="80" w:after="80"/>
              <w:rPr>
                <w:noProof/>
                <w:sz w:val="20"/>
                <w:szCs w:val="20"/>
              </w:rPr>
            </w:pPr>
            <w:r>
              <w:rPr>
                <w:noProof/>
                <w:sz w:val="20"/>
                <w:szCs w:val="20"/>
              </w:rPr>
              <w:t>01.010401 (2020), potom 02.0104 Podporné výdavky na Európsky fond pre strategické investície (EFSI)</w:t>
            </w:r>
          </w:p>
        </w:tc>
        <w:tc>
          <w:tcPr>
            <w:tcW w:w="1440" w:type="dxa"/>
            <w:vMerge w:val="restart"/>
            <w:vAlign w:val="center"/>
          </w:tcPr>
          <w:p>
            <w:pPr>
              <w:spacing w:before="20" w:after="20"/>
              <w:jc w:val="left"/>
              <w:rPr>
                <w:noProof/>
                <w:sz w:val="20"/>
                <w:szCs w:val="20"/>
              </w:rPr>
            </w:pPr>
            <w:r>
              <w:rPr>
                <w:noProof/>
                <w:sz w:val="20"/>
                <w:szCs w:val="20"/>
              </w:rPr>
              <w:t>Záväzky =</w:t>
            </w:r>
          </w:p>
          <w:p>
            <w:pPr>
              <w:spacing w:before="20" w:after="20"/>
              <w:jc w:val="left"/>
              <w:rPr>
                <w:noProof/>
                <w:sz w:val="20"/>
                <w:szCs w:val="20"/>
              </w:rPr>
            </w:pPr>
            <w:r>
              <w:rPr>
                <w:noProof/>
                <w:sz w:val="20"/>
                <w:szCs w:val="20"/>
              </w:rPr>
              <w:t>Platby</w:t>
            </w:r>
          </w:p>
        </w:tc>
        <w:tc>
          <w:tcPr>
            <w:tcW w:w="654" w:type="dxa"/>
            <w:vMerge w:val="restart"/>
            <w:vAlign w:val="center"/>
          </w:tcPr>
          <w:p>
            <w:pPr>
              <w:spacing w:before="20" w:after="20"/>
              <w:jc w:val="center"/>
              <w:rPr>
                <w:noProof/>
                <w:sz w:val="20"/>
                <w:szCs w:val="20"/>
              </w:rPr>
            </w:pPr>
            <w:r>
              <w:rPr>
                <w:noProof/>
                <w:sz w:val="20"/>
                <w:szCs w:val="20"/>
              </w:rPr>
              <w:t>(3)</w:t>
            </w:r>
          </w:p>
        </w:tc>
        <w:tc>
          <w:tcPr>
            <w:tcW w:w="868" w:type="dxa"/>
            <w:tcMar>
              <w:left w:w="28" w:type="dxa"/>
              <w:right w:w="28" w:type="dxa"/>
            </w:tcMar>
            <w:vAlign w:val="center"/>
          </w:tcPr>
          <w:p>
            <w:pPr>
              <w:spacing w:before="20" w:after="20"/>
              <w:jc w:val="center"/>
              <w:rPr>
                <w:noProof/>
                <w:sz w:val="18"/>
                <w:szCs w:val="18"/>
              </w:rPr>
            </w:pPr>
            <w:r>
              <w:rPr>
                <w:noProof/>
                <w:sz w:val="18"/>
                <w:szCs w:val="18"/>
              </w:rPr>
              <w:t>2,000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b/>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b/>
                <w:noProof/>
                <w:sz w:val="18"/>
                <w:szCs w:val="18"/>
              </w:rPr>
            </w:pPr>
          </w:p>
        </w:tc>
        <w:tc>
          <w:tcPr>
            <w:tcW w:w="1054" w:type="dxa"/>
            <w:tcMar>
              <w:left w:w="28" w:type="dxa"/>
              <w:right w:w="28" w:type="dxa"/>
            </w:tcMar>
            <w:vAlign w:val="center"/>
          </w:tcPr>
          <w:p>
            <w:pPr>
              <w:spacing w:before="20" w:after="20"/>
              <w:jc w:val="center"/>
              <w:rPr>
                <w:b/>
                <w:noProof/>
                <w:sz w:val="18"/>
                <w:szCs w:val="18"/>
              </w:rPr>
            </w:pPr>
            <w:r>
              <w:rPr>
                <w:noProof/>
                <w:sz w:val="18"/>
                <w:szCs w:val="18"/>
              </w:rPr>
              <w:t>2,000</w:t>
            </w:r>
          </w:p>
        </w:tc>
      </w:tr>
      <w:tr>
        <w:trPr>
          <w:trHeight w:val="411"/>
          <w:jc w:val="center"/>
        </w:trPr>
        <w:tc>
          <w:tcPr>
            <w:tcW w:w="4103" w:type="dxa"/>
            <w:vMerge/>
          </w:tcPr>
          <w:p>
            <w:pPr>
              <w:spacing w:before="80" w:after="80"/>
              <w:jc w:val="center"/>
              <w:rPr>
                <w:noProof/>
                <w:sz w:val="20"/>
                <w:szCs w:val="20"/>
              </w:rPr>
            </w:pPr>
          </w:p>
        </w:tc>
        <w:tc>
          <w:tcPr>
            <w:tcW w:w="1440" w:type="dxa"/>
            <w:vMerge/>
            <w:vAlign w:val="center"/>
          </w:tcPr>
          <w:p>
            <w:pPr>
              <w:spacing w:before="20" w:after="20"/>
              <w:jc w:val="left"/>
              <w:rPr>
                <w:noProof/>
                <w:sz w:val="20"/>
                <w:szCs w:val="20"/>
              </w:rPr>
            </w:pPr>
          </w:p>
        </w:tc>
        <w:tc>
          <w:tcPr>
            <w:tcW w:w="654" w:type="dxa"/>
            <w:vMerge/>
            <w:vAlign w:val="center"/>
          </w:tcPr>
          <w:p>
            <w:pPr>
              <w:spacing w:before="20" w:after="20"/>
              <w:jc w:val="center"/>
              <w:rPr>
                <w:noProof/>
                <w:sz w:val="20"/>
                <w:szCs w:val="20"/>
              </w:rPr>
            </w:pPr>
          </w:p>
        </w:tc>
        <w:tc>
          <w:tcPr>
            <w:tcW w:w="868" w:type="dxa"/>
            <w:tcMar>
              <w:left w:w="28" w:type="dxa"/>
              <w:right w:w="28" w:type="dxa"/>
            </w:tcMar>
            <w:vAlign w:val="center"/>
          </w:tcPr>
          <w:p>
            <w:pPr>
              <w:spacing w:before="20" w:after="20"/>
              <w:jc w:val="center"/>
              <w:rPr>
                <w:noProof/>
                <w:sz w:val="18"/>
                <w:szCs w:val="18"/>
              </w:rPr>
            </w:pPr>
            <w:r>
              <w:rPr>
                <w:noProof/>
                <w:sz w:val="18"/>
                <w:szCs w:val="18"/>
              </w:rPr>
              <w:t>2,000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1144" w:type="dxa"/>
            <w:tcMar>
              <w:left w:w="28" w:type="dxa"/>
              <w:right w:w="28" w:type="dxa"/>
            </w:tcMar>
            <w:vAlign w:val="center"/>
          </w:tcPr>
          <w:p>
            <w:pPr>
              <w:spacing w:before="20" w:after="20"/>
              <w:jc w:val="center"/>
              <w:rPr>
                <w:b/>
                <w:noProof/>
                <w:sz w:val="18"/>
                <w:szCs w:val="18"/>
              </w:rPr>
            </w:pPr>
          </w:p>
        </w:tc>
        <w:tc>
          <w:tcPr>
            <w:tcW w:w="1054" w:type="dxa"/>
            <w:tcMar>
              <w:left w:w="28" w:type="dxa"/>
              <w:right w:w="28" w:type="dxa"/>
            </w:tcMar>
            <w:vAlign w:val="center"/>
          </w:tcPr>
          <w:p>
            <w:pPr>
              <w:spacing w:before="20" w:after="20"/>
              <w:jc w:val="center"/>
              <w:rPr>
                <w:b/>
                <w:noProof/>
                <w:sz w:val="18"/>
                <w:szCs w:val="18"/>
              </w:rPr>
            </w:pPr>
            <w:r>
              <w:rPr>
                <w:noProof/>
                <w:sz w:val="18"/>
                <w:szCs w:val="18"/>
              </w:rPr>
              <w:t>2,000</w:t>
            </w:r>
          </w:p>
        </w:tc>
      </w:tr>
      <w:tr>
        <w:trPr>
          <w:trHeight w:val="433"/>
          <w:jc w:val="center"/>
        </w:trPr>
        <w:tc>
          <w:tcPr>
            <w:tcW w:w="4103" w:type="dxa"/>
            <w:vMerge w:val="restart"/>
            <w:vAlign w:val="center"/>
          </w:tcPr>
          <w:p>
            <w:pPr>
              <w:spacing w:before="80" w:after="80"/>
              <w:rPr>
                <w:noProof/>
                <w:sz w:val="20"/>
                <w:szCs w:val="20"/>
              </w:rPr>
            </w:pPr>
            <w:r>
              <w:rPr>
                <w:noProof/>
                <w:sz w:val="20"/>
                <w:szCs w:val="20"/>
              </w:rPr>
              <w:t>01.040101 Európsky investičný fond – Poskytnutie splatených akcií upísaného kapitálu</w:t>
            </w:r>
          </w:p>
        </w:tc>
        <w:tc>
          <w:tcPr>
            <w:tcW w:w="1440" w:type="dxa"/>
            <w:vAlign w:val="center"/>
          </w:tcPr>
          <w:p>
            <w:pPr>
              <w:spacing w:before="20" w:after="20"/>
              <w:jc w:val="left"/>
              <w:rPr>
                <w:noProof/>
                <w:sz w:val="20"/>
                <w:szCs w:val="20"/>
              </w:rPr>
            </w:pPr>
            <w:r>
              <w:rPr>
                <w:noProof/>
                <w:sz w:val="20"/>
                <w:szCs w:val="20"/>
              </w:rPr>
              <w:t>Záväzky</w:t>
            </w:r>
          </w:p>
        </w:tc>
        <w:tc>
          <w:tcPr>
            <w:tcW w:w="654" w:type="dxa"/>
            <w:vAlign w:val="center"/>
          </w:tcPr>
          <w:p>
            <w:pPr>
              <w:spacing w:before="20" w:after="20"/>
              <w:jc w:val="center"/>
              <w:rPr>
                <w:noProof/>
                <w:sz w:val="20"/>
                <w:szCs w:val="20"/>
              </w:rPr>
            </w:pPr>
          </w:p>
        </w:tc>
        <w:tc>
          <w:tcPr>
            <w:tcW w:w="868" w:type="dxa"/>
            <w:tcMar>
              <w:left w:w="28" w:type="dxa"/>
              <w:right w:w="28" w:type="dxa"/>
            </w:tcMar>
            <w:vAlign w:val="center"/>
          </w:tcPr>
          <w:p>
            <w:pPr>
              <w:spacing w:before="20" w:after="20"/>
              <w:jc w:val="center"/>
              <w:rPr>
                <w:noProof/>
                <w:sz w:val="18"/>
                <w:szCs w:val="18"/>
              </w:rPr>
            </w:pPr>
            <w:r>
              <w:rPr>
                <w:noProof/>
                <w:sz w:val="18"/>
                <w:szCs w:val="18"/>
              </w:rPr>
              <w:t>500,000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noProof/>
                <w:sz w:val="18"/>
                <w:szCs w:val="18"/>
                <w:highlight w:val="yellow"/>
              </w:rPr>
            </w:pPr>
          </w:p>
        </w:tc>
        <w:tc>
          <w:tcPr>
            <w:tcW w:w="1054" w:type="dxa"/>
            <w:tcMar>
              <w:left w:w="28" w:type="dxa"/>
              <w:right w:w="28" w:type="dxa"/>
            </w:tcMar>
            <w:vAlign w:val="center"/>
          </w:tcPr>
          <w:p>
            <w:pPr>
              <w:spacing w:before="20" w:after="20"/>
              <w:jc w:val="center"/>
              <w:rPr>
                <w:noProof/>
                <w:sz w:val="18"/>
                <w:szCs w:val="18"/>
              </w:rPr>
            </w:pPr>
            <w:r>
              <w:rPr>
                <w:noProof/>
                <w:sz w:val="18"/>
                <w:szCs w:val="18"/>
              </w:rPr>
              <w:t>500,000</w:t>
            </w:r>
          </w:p>
        </w:tc>
      </w:tr>
      <w:tr>
        <w:trPr>
          <w:trHeight w:val="433"/>
          <w:jc w:val="center"/>
        </w:trPr>
        <w:tc>
          <w:tcPr>
            <w:tcW w:w="4103" w:type="dxa"/>
            <w:vMerge/>
            <w:vAlign w:val="center"/>
          </w:tcPr>
          <w:p>
            <w:pPr>
              <w:spacing w:before="80" w:after="80"/>
              <w:rPr>
                <w:noProof/>
                <w:sz w:val="20"/>
                <w:szCs w:val="20"/>
              </w:rPr>
            </w:pPr>
          </w:p>
        </w:tc>
        <w:tc>
          <w:tcPr>
            <w:tcW w:w="1440" w:type="dxa"/>
            <w:vAlign w:val="center"/>
          </w:tcPr>
          <w:p>
            <w:pPr>
              <w:spacing w:before="20" w:after="20"/>
              <w:jc w:val="left"/>
              <w:rPr>
                <w:noProof/>
                <w:sz w:val="20"/>
                <w:szCs w:val="20"/>
              </w:rPr>
            </w:pPr>
            <w:r>
              <w:rPr>
                <w:noProof/>
                <w:sz w:val="20"/>
                <w:szCs w:val="20"/>
              </w:rPr>
              <w:t>Platby</w:t>
            </w:r>
          </w:p>
        </w:tc>
        <w:tc>
          <w:tcPr>
            <w:tcW w:w="654" w:type="dxa"/>
            <w:vAlign w:val="center"/>
          </w:tcPr>
          <w:p>
            <w:pPr>
              <w:spacing w:before="20" w:after="20"/>
              <w:jc w:val="center"/>
              <w:rPr>
                <w:noProof/>
                <w:sz w:val="20"/>
                <w:szCs w:val="20"/>
              </w:rPr>
            </w:pPr>
          </w:p>
        </w:tc>
        <w:tc>
          <w:tcPr>
            <w:tcW w:w="868" w:type="dxa"/>
            <w:tcMar>
              <w:left w:w="28" w:type="dxa"/>
              <w:right w:w="28" w:type="dxa"/>
            </w:tcMar>
            <w:vAlign w:val="center"/>
          </w:tcPr>
          <w:p>
            <w:pPr>
              <w:spacing w:before="20" w:after="20"/>
              <w:jc w:val="center"/>
              <w:rPr>
                <w:noProof/>
                <w:sz w:val="18"/>
                <w:szCs w:val="18"/>
              </w:rPr>
            </w:pPr>
            <w:r>
              <w:rPr>
                <w:noProof/>
                <w:sz w:val="18"/>
                <w:szCs w:val="18"/>
              </w:rPr>
              <w:t>500,000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noProof/>
                <w:sz w:val="18"/>
                <w:szCs w:val="18"/>
                <w:highlight w:val="yellow"/>
              </w:rPr>
            </w:pPr>
          </w:p>
        </w:tc>
        <w:tc>
          <w:tcPr>
            <w:tcW w:w="1054" w:type="dxa"/>
            <w:tcMar>
              <w:left w:w="28" w:type="dxa"/>
              <w:right w:w="28" w:type="dxa"/>
            </w:tcMar>
            <w:vAlign w:val="center"/>
          </w:tcPr>
          <w:p>
            <w:pPr>
              <w:spacing w:before="20" w:after="20"/>
              <w:jc w:val="center"/>
              <w:rPr>
                <w:noProof/>
                <w:sz w:val="18"/>
                <w:szCs w:val="18"/>
              </w:rPr>
            </w:pPr>
            <w:r>
              <w:rPr>
                <w:noProof/>
                <w:sz w:val="18"/>
                <w:szCs w:val="18"/>
              </w:rPr>
              <w:t>500,000</w:t>
            </w:r>
          </w:p>
        </w:tc>
      </w:tr>
      <w:tr>
        <w:trPr>
          <w:trHeight w:val="433"/>
          <w:jc w:val="center"/>
        </w:trPr>
        <w:tc>
          <w:tcPr>
            <w:tcW w:w="4103" w:type="dxa"/>
            <w:vMerge w:val="restart"/>
            <w:vAlign w:val="center"/>
          </w:tcPr>
          <w:p>
            <w:pPr>
              <w:spacing w:before="80" w:after="80"/>
              <w:rPr>
                <w:noProof/>
                <w:sz w:val="20"/>
                <w:szCs w:val="20"/>
              </w:rPr>
            </w:pPr>
            <w:r>
              <w:rPr>
                <w:noProof/>
                <w:sz w:val="20"/>
                <w:szCs w:val="20"/>
              </w:rPr>
              <w:t>01.0404 (2020) potom 02.0501 Záruka pre Európsky fond pre strategické investície (EFSI)</w:t>
            </w:r>
          </w:p>
        </w:tc>
        <w:tc>
          <w:tcPr>
            <w:tcW w:w="1440" w:type="dxa"/>
            <w:vAlign w:val="center"/>
          </w:tcPr>
          <w:p>
            <w:pPr>
              <w:spacing w:before="20" w:after="20"/>
              <w:jc w:val="left"/>
              <w:rPr>
                <w:noProof/>
                <w:sz w:val="20"/>
                <w:szCs w:val="20"/>
              </w:rPr>
            </w:pPr>
            <w:r>
              <w:rPr>
                <w:noProof/>
                <w:sz w:val="20"/>
                <w:szCs w:val="20"/>
              </w:rPr>
              <w:t>Záväzky</w:t>
            </w:r>
          </w:p>
        </w:tc>
        <w:tc>
          <w:tcPr>
            <w:tcW w:w="654" w:type="dxa"/>
            <w:vAlign w:val="center"/>
          </w:tcPr>
          <w:p>
            <w:pPr>
              <w:spacing w:before="20" w:after="20"/>
              <w:jc w:val="center"/>
              <w:rPr>
                <w:noProof/>
                <w:sz w:val="20"/>
                <w:szCs w:val="20"/>
              </w:rPr>
            </w:pPr>
            <w:r>
              <w:rPr>
                <w:noProof/>
                <w:sz w:val="20"/>
                <w:szCs w:val="20"/>
              </w:rPr>
              <w:t>(1)</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noProof/>
                <w:sz w:val="18"/>
                <w:szCs w:val="18"/>
              </w:rPr>
            </w:pPr>
          </w:p>
        </w:tc>
        <w:tc>
          <w:tcPr>
            <w:tcW w:w="1054" w:type="dxa"/>
            <w:tcMar>
              <w:left w:w="28" w:type="dxa"/>
              <w:right w:w="28" w:type="dxa"/>
            </w:tcMar>
          </w:tcPr>
          <w:p>
            <w:pPr>
              <w:spacing w:before="20" w:after="20"/>
              <w:jc w:val="center"/>
              <w:rPr>
                <w:noProof/>
                <w:sz w:val="18"/>
                <w:szCs w:val="18"/>
              </w:rPr>
            </w:pPr>
            <w:r>
              <w:rPr>
                <w:noProof/>
                <w:sz w:val="18"/>
                <w:szCs w:val="18"/>
              </w:rPr>
              <w:t>p.m.</w:t>
            </w:r>
          </w:p>
        </w:tc>
      </w:tr>
      <w:tr>
        <w:trPr>
          <w:trHeight w:val="433"/>
          <w:jc w:val="center"/>
        </w:trPr>
        <w:tc>
          <w:tcPr>
            <w:tcW w:w="4103" w:type="dxa"/>
            <w:vMerge/>
            <w:vAlign w:val="center"/>
          </w:tcPr>
          <w:p>
            <w:pPr>
              <w:spacing w:before="80" w:after="80"/>
              <w:rPr>
                <w:noProof/>
                <w:sz w:val="20"/>
                <w:szCs w:val="20"/>
              </w:rPr>
            </w:pPr>
          </w:p>
        </w:tc>
        <w:tc>
          <w:tcPr>
            <w:tcW w:w="1440" w:type="dxa"/>
            <w:vAlign w:val="center"/>
          </w:tcPr>
          <w:p>
            <w:pPr>
              <w:spacing w:before="20" w:after="20"/>
              <w:jc w:val="left"/>
              <w:rPr>
                <w:noProof/>
                <w:sz w:val="20"/>
                <w:szCs w:val="20"/>
              </w:rPr>
            </w:pPr>
            <w:r>
              <w:rPr>
                <w:noProof/>
                <w:sz w:val="20"/>
                <w:szCs w:val="20"/>
              </w:rPr>
              <w:t>Platby</w:t>
            </w:r>
          </w:p>
        </w:tc>
        <w:tc>
          <w:tcPr>
            <w:tcW w:w="654" w:type="dxa"/>
            <w:vAlign w:val="center"/>
          </w:tcPr>
          <w:p>
            <w:pPr>
              <w:spacing w:before="20" w:after="20"/>
              <w:jc w:val="center"/>
              <w:rPr>
                <w:noProof/>
                <w:sz w:val="20"/>
                <w:szCs w:val="20"/>
              </w:rPr>
            </w:pPr>
            <w:r>
              <w:rPr>
                <w:noProof/>
                <w:sz w:val="20"/>
                <w:szCs w:val="20"/>
              </w:rPr>
              <w:t>(2)</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868" w:type="dxa"/>
            <w:tcMar>
              <w:left w:w="28" w:type="dxa"/>
              <w:right w:w="28" w:type="dxa"/>
            </w:tcMar>
          </w:tcPr>
          <w:p>
            <w:pPr>
              <w:spacing w:before="20" w:after="20"/>
              <w:jc w:val="center"/>
              <w:rPr>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noProof/>
                <w:sz w:val="18"/>
                <w:szCs w:val="18"/>
              </w:rPr>
            </w:pPr>
          </w:p>
        </w:tc>
        <w:tc>
          <w:tcPr>
            <w:tcW w:w="1054" w:type="dxa"/>
            <w:tcMar>
              <w:left w:w="28" w:type="dxa"/>
              <w:right w:w="28" w:type="dxa"/>
            </w:tcMar>
          </w:tcPr>
          <w:p>
            <w:pPr>
              <w:spacing w:before="20" w:after="20"/>
              <w:jc w:val="center"/>
              <w:rPr>
                <w:noProof/>
                <w:sz w:val="18"/>
                <w:szCs w:val="18"/>
              </w:rPr>
            </w:pPr>
            <w:r>
              <w:rPr>
                <w:noProof/>
                <w:sz w:val="18"/>
                <w:szCs w:val="18"/>
              </w:rPr>
              <w:t>p.m.</w:t>
            </w:r>
          </w:p>
        </w:tc>
      </w:tr>
      <w:tr>
        <w:trPr>
          <w:trHeight w:val="433"/>
          <w:jc w:val="center"/>
        </w:trPr>
        <w:tc>
          <w:tcPr>
            <w:tcW w:w="4103" w:type="dxa"/>
            <w:vMerge w:val="restart"/>
            <w:vAlign w:val="center"/>
          </w:tcPr>
          <w:p>
            <w:pPr>
              <w:spacing w:before="80" w:after="80"/>
              <w:rPr>
                <w:noProof/>
                <w:spacing w:val="-6"/>
                <w:sz w:val="20"/>
                <w:szCs w:val="20"/>
              </w:rPr>
            </w:pPr>
            <w:r>
              <w:rPr>
                <w:noProof/>
                <w:spacing w:val="-6"/>
                <w:sz w:val="20"/>
                <w:szCs w:val="20"/>
              </w:rPr>
              <w:t>01.040502 (2020), potom 02.050202 Doplnenie záruky pre Európsky fond pre strategické investície (EFSI) – Segment podpory platobnej schopnosti</w:t>
            </w:r>
          </w:p>
        </w:tc>
        <w:tc>
          <w:tcPr>
            <w:tcW w:w="1440" w:type="dxa"/>
            <w:vAlign w:val="center"/>
          </w:tcPr>
          <w:p>
            <w:pPr>
              <w:spacing w:before="20" w:after="20"/>
              <w:jc w:val="left"/>
              <w:rPr>
                <w:noProof/>
                <w:sz w:val="20"/>
                <w:szCs w:val="20"/>
              </w:rPr>
            </w:pPr>
            <w:r>
              <w:rPr>
                <w:noProof/>
                <w:sz w:val="20"/>
                <w:szCs w:val="20"/>
              </w:rPr>
              <w:t>Záväzky</w:t>
            </w:r>
          </w:p>
        </w:tc>
        <w:tc>
          <w:tcPr>
            <w:tcW w:w="654" w:type="dxa"/>
            <w:vAlign w:val="center"/>
          </w:tcPr>
          <w:p>
            <w:pPr>
              <w:spacing w:before="20" w:after="20"/>
              <w:jc w:val="center"/>
              <w:rPr>
                <w:noProof/>
                <w:sz w:val="20"/>
                <w:szCs w:val="20"/>
              </w:rPr>
            </w:pPr>
            <w:r>
              <w:rPr>
                <w:noProof/>
                <w:sz w:val="20"/>
                <w:szCs w:val="20"/>
              </w:rPr>
              <w:t>(1)</w:t>
            </w:r>
          </w:p>
        </w:tc>
        <w:tc>
          <w:tcPr>
            <w:tcW w:w="868" w:type="dxa"/>
            <w:tcMar>
              <w:left w:w="28" w:type="dxa"/>
              <w:right w:w="28" w:type="dxa"/>
            </w:tcMar>
            <w:vAlign w:val="center"/>
          </w:tcPr>
          <w:p>
            <w:pPr>
              <w:spacing w:before="20" w:after="20"/>
              <w:jc w:val="center"/>
              <w:rPr>
                <w:noProof/>
                <w:sz w:val="18"/>
                <w:szCs w:val="18"/>
              </w:rPr>
            </w:pPr>
            <w:r>
              <w:rPr>
                <w:noProof/>
                <w:sz w:val="18"/>
                <w:szCs w:val="18"/>
              </w:rPr>
              <w:t>4 980,000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b/>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b/>
                <w:noProof/>
                <w:sz w:val="18"/>
                <w:szCs w:val="18"/>
              </w:rPr>
            </w:pPr>
            <w:r>
              <w:rPr>
                <w:noProof/>
                <w:sz w:val="18"/>
                <w:szCs w:val="18"/>
              </w:rPr>
              <w:t>p.m.</w:t>
            </w:r>
          </w:p>
        </w:tc>
        <w:tc>
          <w:tcPr>
            <w:tcW w:w="1054" w:type="dxa"/>
            <w:tcMar>
              <w:left w:w="28" w:type="dxa"/>
              <w:right w:w="28" w:type="dxa"/>
            </w:tcMar>
            <w:vAlign w:val="center"/>
          </w:tcPr>
          <w:p>
            <w:pPr>
              <w:spacing w:before="20" w:after="20"/>
              <w:jc w:val="center"/>
              <w:rPr>
                <w:b/>
                <w:noProof/>
                <w:sz w:val="18"/>
                <w:szCs w:val="18"/>
              </w:rPr>
            </w:pPr>
            <w:r>
              <w:rPr>
                <w:noProof/>
                <w:sz w:val="18"/>
                <w:szCs w:val="18"/>
              </w:rPr>
              <w:t>4 980,000</w:t>
            </w:r>
          </w:p>
        </w:tc>
      </w:tr>
      <w:tr>
        <w:trPr>
          <w:trHeight w:val="411"/>
          <w:jc w:val="center"/>
        </w:trPr>
        <w:tc>
          <w:tcPr>
            <w:tcW w:w="4103" w:type="dxa"/>
            <w:vMerge/>
          </w:tcPr>
          <w:p>
            <w:pPr>
              <w:spacing w:before="80" w:after="80"/>
              <w:jc w:val="center"/>
              <w:rPr>
                <w:noProof/>
                <w:sz w:val="20"/>
                <w:szCs w:val="20"/>
              </w:rPr>
            </w:pPr>
          </w:p>
        </w:tc>
        <w:tc>
          <w:tcPr>
            <w:tcW w:w="1440" w:type="dxa"/>
            <w:vAlign w:val="center"/>
          </w:tcPr>
          <w:p>
            <w:pPr>
              <w:spacing w:before="20" w:after="20"/>
              <w:jc w:val="left"/>
              <w:rPr>
                <w:noProof/>
                <w:sz w:val="20"/>
                <w:szCs w:val="20"/>
              </w:rPr>
            </w:pPr>
            <w:r>
              <w:rPr>
                <w:noProof/>
                <w:sz w:val="20"/>
                <w:szCs w:val="20"/>
              </w:rPr>
              <w:t>Platby</w:t>
            </w:r>
          </w:p>
        </w:tc>
        <w:tc>
          <w:tcPr>
            <w:tcW w:w="654" w:type="dxa"/>
            <w:vAlign w:val="center"/>
          </w:tcPr>
          <w:p>
            <w:pPr>
              <w:spacing w:before="20" w:after="20"/>
              <w:jc w:val="center"/>
              <w:rPr>
                <w:noProof/>
                <w:sz w:val="20"/>
                <w:szCs w:val="20"/>
              </w:rPr>
            </w:pPr>
            <w:r>
              <w:rPr>
                <w:noProof/>
                <w:sz w:val="20"/>
                <w:szCs w:val="20"/>
              </w:rPr>
              <w:t>(2)</w:t>
            </w:r>
          </w:p>
        </w:tc>
        <w:tc>
          <w:tcPr>
            <w:tcW w:w="868" w:type="dxa"/>
            <w:tcMar>
              <w:left w:w="28" w:type="dxa"/>
              <w:right w:w="28" w:type="dxa"/>
            </w:tcMar>
          </w:tcPr>
          <w:p>
            <w:pPr>
              <w:spacing w:before="20" w:after="20"/>
              <w:jc w:val="center"/>
              <w:rPr>
                <w:noProof/>
                <w:sz w:val="18"/>
                <w:szCs w:val="18"/>
              </w:rPr>
            </w:pPr>
            <w:r>
              <w:rPr>
                <w:noProof/>
                <w:sz w:val="18"/>
                <w:szCs w:val="18"/>
              </w:rPr>
              <w:t>2 490,000</w:t>
            </w:r>
          </w:p>
        </w:tc>
        <w:tc>
          <w:tcPr>
            <w:tcW w:w="868" w:type="dxa"/>
            <w:tcMar>
              <w:left w:w="28" w:type="dxa"/>
              <w:right w:w="28" w:type="dxa"/>
            </w:tcMar>
          </w:tcPr>
          <w:p>
            <w:pPr>
              <w:spacing w:before="20" w:after="20"/>
              <w:jc w:val="center"/>
              <w:rPr>
                <w:noProof/>
                <w:sz w:val="18"/>
                <w:szCs w:val="18"/>
              </w:rPr>
            </w:pPr>
            <w:r>
              <w:rPr>
                <w:noProof/>
                <w:sz w:val="18"/>
                <w:szCs w:val="18"/>
              </w:rPr>
              <w:t>490,000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1144" w:type="dxa"/>
            <w:tcMar>
              <w:left w:w="28" w:type="dxa"/>
              <w:right w:w="28" w:type="dxa"/>
            </w:tcMar>
            <w:vAlign w:val="center"/>
          </w:tcPr>
          <w:p>
            <w:pPr>
              <w:spacing w:before="20" w:after="20"/>
              <w:jc w:val="center"/>
              <w:rPr>
                <w:b/>
                <w:noProof/>
                <w:sz w:val="18"/>
                <w:szCs w:val="18"/>
              </w:rPr>
            </w:pPr>
            <w:r>
              <w:rPr>
                <w:noProof/>
                <w:sz w:val="18"/>
                <w:szCs w:val="18"/>
              </w:rPr>
              <w:t>p.m.</w:t>
            </w:r>
          </w:p>
        </w:tc>
        <w:tc>
          <w:tcPr>
            <w:tcW w:w="1054" w:type="dxa"/>
            <w:tcMar>
              <w:left w:w="28" w:type="dxa"/>
              <w:right w:w="28" w:type="dxa"/>
            </w:tcMar>
            <w:vAlign w:val="center"/>
          </w:tcPr>
          <w:p>
            <w:pPr>
              <w:spacing w:before="20" w:after="20"/>
              <w:jc w:val="center"/>
              <w:rPr>
                <w:b/>
                <w:noProof/>
                <w:sz w:val="18"/>
                <w:szCs w:val="18"/>
              </w:rPr>
            </w:pPr>
            <w:r>
              <w:rPr>
                <w:noProof/>
                <w:sz w:val="18"/>
                <w:szCs w:val="18"/>
              </w:rPr>
              <w:t>4 980,000</w:t>
            </w:r>
          </w:p>
        </w:tc>
      </w:tr>
      <w:tr>
        <w:trPr>
          <w:trHeight w:val="433"/>
          <w:jc w:val="center"/>
        </w:trPr>
        <w:tc>
          <w:tcPr>
            <w:tcW w:w="4103" w:type="dxa"/>
            <w:vMerge w:val="restart"/>
            <w:vAlign w:val="center"/>
          </w:tcPr>
          <w:p>
            <w:pPr>
              <w:spacing w:before="80" w:after="80"/>
              <w:rPr>
                <w:noProof/>
                <w:sz w:val="20"/>
                <w:szCs w:val="20"/>
              </w:rPr>
            </w:pPr>
            <w:r>
              <w:rPr>
                <w:noProof/>
                <w:sz w:val="20"/>
                <w:szCs w:val="20"/>
              </w:rPr>
              <w:t>01.040602 (2020), potom 02.050302 Európske centrum investičného poradenstva (EIAH) a Európsky portál investičných projektov (EIPP) – (technická pomoc) – Segment podpory platobnej schopnosti</w:t>
            </w:r>
          </w:p>
        </w:tc>
        <w:tc>
          <w:tcPr>
            <w:tcW w:w="1440" w:type="dxa"/>
            <w:vAlign w:val="center"/>
          </w:tcPr>
          <w:p>
            <w:pPr>
              <w:spacing w:before="20" w:after="20"/>
              <w:jc w:val="left"/>
              <w:rPr>
                <w:noProof/>
                <w:sz w:val="20"/>
                <w:szCs w:val="20"/>
              </w:rPr>
            </w:pPr>
            <w:r>
              <w:rPr>
                <w:noProof/>
                <w:sz w:val="20"/>
                <w:szCs w:val="20"/>
              </w:rPr>
              <w:t>Záväzky</w:t>
            </w:r>
          </w:p>
        </w:tc>
        <w:tc>
          <w:tcPr>
            <w:tcW w:w="654" w:type="dxa"/>
            <w:vAlign w:val="center"/>
          </w:tcPr>
          <w:p>
            <w:pPr>
              <w:spacing w:before="20" w:after="20"/>
              <w:jc w:val="center"/>
              <w:rPr>
                <w:noProof/>
                <w:sz w:val="20"/>
                <w:szCs w:val="20"/>
              </w:rPr>
            </w:pPr>
            <w:r>
              <w:rPr>
                <w:noProof/>
                <w:sz w:val="20"/>
                <w:szCs w:val="20"/>
              </w:rPr>
              <w:t>(1)</w:t>
            </w:r>
          </w:p>
        </w:tc>
        <w:tc>
          <w:tcPr>
            <w:tcW w:w="868" w:type="dxa"/>
            <w:tcMar>
              <w:left w:w="28" w:type="dxa"/>
              <w:right w:w="28" w:type="dxa"/>
            </w:tcMar>
            <w:vAlign w:val="center"/>
          </w:tcPr>
          <w:p>
            <w:pPr>
              <w:spacing w:before="20" w:after="20"/>
              <w:jc w:val="center"/>
              <w:rPr>
                <w:noProof/>
                <w:sz w:val="18"/>
                <w:szCs w:val="18"/>
              </w:rPr>
            </w:pPr>
            <w:r>
              <w:rPr>
                <w:noProof/>
                <w:sz w:val="18"/>
                <w:szCs w:val="18"/>
              </w:rPr>
              <w:t>18,000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b/>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b/>
                <w:noProof/>
                <w:sz w:val="18"/>
                <w:szCs w:val="18"/>
              </w:rPr>
            </w:pPr>
            <w:r>
              <w:rPr>
                <w:noProof/>
                <w:sz w:val="18"/>
                <w:szCs w:val="18"/>
              </w:rPr>
              <w:t>p.m.</w:t>
            </w:r>
          </w:p>
        </w:tc>
        <w:tc>
          <w:tcPr>
            <w:tcW w:w="1054" w:type="dxa"/>
            <w:tcMar>
              <w:left w:w="28" w:type="dxa"/>
              <w:right w:w="28" w:type="dxa"/>
            </w:tcMar>
            <w:vAlign w:val="center"/>
          </w:tcPr>
          <w:p>
            <w:pPr>
              <w:spacing w:before="20" w:after="20"/>
              <w:jc w:val="center"/>
              <w:rPr>
                <w:b/>
                <w:noProof/>
                <w:sz w:val="18"/>
                <w:szCs w:val="18"/>
              </w:rPr>
            </w:pPr>
            <w:r>
              <w:rPr>
                <w:noProof/>
                <w:sz w:val="18"/>
                <w:szCs w:val="18"/>
              </w:rPr>
              <w:t>18,000</w:t>
            </w:r>
          </w:p>
        </w:tc>
      </w:tr>
      <w:tr>
        <w:trPr>
          <w:trHeight w:val="411"/>
          <w:jc w:val="center"/>
        </w:trPr>
        <w:tc>
          <w:tcPr>
            <w:tcW w:w="4103" w:type="dxa"/>
            <w:vMerge/>
          </w:tcPr>
          <w:p>
            <w:pPr>
              <w:spacing w:before="80" w:after="80"/>
              <w:jc w:val="center"/>
              <w:rPr>
                <w:noProof/>
                <w:sz w:val="20"/>
                <w:szCs w:val="20"/>
              </w:rPr>
            </w:pPr>
          </w:p>
        </w:tc>
        <w:tc>
          <w:tcPr>
            <w:tcW w:w="1440" w:type="dxa"/>
            <w:vAlign w:val="center"/>
          </w:tcPr>
          <w:p>
            <w:pPr>
              <w:spacing w:before="20" w:after="20"/>
              <w:jc w:val="left"/>
              <w:rPr>
                <w:noProof/>
                <w:sz w:val="20"/>
                <w:szCs w:val="20"/>
              </w:rPr>
            </w:pPr>
            <w:r>
              <w:rPr>
                <w:noProof/>
                <w:sz w:val="20"/>
                <w:szCs w:val="20"/>
              </w:rPr>
              <w:t>Platby</w:t>
            </w:r>
          </w:p>
        </w:tc>
        <w:tc>
          <w:tcPr>
            <w:tcW w:w="654" w:type="dxa"/>
            <w:vAlign w:val="center"/>
          </w:tcPr>
          <w:p>
            <w:pPr>
              <w:spacing w:before="20" w:after="20"/>
              <w:jc w:val="center"/>
              <w:rPr>
                <w:noProof/>
                <w:sz w:val="20"/>
                <w:szCs w:val="20"/>
              </w:rPr>
            </w:pPr>
            <w:r>
              <w:rPr>
                <w:noProof/>
                <w:sz w:val="20"/>
                <w:szCs w:val="20"/>
              </w:rPr>
              <w:t>(2)</w:t>
            </w:r>
          </w:p>
        </w:tc>
        <w:tc>
          <w:tcPr>
            <w:tcW w:w="868" w:type="dxa"/>
            <w:tcMar>
              <w:left w:w="28" w:type="dxa"/>
              <w:right w:w="28" w:type="dxa"/>
            </w:tcMar>
            <w:vAlign w:val="center"/>
          </w:tcPr>
          <w:p>
            <w:pPr>
              <w:spacing w:before="20" w:after="20"/>
              <w:rPr>
                <w:noProof/>
                <w:sz w:val="18"/>
                <w:szCs w:val="18"/>
              </w:rPr>
            </w:pPr>
            <w:r>
              <w:rPr>
                <w:noProof/>
                <w:sz w:val="18"/>
                <w:szCs w:val="18"/>
              </w:rPr>
              <w:t>8,000</w:t>
            </w:r>
          </w:p>
        </w:tc>
        <w:tc>
          <w:tcPr>
            <w:tcW w:w="868" w:type="dxa"/>
            <w:tcMar>
              <w:left w:w="28" w:type="dxa"/>
              <w:right w:w="28" w:type="dxa"/>
            </w:tcMar>
            <w:vAlign w:val="center"/>
          </w:tcPr>
          <w:p>
            <w:pPr>
              <w:spacing w:before="20" w:after="20"/>
              <w:jc w:val="center"/>
              <w:rPr>
                <w:noProof/>
                <w:sz w:val="18"/>
                <w:szCs w:val="18"/>
              </w:rPr>
            </w:pPr>
            <w:r>
              <w:rPr>
                <w:noProof/>
                <w:sz w:val="18"/>
                <w:szCs w:val="18"/>
              </w:rPr>
              <w:t>10,000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1144" w:type="dxa"/>
            <w:tcMar>
              <w:left w:w="28" w:type="dxa"/>
              <w:right w:w="28" w:type="dxa"/>
            </w:tcMar>
            <w:vAlign w:val="center"/>
          </w:tcPr>
          <w:p>
            <w:pPr>
              <w:spacing w:before="20" w:after="20"/>
              <w:jc w:val="center"/>
              <w:rPr>
                <w:b/>
                <w:noProof/>
                <w:sz w:val="18"/>
                <w:szCs w:val="18"/>
              </w:rPr>
            </w:pPr>
            <w:r>
              <w:rPr>
                <w:noProof/>
                <w:sz w:val="18"/>
                <w:szCs w:val="18"/>
              </w:rPr>
              <w:t>p.m.</w:t>
            </w:r>
          </w:p>
        </w:tc>
        <w:tc>
          <w:tcPr>
            <w:tcW w:w="1054" w:type="dxa"/>
            <w:tcMar>
              <w:left w:w="28" w:type="dxa"/>
              <w:right w:w="28" w:type="dxa"/>
            </w:tcMar>
            <w:vAlign w:val="center"/>
          </w:tcPr>
          <w:p>
            <w:pPr>
              <w:spacing w:before="20" w:after="20"/>
              <w:jc w:val="center"/>
              <w:rPr>
                <w:b/>
                <w:noProof/>
                <w:sz w:val="18"/>
                <w:szCs w:val="18"/>
              </w:rPr>
            </w:pPr>
            <w:r>
              <w:rPr>
                <w:noProof/>
                <w:sz w:val="18"/>
                <w:szCs w:val="18"/>
              </w:rPr>
              <w:t>18,000</w:t>
            </w:r>
          </w:p>
        </w:tc>
      </w:tr>
      <w:tr>
        <w:trPr>
          <w:jc w:val="center"/>
        </w:trPr>
        <w:tc>
          <w:tcPr>
            <w:tcW w:w="4103" w:type="dxa"/>
            <w:vMerge w:val="restart"/>
          </w:tcPr>
          <w:p>
            <w:pPr>
              <w:spacing w:before="80" w:after="80"/>
              <w:jc w:val="left"/>
              <w:rPr>
                <w:b/>
                <w:noProof/>
                <w:sz w:val="20"/>
                <w:szCs w:val="20"/>
              </w:rPr>
            </w:pPr>
            <w:r>
              <w:rPr>
                <w:b/>
                <w:noProof/>
                <w:sz w:val="20"/>
                <w:szCs w:val="20"/>
              </w:rPr>
              <w:t>Rozpočtové prostriedky na finančné krytie programu SPOLU</w:t>
            </w:r>
          </w:p>
        </w:tc>
        <w:tc>
          <w:tcPr>
            <w:tcW w:w="1440" w:type="dxa"/>
            <w:vAlign w:val="center"/>
          </w:tcPr>
          <w:p>
            <w:pPr>
              <w:jc w:val="left"/>
              <w:rPr>
                <w:noProof/>
                <w:sz w:val="20"/>
                <w:szCs w:val="20"/>
              </w:rPr>
            </w:pPr>
            <w:r>
              <w:rPr>
                <w:noProof/>
                <w:sz w:val="20"/>
                <w:szCs w:val="20"/>
              </w:rPr>
              <w:t>Záväzky</w:t>
            </w:r>
          </w:p>
        </w:tc>
        <w:tc>
          <w:tcPr>
            <w:tcW w:w="654" w:type="dxa"/>
            <w:vAlign w:val="center"/>
          </w:tcPr>
          <w:p>
            <w:pPr>
              <w:jc w:val="center"/>
              <w:rPr>
                <w:noProof/>
                <w:sz w:val="20"/>
                <w:szCs w:val="20"/>
              </w:rPr>
            </w:pPr>
            <w:r>
              <w:rPr>
                <w:noProof/>
                <w:sz w:val="20"/>
                <w:szCs w:val="20"/>
              </w:rPr>
              <w:t>= 1 + 3</w:t>
            </w:r>
          </w:p>
        </w:tc>
        <w:tc>
          <w:tcPr>
            <w:tcW w:w="868" w:type="dxa"/>
            <w:tcMar>
              <w:left w:w="28" w:type="dxa"/>
              <w:right w:w="28" w:type="dxa"/>
            </w:tcMar>
            <w:vAlign w:val="center"/>
          </w:tcPr>
          <w:p>
            <w:pPr>
              <w:spacing w:before="20" w:after="20"/>
              <w:jc w:val="center"/>
              <w:rPr>
                <w:noProof/>
                <w:sz w:val="18"/>
                <w:szCs w:val="18"/>
              </w:rPr>
            </w:pPr>
            <w:r>
              <w:rPr>
                <w:noProof/>
                <w:sz w:val="18"/>
                <w:szCs w:val="18"/>
              </w:rPr>
              <w:t>5 500,000</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868" w:type="dxa"/>
            <w:tcMar>
              <w:left w:w="28" w:type="dxa"/>
              <w:right w:w="28" w:type="dxa"/>
            </w:tcMar>
            <w:vAlign w:val="center"/>
          </w:tcPr>
          <w:p>
            <w:pPr>
              <w:spacing w:before="20" w:after="20"/>
              <w:jc w:val="center"/>
              <w:rPr>
                <w:noProof/>
                <w:sz w:val="18"/>
                <w:szCs w:val="18"/>
              </w:rPr>
            </w:pPr>
            <w:r>
              <w:rPr>
                <w:noProof/>
                <w:sz w:val="18"/>
                <w:szCs w:val="18"/>
              </w:rPr>
              <w:t>p.m.</w:t>
            </w:r>
          </w:p>
        </w:tc>
        <w:tc>
          <w:tcPr>
            <w:tcW w:w="1144" w:type="dxa"/>
            <w:shd w:val="clear" w:color="auto" w:fill="A6A6A6" w:themeFill="background1" w:themeFillShade="A6"/>
            <w:tcMar>
              <w:left w:w="28" w:type="dxa"/>
              <w:right w:w="28" w:type="dxa"/>
            </w:tcMar>
            <w:vAlign w:val="center"/>
          </w:tcPr>
          <w:p>
            <w:pPr>
              <w:spacing w:before="20" w:after="20"/>
              <w:jc w:val="center"/>
              <w:rPr>
                <w:b/>
                <w:noProof/>
                <w:sz w:val="18"/>
                <w:szCs w:val="18"/>
              </w:rPr>
            </w:pPr>
            <w:r>
              <w:rPr>
                <w:noProof/>
                <w:sz w:val="18"/>
                <w:szCs w:val="18"/>
              </w:rPr>
              <w:t>p.m.</w:t>
            </w:r>
          </w:p>
        </w:tc>
        <w:tc>
          <w:tcPr>
            <w:tcW w:w="1054" w:type="dxa"/>
            <w:tcMar>
              <w:left w:w="28" w:type="dxa"/>
              <w:right w:w="28" w:type="dxa"/>
            </w:tcMar>
            <w:vAlign w:val="center"/>
          </w:tcPr>
          <w:p>
            <w:pPr>
              <w:spacing w:before="20" w:after="20"/>
              <w:jc w:val="center"/>
              <w:rPr>
                <w:b/>
                <w:noProof/>
                <w:sz w:val="18"/>
                <w:szCs w:val="18"/>
              </w:rPr>
            </w:pPr>
            <w:r>
              <w:rPr>
                <w:noProof/>
                <w:sz w:val="18"/>
                <w:szCs w:val="18"/>
              </w:rPr>
              <w:t>5 500,000</w:t>
            </w:r>
          </w:p>
        </w:tc>
      </w:tr>
      <w:tr>
        <w:trPr>
          <w:jc w:val="center"/>
        </w:trPr>
        <w:tc>
          <w:tcPr>
            <w:tcW w:w="4103" w:type="dxa"/>
            <w:vMerge/>
          </w:tcPr>
          <w:p>
            <w:pPr>
              <w:rPr>
                <w:noProof/>
                <w:sz w:val="20"/>
                <w:szCs w:val="20"/>
              </w:rPr>
            </w:pPr>
          </w:p>
        </w:tc>
        <w:tc>
          <w:tcPr>
            <w:tcW w:w="1440" w:type="dxa"/>
            <w:vAlign w:val="center"/>
          </w:tcPr>
          <w:p>
            <w:pPr>
              <w:jc w:val="left"/>
              <w:rPr>
                <w:noProof/>
                <w:sz w:val="20"/>
                <w:szCs w:val="20"/>
              </w:rPr>
            </w:pPr>
            <w:r>
              <w:rPr>
                <w:noProof/>
                <w:sz w:val="20"/>
                <w:szCs w:val="20"/>
              </w:rPr>
              <w:t>Platby</w:t>
            </w:r>
          </w:p>
        </w:tc>
        <w:tc>
          <w:tcPr>
            <w:tcW w:w="654" w:type="dxa"/>
            <w:vAlign w:val="center"/>
          </w:tcPr>
          <w:p>
            <w:pPr>
              <w:jc w:val="center"/>
              <w:rPr>
                <w:noProof/>
                <w:sz w:val="20"/>
                <w:szCs w:val="20"/>
              </w:rPr>
            </w:pPr>
            <w:r>
              <w:rPr>
                <w:noProof/>
                <w:sz w:val="20"/>
                <w:szCs w:val="20"/>
              </w:rPr>
              <w:t>= 2 + 3</w:t>
            </w:r>
          </w:p>
        </w:tc>
        <w:tc>
          <w:tcPr>
            <w:tcW w:w="868" w:type="dxa"/>
            <w:tcMar>
              <w:left w:w="28" w:type="dxa"/>
              <w:right w:w="28" w:type="dxa"/>
            </w:tcMar>
          </w:tcPr>
          <w:p>
            <w:pPr>
              <w:spacing w:before="20" w:after="20"/>
              <w:jc w:val="center"/>
              <w:rPr>
                <w:noProof/>
                <w:sz w:val="18"/>
                <w:szCs w:val="18"/>
              </w:rPr>
            </w:pPr>
            <w:r>
              <w:rPr>
                <w:noProof/>
                <w:sz w:val="18"/>
                <w:szCs w:val="18"/>
              </w:rPr>
              <w:t>3 000,000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tcPr>
          <w:p>
            <w:pPr>
              <w:spacing w:before="20" w:after="20"/>
              <w:jc w:val="center"/>
              <w:rPr>
                <w:noProof/>
                <w:sz w:val="18"/>
                <w:szCs w:val="18"/>
              </w:rPr>
            </w:pPr>
            <w:r>
              <w:rPr>
                <w:noProof/>
                <w:sz w:val="18"/>
                <w:szCs w:val="18"/>
              </w:rPr>
              <w:t>500,000</w:t>
            </w:r>
          </w:p>
        </w:tc>
        <w:tc>
          <w:tcPr>
            <w:tcW w:w="868" w:type="dxa"/>
            <w:tcMar>
              <w:left w:w="28" w:type="dxa"/>
              <w:right w:w="28" w:type="dxa"/>
            </w:tcMar>
            <w:vAlign w:val="center"/>
          </w:tcPr>
          <w:p>
            <w:pPr>
              <w:spacing w:before="20" w:after="20"/>
              <w:jc w:val="center"/>
              <w:rPr>
                <w:b/>
                <w:noProof/>
                <w:sz w:val="18"/>
                <w:szCs w:val="18"/>
              </w:rPr>
            </w:pPr>
            <w:r>
              <w:rPr>
                <w:noProof/>
                <w:sz w:val="18"/>
                <w:szCs w:val="18"/>
              </w:rPr>
              <w:t>p.m.</w:t>
            </w:r>
          </w:p>
        </w:tc>
        <w:tc>
          <w:tcPr>
            <w:tcW w:w="1144" w:type="dxa"/>
            <w:tcMar>
              <w:left w:w="28" w:type="dxa"/>
              <w:right w:w="28" w:type="dxa"/>
            </w:tcMar>
            <w:vAlign w:val="center"/>
          </w:tcPr>
          <w:p>
            <w:pPr>
              <w:spacing w:before="20" w:after="20"/>
              <w:jc w:val="center"/>
              <w:rPr>
                <w:b/>
                <w:noProof/>
                <w:sz w:val="18"/>
                <w:szCs w:val="18"/>
              </w:rPr>
            </w:pPr>
            <w:r>
              <w:rPr>
                <w:noProof/>
                <w:sz w:val="18"/>
                <w:szCs w:val="18"/>
              </w:rPr>
              <w:t>p.m.</w:t>
            </w:r>
          </w:p>
        </w:tc>
        <w:tc>
          <w:tcPr>
            <w:tcW w:w="1054" w:type="dxa"/>
            <w:tcMar>
              <w:left w:w="28" w:type="dxa"/>
              <w:right w:w="28" w:type="dxa"/>
            </w:tcMar>
            <w:vAlign w:val="center"/>
          </w:tcPr>
          <w:p>
            <w:pPr>
              <w:spacing w:before="20" w:after="20"/>
              <w:jc w:val="center"/>
              <w:rPr>
                <w:b/>
                <w:noProof/>
                <w:sz w:val="18"/>
                <w:szCs w:val="18"/>
              </w:rPr>
            </w:pPr>
            <w:r>
              <w:rPr>
                <w:noProof/>
                <w:sz w:val="18"/>
                <w:szCs w:val="18"/>
              </w:rPr>
              <w:t>5 500,000</w:t>
            </w:r>
          </w:p>
        </w:tc>
      </w:tr>
    </w:tbl>
    <w:p>
      <w:pPr>
        <w:rPr>
          <w:iCs/>
          <w:noProof/>
        </w:rPr>
      </w:pPr>
      <w:r>
        <w:rPr>
          <w:noProof/>
        </w:rPr>
        <w:br/>
      </w:r>
      <w:r>
        <w:rPr>
          <w:noProof/>
        </w:rPr>
        <w:br/>
        <w:t>Okrem finančného krytia prideleného na záruku EFSI podľa nariadenia (EÚ) 2015/1017 (nariadenie o EFSI) bude k dispozícii 28 318,160 milióna EUR (v bežných cenách) ako vonkajšie pripísané príjmy v zmysle článku 21 ods. 5 nariadenia o rozpočtových pravidlách ako financovanie z Nástroja Európskej únie na obnovu. Z toho môže byť až 6,520 milióna EUR vyhradených na administratívne výdavky vrátane nákladov na externých zamestnancov.</w:t>
      </w:r>
    </w:p>
    <w:p>
      <w:pPr>
        <w:rPr>
          <w:iCs/>
          <w:noProof/>
        </w:rPr>
      </w:pPr>
    </w:p>
    <w:p>
      <w:pPr>
        <w:rPr>
          <w:noProof/>
        </w:rPr>
      </w:pPr>
      <w:r>
        <w:rPr>
          <w:noProof/>
        </w:rPr>
        <w:t xml:space="preserve">Bude potrebná osobitná suma 80 miliónov EUR na pokrytie prevádzkových nákladov spojených s vytváraním a riadením štruktúr (kapitálových fondov, účelovo vytvorených subjektov, investičných platforiem a iných), prostredníctvom ktorých sa má poskytovať podpora v rámci segmentu podpory platobnej schopnosti, a na súvisiace poradenské služby a technickú pomoc vrátane administratívnej pomoci. V súlade s ustanoveniami nariadenia EURI sa právne záväzky pokryté vonkajšími pripísanými príjmami, ktoré pochádzajú z pôžičiek, zaznamenajú do 31. decembra 2024. </w:t>
      </w:r>
    </w:p>
    <w:p>
      <w:pPr>
        <w:rPr>
          <w:noProof/>
        </w:rPr>
      </w:pPr>
      <w:r>
        <w:rPr>
          <w:noProof/>
        </w:rPr>
        <w:t>Orientačné členenie výdavkov z vonkajších pripísaných príjmov je takéto:</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530"/>
        <w:gridCol w:w="918"/>
        <w:gridCol w:w="918"/>
        <w:gridCol w:w="918"/>
        <w:gridCol w:w="905"/>
        <w:gridCol w:w="931"/>
        <w:gridCol w:w="918"/>
        <w:gridCol w:w="918"/>
        <w:gridCol w:w="958"/>
        <w:gridCol w:w="1045"/>
      </w:tblGrid>
      <w:tr>
        <w:trPr>
          <w:trHeight w:val="487"/>
        </w:trPr>
        <w:tc>
          <w:tcPr>
            <w:tcW w:w="3227" w:type="dxa"/>
            <w:vAlign w:val="center"/>
          </w:tcPr>
          <w:p>
            <w:pPr>
              <w:jc w:val="center"/>
              <w:rPr>
                <w:noProof/>
              </w:rPr>
            </w:pPr>
            <w:r>
              <w:rPr>
                <w:noProof/>
                <w:sz w:val="22"/>
              </w:rPr>
              <w:t>EFSI – nástroj pre platobnú schopnosť</w:t>
            </w:r>
          </w:p>
        </w:tc>
        <w:tc>
          <w:tcPr>
            <w:tcW w:w="1417" w:type="dxa"/>
          </w:tcPr>
          <w:p>
            <w:pPr>
              <w:rPr>
                <w:noProof/>
                <w:sz w:val="16"/>
                <w:szCs w:val="16"/>
              </w:rPr>
            </w:pPr>
          </w:p>
        </w:tc>
        <w:tc>
          <w:tcPr>
            <w:tcW w:w="530" w:type="dxa"/>
          </w:tcPr>
          <w:p>
            <w:pPr>
              <w:jc w:val="center"/>
              <w:rPr>
                <w:noProof/>
                <w:sz w:val="16"/>
                <w:szCs w:val="16"/>
              </w:rPr>
            </w:pPr>
          </w:p>
        </w:tc>
        <w:tc>
          <w:tcPr>
            <w:tcW w:w="918" w:type="dxa"/>
            <w:vAlign w:val="center"/>
          </w:tcPr>
          <w:p>
            <w:pPr>
              <w:jc w:val="center"/>
              <w:rPr>
                <w:noProof/>
                <w:sz w:val="16"/>
                <w:szCs w:val="16"/>
              </w:rPr>
            </w:pPr>
            <w:r>
              <w:rPr>
                <w:b/>
                <w:noProof/>
                <w:sz w:val="16"/>
                <w:szCs w:val="16"/>
              </w:rPr>
              <w:t>2021</w:t>
            </w:r>
          </w:p>
        </w:tc>
        <w:tc>
          <w:tcPr>
            <w:tcW w:w="918" w:type="dxa"/>
            <w:vAlign w:val="center"/>
          </w:tcPr>
          <w:p>
            <w:pPr>
              <w:jc w:val="center"/>
              <w:rPr>
                <w:noProof/>
                <w:sz w:val="16"/>
                <w:szCs w:val="16"/>
              </w:rPr>
            </w:pPr>
            <w:r>
              <w:rPr>
                <w:b/>
                <w:noProof/>
                <w:sz w:val="16"/>
                <w:szCs w:val="16"/>
              </w:rPr>
              <w:t>2022</w:t>
            </w:r>
          </w:p>
        </w:tc>
        <w:tc>
          <w:tcPr>
            <w:tcW w:w="918" w:type="dxa"/>
            <w:vAlign w:val="center"/>
          </w:tcPr>
          <w:p>
            <w:pPr>
              <w:jc w:val="center"/>
              <w:rPr>
                <w:noProof/>
                <w:sz w:val="16"/>
                <w:szCs w:val="16"/>
              </w:rPr>
            </w:pPr>
            <w:r>
              <w:rPr>
                <w:b/>
                <w:noProof/>
                <w:sz w:val="16"/>
                <w:szCs w:val="16"/>
              </w:rPr>
              <w:t>2023</w:t>
            </w:r>
          </w:p>
        </w:tc>
        <w:tc>
          <w:tcPr>
            <w:tcW w:w="905" w:type="dxa"/>
            <w:vAlign w:val="center"/>
          </w:tcPr>
          <w:p>
            <w:pPr>
              <w:jc w:val="center"/>
              <w:rPr>
                <w:noProof/>
                <w:sz w:val="16"/>
                <w:szCs w:val="16"/>
              </w:rPr>
            </w:pPr>
            <w:r>
              <w:rPr>
                <w:b/>
                <w:noProof/>
                <w:sz w:val="16"/>
                <w:szCs w:val="16"/>
              </w:rPr>
              <w:t>2024</w:t>
            </w:r>
          </w:p>
        </w:tc>
        <w:tc>
          <w:tcPr>
            <w:tcW w:w="931" w:type="dxa"/>
            <w:vAlign w:val="center"/>
          </w:tcPr>
          <w:p>
            <w:pPr>
              <w:jc w:val="center"/>
              <w:rPr>
                <w:b/>
                <w:noProof/>
                <w:sz w:val="16"/>
                <w:szCs w:val="16"/>
              </w:rPr>
            </w:pPr>
            <w:r>
              <w:rPr>
                <w:b/>
                <w:noProof/>
                <w:sz w:val="16"/>
                <w:szCs w:val="16"/>
              </w:rPr>
              <w:t>2025</w:t>
            </w:r>
          </w:p>
        </w:tc>
        <w:tc>
          <w:tcPr>
            <w:tcW w:w="918" w:type="dxa"/>
            <w:vAlign w:val="center"/>
          </w:tcPr>
          <w:p>
            <w:pPr>
              <w:jc w:val="center"/>
              <w:rPr>
                <w:b/>
                <w:noProof/>
                <w:sz w:val="16"/>
                <w:szCs w:val="16"/>
              </w:rPr>
            </w:pPr>
            <w:r>
              <w:rPr>
                <w:b/>
                <w:noProof/>
                <w:sz w:val="16"/>
                <w:szCs w:val="16"/>
              </w:rPr>
              <w:t>2026</w:t>
            </w:r>
          </w:p>
        </w:tc>
        <w:tc>
          <w:tcPr>
            <w:tcW w:w="918" w:type="dxa"/>
            <w:vAlign w:val="center"/>
          </w:tcPr>
          <w:p>
            <w:pPr>
              <w:jc w:val="center"/>
              <w:rPr>
                <w:b/>
                <w:noProof/>
                <w:sz w:val="16"/>
                <w:szCs w:val="16"/>
              </w:rPr>
            </w:pPr>
            <w:r>
              <w:rPr>
                <w:b/>
                <w:noProof/>
                <w:sz w:val="16"/>
                <w:szCs w:val="16"/>
              </w:rPr>
              <w:t>2027</w:t>
            </w:r>
          </w:p>
        </w:tc>
        <w:tc>
          <w:tcPr>
            <w:tcW w:w="958" w:type="dxa"/>
          </w:tcPr>
          <w:p>
            <w:pPr>
              <w:jc w:val="center"/>
              <w:rPr>
                <w:b/>
                <w:noProof/>
                <w:sz w:val="16"/>
                <w:szCs w:val="16"/>
              </w:rPr>
            </w:pPr>
            <w:r>
              <w:rPr>
                <w:b/>
                <w:i/>
                <w:noProof/>
                <w:sz w:val="16"/>
                <w:szCs w:val="16"/>
              </w:rPr>
              <w:t>Po roku 2027</w:t>
            </w:r>
          </w:p>
        </w:tc>
        <w:tc>
          <w:tcPr>
            <w:tcW w:w="1045" w:type="dxa"/>
            <w:vAlign w:val="center"/>
          </w:tcPr>
          <w:p>
            <w:pPr>
              <w:jc w:val="center"/>
              <w:rPr>
                <w:b/>
                <w:noProof/>
                <w:sz w:val="16"/>
                <w:szCs w:val="16"/>
              </w:rPr>
            </w:pPr>
            <w:r>
              <w:rPr>
                <w:b/>
                <w:noProof/>
                <w:sz w:val="16"/>
                <w:szCs w:val="16"/>
              </w:rPr>
              <w:t>SPOLU</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Prevádzkové výdavky z vonkajších pripísaných príjmov EURI</w:t>
            </w:r>
          </w:p>
        </w:tc>
        <w:tc>
          <w:tcPr>
            <w:tcW w:w="1417" w:type="dxa"/>
            <w:tcBorders>
              <w:top w:val="single" w:sz="4" w:space="0" w:color="auto"/>
              <w:left w:val="single" w:sz="4" w:space="0" w:color="auto"/>
              <w:bottom w:val="single" w:sz="4" w:space="0" w:color="auto"/>
              <w:right w:val="single" w:sz="4" w:space="0" w:color="auto"/>
            </w:tcBorders>
          </w:tcPr>
          <w:p>
            <w:pPr>
              <w:rPr>
                <w:noProof/>
                <w:sz w:val="16"/>
                <w:szCs w:val="16"/>
              </w:rPr>
            </w:pPr>
            <w:r>
              <w:rPr>
                <w:noProof/>
                <w:sz w:val="16"/>
                <w:szCs w:val="16"/>
              </w:rPr>
              <w:t>Záväzky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16"/>
                <w:szCs w:val="16"/>
              </w:rPr>
            </w:pPr>
            <w:r>
              <w:rPr>
                <w:noProof/>
                <w:sz w:val="16"/>
                <w:szCs w:val="16"/>
              </w:rPr>
              <w:t>(1)</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8 275,120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8 441,120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5 740,120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5 855,280</w:t>
            </w:r>
          </w:p>
        </w:tc>
        <w:tc>
          <w:tcPr>
            <w:tcW w:w="931"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b/>
                <w:noProof/>
                <w:sz w:val="16"/>
                <w:szCs w:val="16"/>
              </w:rPr>
              <w:t>28 311,640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16"/>
                <w:szCs w:val="16"/>
              </w:rPr>
            </w:pPr>
            <w:r>
              <w:rPr>
                <w:noProof/>
                <w:sz w:val="16"/>
                <w:szCs w:val="16"/>
              </w:rPr>
              <w:t>Platby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16"/>
                <w:szCs w:val="16"/>
              </w:rPr>
            </w:pPr>
            <w:r>
              <w:rPr>
                <w:noProof/>
                <w:sz w:val="16"/>
                <w:szCs w:val="16"/>
              </w:rPr>
              <w:t>(2)</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4 717,773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4 718,773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4 718,773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3 539,080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3 539,080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b/>
                <w:noProof/>
                <w:sz w:val="16"/>
                <w:szCs w:val="16"/>
              </w:rPr>
              <w:t>28 311,640</w:t>
            </w:r>
          </w:p>
        </w:tc>
      </w:tr>
      <w:tr>
        <w:trPr>
          <w:trHeight w:val="744"/>
        </w:trPr>
        <w:tc>
          <w:tcPr>
            <w:tcW w:w="3227"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 xml:space="preserve">Administratívne podporné výdavky z vonkajších pripísaných príjmov EURI </w:t>
            </w:r>
          </w:p>
        </w:tc>
        <w:tc>
          <w:tcPr>
            <w:tcW w:w="1417" w:type="dxa"/>
            <w:tcBorders>
              <w:top w:val="single" w:sz="4" w:space="0" w:color="auto"/>
              <w:left w:val="single" w:sz="4" w:space="0" w:color="auto"/>
              <w:bottom w:val="single" w:sz="4" w:space="0" w:color="auto"/>
              <w:right w:val="single" w:sz="4" w:space="0" w:color="auto"/>
            </w:tcBorders>
            <w:vAlign w:val="center"/>
          </w:tcPr>
          <w:p>
            <w:pPr>
              <w:rPr>
                <w:noProof/>
                <w:sz w:val="16"/>
                <w:szCs w:val="16"/>
              </w:rPr>
            </w:pPr>
            <w:r>
              <w:rPr>
                <w:noProof/>
                <w:sz w:val="16"/>
                <w:szCs w:val="16"/>
              </w:rPr>
              <w:t>Záväzky = Platby</w:t>
            </w:r>
          </w:p>
        </w:tc>
        <w:tc>
          <w:tcPr>
            <w:tcW w:w="530" w:type="dxa"/>
            <w:tcBorders>
              <w:top w:val="single" w:sz="4" w:space="0" w:color="auto"/>
              <w:left w:val="single" w:sz="4" w:space="0" w:color="auto"/>
              <w:bottom w:val="single" w:sz="4" w:space="0" w:color="auto"/>
              <w:right w:val="single" w:sz="4" w:space="0" w:color="auto"/>
            </w:tcBorders>
            <w:vAlign w:val="center"/>
          </w:tcPr>
          <w:p>
            <w:pPr>
              <w:jc w:val="center"/>
              <w:rPr>
                <w:noProof/>
                <w:sz w:val="16"/>
                <w:szCs w:val="16"/>
              </w:rPr>
            </w:pPr>
            <w:r>
              <w:rPr>
                <w:noProof/>
                <w:sz w:val="16"/>
                <w:szCs w:val="16"/>
              </w:rPr>
              <w:t>(3)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1,880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0,880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0,720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b/>
                <w:noProof/>
                <w:sz w:val="16"/>
                <w:szCs w:val="16"/>
              </w:rPr>
              <w:t>6,520</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Vonkajšie pripísané príjmy spolu</w:t>
            </w:r>
          </w:p>
        </w:tc>
        <w:tc>
          <w:tcPr>
            <w:tcW w:w="1417" w:type="dxa"/>
            <w:tcBorders>
              <w:top w:val="single" w:sz="4" w:space="0" w:color="auto"/>
              <w:left w:val="single" w:sz="4" w:space="0" w:color="auto"/>
              <w:bottom w:val="single" w:sz="4" w:space="0" w:color="auto"/>
              <w:right w:val="single" w:sz="4" w:space="0" w:color="auto"/>
            </w:tcBorders>
          </w:tcPr>
          <w:p>
            <w:pPr>
              <w:rPr>
                <w:noProof/>
                <w:sz w:val="16"/>
                <w:szCs w:val="16"/>
              </w:rPr>
            </w:pPr>
            <w:r>
              <w:rPr>
                <w:noProof/>
                <w:sz w:val="16"/>
                <w:szCs w:val="16"/>
              </w:rPr>
              <w:t>Záväzky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16"/>
                <w:szCs w:val="16"/>
              </w:rPr>
            </w:pPr>
            <w:r>
              <w:rPr>
                <w:noProof/>
                <w:sz w:val="16"/>
                <w:szCs w:val="16"/>
              </w:rPr>
              <w:t>= 1 + 3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8 277,000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8 442,000</w:t>
            </w:r>
          </w:p>
        </w:tc>
        <w:tc>
          <w:tcPr>
            <w:tcW w:w="918" w:type="dxa"/>
            <w:tcBorders>
              <w:top w:val="single" w:sz="4" w:space="0" w:color="auto"/>
              <w:left w:val="single" w:sz="4" w:space="0" w:color="auto"/>
              <w:bottom w:val="single" w:sz="4" w:space="0" w:color="auto"/>
              <w:right w:val="single" w:sz="4" w:space="0" w:color="auto"/>
            </w:tcBorders>
          </w:tcPr>
          <w:p>
            <w:pPr>
              <w:rPr>
                <w:b/>
                <w:noProof/>
                <w:sz w:val="16"/>
                <w:szCs w:val="16"/>
              </w:rPr>
            </w:pPr>
            <w:r>
              <w:rPr>
                <w:noProof/>
                <w:sz w:val="16"/>
                <w:szCs w:val="16"/>
              </w:rPr>
              <w:t>5 741,000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5 856,000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b/>
                <w:noProof/>
                <w:sz w:val="16"/>
                <w:szCs w:val="16"/>
              </w:rPr>
              <w:t>28 318,160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16"/>
                <w:szCs w:val="16"/>
              </w:rPr>
            </w:pPr>
            <w:r>
              <w:rPr>
                <w:noProof/>
                <w:sz w:val="16"/>
                <w:szCs w:val="16"/>
              </w:rPr>
              <w:t>Platby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16"/>
                <w:szCs w:val="16"/>
              </w:rPr>
            </w:pPr>
            <w:r>
              <w:rPr>
                <w:noProof/>
                <w:sz w:val="16"/>
                <w:szCs w:val="16"/>
              </w:rPr>
              <w:t>= 2 + 3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4 719,653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3 539,800</w:t>
            </w:r>
          </w:p>
        </w:tc>
        <w:tc>
          <w:tcPr>
            <w:tcW w:w="931" w:type="dxa"/>
            <w:tcBorders>
              <w:top w:val="single" w:sz="4" w:space="0" w:color="auto"/>
              <w:left w:val="single" w:sz="4" w:space="0" w:color="auto"/>
              <w:bottom w:val="single" w:sz="4" w:space="0" w:color="auto"/>
              <w:right w:val="single" w:sz="4" w:space="0" w:color="auto"/>
            </w:tcBorders>
          </w:tcPr>
          <w:p>
            <w:pPr>
              <w:rPr>
                <w:b/>
                <w:noProof/>
                <w:sz w:val="16"/>
                <w:szCs w:val="16"/>
              </w:rPr>
            </w:pPr>
            <w:r>
              <w:rPr>
                <w:noProof/>
                <w:sz w:val="16"/>
                <w:szCs w:val="16"/>
              </w:rPr>
              <w:t>3 539,800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3 539,800</w:t>
            </w:r>
          </w:p>
        </w:tc>
        <w:tc>
          <w:tcPr>
            <w:tcW w:w="918" w:type="dxa"/>
            <w:tcBorders>
              <w:top w:val="single" w:sz="4" w:space="0" w:color="auto"/>
              <w:left w:val="single" w:sz="4" w:space="0" w:color="auto"/>
              <w:bottom w:val="single" w:sz="4" w:space="0" w:color="auto"/>
              <w:right w:val="single" w:sz="4" w:space="0" w:color="auto"/>
            </w:tcBorders>
          </w:tcPr>
          <w:p>
            <w:pPr>
              <w:rPr>
                <w:b/>
                <w:noProof/>
                <w:sz w:val="16"/>
                <w:szCs w:val="16"/>
              </w:rPr>
            </w:pPr>
            <w:r>
              <w:rPr>
                <w:noProof/>
                <w:sz w:val="16"/>
                <w:szCs w:val="16"/>
              </w:rPr>
              <w:t>3 539,800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b/>
                <w:noProof/>
                <w:sz w:val="16"/>
                <w:szCs w:val="16"/>
              </w:rPr>
              <w:t>28 318,160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keepLines/>
              <w:spacing w:before="60" w:after="60"/>
              <w:jc w:val="center"/>
              <w:rPr>
                <w:b/>
                <w:noProof/>
                <w:sz w:val="22"/>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keepNext/>
              <w:keepLines/>
              <w:spacing w:before="60" w:after="60"/>
              <w:jc w:val="center"/>
              <w:rPr>
                <w:noProof/>
                <w:sz w:val="22"/>
              </w:rPr>
            </w:pPr>
            <w:r>
              <w:rPr>
                <w:b/>
                <w:noProof/>
                <w:sz w:val="22"/>
              </w:rPr>
              <w:t>5 / 7</w:t>
            </w:r>
          </w:p>
        </w:tc>
        <w:tc>
          <w:tcPr>
            <w:tcW w:w="7817" w:type="dxa"/>
            <w:vAlign w:val="center"/>
          </w:tcPr>
          <w:p>
            <w:pPr>
              <w:keepNext/>
              <w:keepLines/>
              <w:spacing w:before="60" w:after="60"/>
              <w:rPr>
                <w:noProof/>
                <w:sz w:val="22"/>
              </w:rPr>
            </w:pPr>
            <w:r>
              <w:rPr>
                <w:noProof/>
                <w:sz w:val="22"/>
              </w:rPr>
              <w:t>„Administratívne výdavky“</w:t>
            </w:r>
          </w:p>
        </w:tc>
      </w:tr>
    </w:tbl>
    <w:p>
      <w:pPr>
        <w:jc w:val="right"/>
        <w:rPr>
          <w:noProof/>
          <w:sz w:val="20"/>
        </w:rPr>
      </w:pPr>
      <w:r>
        <w:rPr>
          <w:noProof/>
          <w:sz w:val="20"/>
        </w:rPr>
        <w:t>v mil. EUR (zaokrúhlené na tri desatinné miesta)</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gridSpan w:val="2"/>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tcPr>
          <w:p>
            <w:pPr>
              <w:jc w:val="center"/>
              <w:rPr>
                <w:noProof/>
                <w:sz w:val="20"/>
              </w:rPr>
            </w:pPr>
            <w:r>
              <w:rPr>
                <w:noProof/>
                <w:sz w:val="20"/>
              </w:rPr>
              <w:t>Rok 2023</w:t>
            </w:r>
          </w:p>
        </w:tc>
        <w:tc>
          <w:tcPr>
            <w:tcW w:w="868" w:type="dxa"/>
            <w:vAlign w:val="center"/>
          </w:tcPr>
          <w:p>
            <w:pPr>
              <w:jc w:val="center"/>
              <w:rPr>
                <w:noProof/>
                <w:sz w:val="20"/>
              </w:rPr>
            </w:pPr>
            <w:r>
              <w:rPr>
                <w:noProof/>
                <w:sz w:val="20"/>
              </w:rPr>
              <w:t>Rok</w:t>
            </w:r>
            <w:r>
              <w:rPr>
                <w:noProof/>
                <w:sz w:val="22"/>
              </w:rPr>
              <w:br/>
            </w:r>
            <w:r>
              <w:rPr>
                <w:b/>
                <w:noProof/>
                <w:sz w:val="20"/>
              </w:rPr>
              <w:t>2024</w:t>
            </w:r>
          </w:p>
        </w:tc>
        <w:tc>
          <w:tcPr>
            <w:tcW w:w="868" w:type="dxa"/>
            <w:vAlign w:val="center"/>
          </w:tcPr>
          <w:p>
            <w:pPr>
              <w:jc w:val="center"/>
              <w:rPr>
                <w:noProof/>
                <w:sz w:val="18"/>
              </w:rPr>
            </w:pPr>
            <w:r>
              <w:rPr>
                <w:noProof/>
                <w:sz w:val="18"/>
              </w:rPr>
              <w:t>Rok 2025</w:t>
            </w:r>
          </w:p>
        </w:tc>
        <w:tc>
          <w:tcPr>
            <w:tcW w:w="868" w:type="dxa"/>
            <w:vAlign w:val="center"/>
          </w:tcPr>
          <w:p>
            <w:pPr>
              <w:jc w:val="center"/>
              <w:rPr>
                <w:b/>
                <w:noProof/>
                <w:sz w:val="18"/>
              </w:rPr>
            </w:pPr>
            <w:r>
              <w:rPr>
                <w:noProof/>
                <w:sz w:val="18"/>
              </w:rPr>
              <w:t>Rok 2026</w:t>
            </w:r>
          </w:p>
        </w:tc>
        <w:tc>
          <w:tcPr>
            <w:tcW w:w="868" w:type="dxa"/>
            <w:vAlign w:val="center"/>
          </w:tcPr>
          <w:p>
            <w:pPr>
              <w:jc w:val="center"/>
              <w:rPr>
                <w:b/>
                <w:noProof/>
                <w:sz w:val="18"/>
              </w:rPr>
            </w:pPr>
            <w:r>
              <w:rPr>
                <w:noProof/>
                <w:sz w:val="18"/>
              </w:rPr>
              <w:t>Rok 2027</w:t>
            </w:r>
          </w:p>
        </w:tc>
        <w:tc>
          <w:tcPr>
            <w:tcW w:w="1777" w:type="dxa"/>
            <w:vAlign w:val="center"/>
          </w:tcPr>
          <w:p>
            <w:pPr>
              <w:jc w:val="center"/>
              <w:rPr>
                <w:b/>
                <w:noProof/>
                <w:sz w:val="20"/>
              </w:rPr>
            </w:pPr>
            <w:r>
              <w:rPr>
                <w:b/>
                <w:noProof/>
                <w:sz w:val="20"/>
              </w:rPr>
              <w:t>SPOLU</w:t>
            </w:r>
          </w:p>
        </w:tc>
      </w:tr>
      <w:tr>
        <w:trPr>
          <w:gridAfter w:val="11"/>
          <w:wAfter w:w="9947" w:type="dxa"/>
        </w:trPr>
        <w:tc>
          <w:tcPr>
            <w:tcW w:w="3960" w:type="dxa"/>
            <w:vAlign w:val="center"/>
          </w:tcPr>
          <w:p>
            <w:pPr>
              <w:spacing w:before="60" w:after="60"/>
              <w:jc w:val="center"/>
              <w:rPr>
                <w:noProof/>
                <w:sz w:val="22"/>
              </w:rPr>
            </w:pPr>
            <w:r>
              <w:rPr>
                <w:noProof/>
                <w:sz w:val="22"/>
              </w:rPr>
              <w:t>GR: ECFIN</w:t>
            </w:r>
          </w:p>
        </w:tc>
        <w:tc>
          <w:tcPr>
            <w:tcW w:w="868" w:type="dxa"/>
          </w:tcPr>
          <w:p>
            <w:pPr>
              <w:spacing w:before="60" w:after="60"/>
              <w:jc w:val="center"/>
              <w:rPr>
                <w:noProof/>
                <w:sz w:val="22"/>
              </w:rPr>
            </w:pPr>
          </w:p>
        </w:tc>
      </w:tr>
      <w:tr>
        <w:trPr>
          <w:trHeight w:val="313"/>
        </w:trPr>
        <w:tc>
          <w:tcPr>
            <w:tcW w:w="6054" w:type="dxa"/>
            <w:gridSpan w:val="4"/>
            <w:vAlign w:val="center"/>
          </w:tcPr>
          <w:p>
            <w:pPr>
              <w:spacing w:before="20" w:after="20"/>
              <w:rPr>
                <w:noProof/>
                <w:sz w:val="22"/>
              </w:rPr>
            </w:pPr>
            <w:r>
              <w:rPr>
                <w:noProof/>
                <w:sz w:val="22"/>
              </w:rPr>
              <w:sym w:font="Wingdings" w:char="F09F"/>
            </w:r>
            <w:r>
              <w:rPr>
                <w:noProof/>
                <w:sz w:val="22"/>
              </w:rPr>
              <w:t xml:space="preserve"> Ľudské zdroje </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r>
        <w:trPr>
          <w:trHeight w:val="351"/>
        </w:trPr>
        <w:tc>
          <w:tcPr>
            <w:tcW w:w="6054" w:type="dxa"/>
            <w:gridSpan w:val="4"/>
            <w:vAlign w:val="center"/>
          </w:tcPr>
          <w:p>
            <w:pPr>
              <w:spacing w:before="20" w:after="20"/>
              <w:rPr>
                <w:noProof/>
                <w:sz w:val="22"/>
              </w:rPr>
            </w:pPr>
            <w:r>
              <w:rPr>
                <w:noProof/>
                <w:sz w:val="22"/>
              </w:rPr>
              <w:sym w:font="Wingdings" w:char="F09F"/>
            </w:r>
            <w:r>
              <w:rPr>
                <w:noProof/>
                <w:sz w:val="22"/>
              </w:rPr>
              <w:t xml:space="preserve"> Ostatné administratívne výdavky </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tcPr>
          <w:p>
            <w:pPr>
              <w:spacing w:before="20" w:after="20"/>
              <w:jc w:val="center"/>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GR ECFIN SPOLU</w:t>
            </w:r>
          </w:p>
        </w:tc>
        <w:tc>
          <w:tcPr>
            <w:tcW w:w="2094" w:type="dxa"/>
            <w:gridSpan w:val="3"/>
            <w:vAlign w:val="center"/>
          </w:tcPr>
          <w:p>
            <w:pPr>
              <w:rPr>
                <w:noProof/>
                <w:sz w:val="14"/>
              </w:rPr>
            </w:pPr>
            <w:r>
              <w:rPr>
                <w:noProof/>
                <w:sz w:val="18"/>
              </w:rPr>
              <w:t xml:space="preserve">Rozpočtové prostriedky </w:t>
            </w:r>
          </w:p>
        </w:tc>
        <w:tc>
          <w:tcPr>
            <w:tcW w:w="868" w:type="dxa"/>
            <w:vAlign w:val="center"/>
          </w:tcPr>
          <w:p>
            <w:pPr>
              <w:spacing w:before="60" w:after="6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bl>
    <w:p>
      <w:pPr>
        <w:rPr>
          <w:noProof/>
        </w:rPr>
      </w:pP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868"/>
        <w:gridCol w:w="1777"/>
      </w:tblGrid>
      <w:tr>
        <w:tc>
          <w:tcPr>
            <w:tcW w:w="3960" w:type="dxa"/>
            <w:shd w:val="thinDiagStripe" w:color="C0C0C0" w:fill="auto"/>
            <w:vAlign w:val="center"/>
          </w:tcPr>
          <w:p>
            <w:pPr>
              <w:spacing w:after="0"/>
              <w:jc w:val="center"/>
              <w:rPr>
                <w:b/>
                <w:noProof/>
                <w:sz w:val="22"/>
              </w:rPr>
            </w:pPr>
            <w:r>
              <w:rPr>
                <w:b/>
                <w:noProof/>
                <w:sz w:val="22"/>
              </w:rPr>
              <w:t>Rozpočtové prostriedky</w:t>
            </w:r>
            <w:r>
              <w:rPr>
                <w:noProof/>
                <w:sz w:val="22"/>
              </w:rPr>
              <w:br/>
            </w:r>
            <w:r>
              <w:rPr>
                <w:b/>
                <w:noProof/>
                <w:sz w:val="22"/>
              </w:rPr>
              <w:t xml:space="preserve">OKRUHU 5 (2020)/ </w:t>
            </w:r>
          </w:p>
          <w:p>
            <w:pPr>
              <w:spacing w:before="0"/>
              <w:jc w:val="center"/>
              <w:rPr>
                <w:b/>
                <w:noProof/>
                <w:sz w:val="22"/>
              </w:rPr>
            </w:pPr>
            <w:r>
              <w:rPr>
                <w:b/>
                <w:noProof/>
                <w:sz w:val="22"/>
              </w:rPr>
              <w:t>OKRUHU 7 (2021 – 2027)</w:t>
            </w:r>
            <w:r>
              <w:rPr>
                <w:noProof/>
                <w:sz w:val="22"/>
              </w:rPr>
              <w:br/>
              <w:t xml:space="preserve">viacročného finančného rámca </w:t>
            </w:r>
            <w:r>
              <w:rPr>
                <w:b/>
                <w:bCs/>
                <w:noProof/>
                <w:sz w:val="22"/>
              </w:rPr>
              <w:t>SPOLU</w:t>
            </w:r>
            <w:r>
              <w:rPr>
                <w:b/>
                <w:noProof/>
                <w:sz w:val="22"/>
              </w:rPr>
              <w:t xml:space="preserve"> </w:t>
            </w:r>
          </w:p>
        </w:tc>
        <w:tc>
          <w:tcPr>
            <w:tcW w:w="2094" w:type="dxa"/>
            <w:vAlign w:val="center"/>
          </w:tcPr>
          <w:p>
            <w:pPr>
              <w:spacing w:before="40" w:after="40"/>
              <w:rPr>
                <w:noProof/>
                <w:sz w:val="22"/>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bl>
    <w:p>
      <w:pPr>
        <w:rPr>
          <w:noProof/>
        </w:rPr>
      </w:pPr>
    </w:p>
    <w:p>
      <w:pPr>
        <w:rPr>
          <w:noProof/>
        </w:rPr>
      </w:pPr>
    </w:p>
    <w:tbl>
      <w:tblPr>
        <w:tblW w:w="155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68"/>
        <w:gridCol w:w="868"/>
        <w:gridCol w:w="868"/>
        <w:gridCol w:w="868"/>
        <w:gridCol w:w="868"/>
        <w:gridCol w:w="1046"/>
        <w:gridCol w:w="887"/>
        <w:gridCol w:w="1033"/>
        <w:gridCol w:w="1779"/>
      </w:tblGrid>
      <w:tr>
        <w:tc>
          <w:tcPr>
            <w:tcW w:w="3960" w:type="dxa"/>
            <w:vMerge w:val="restart"/>
            <w:shd w:val="thinDiagStripe" w:color="C0C0C0" w:fill="auto"/>
            <w:vAlign w:val="center"/>
          </w:tcPr>
          <w:p>
            <w:pPr>
              <w:spacing w:after="0"/>
              <w:jc w:val="center"/>
              <w:rPr>
                <w:b/>
                <w:noProof/>
                <w:sz w:val="22"/>
              </w:rPr>
            </w:pPr>
            <w:r>
              <w:rPr>
                <w:b/>
                <w:noProof/>
                <w:sz w:val="22"/>
              </w:rPr>
              <w:t xml:space="preserve">Rozpočtové prostriedky </w:t>
            </w:r>
            <w:r>
              <w:rPr>
                <w:noProof/>
                <w:sz w:val="22"/>
              </w:rPr>
              <w:br/>
            </w:r>
            <w:r>
              <w:rPr>
                <w:b/>
                <w:noProof/>
                <w:sz w:val="22"/>
              </w:rPr>
              <w:t xml:space="preserve">v rámci OKRUHOV </w:t>
            </w:r>
            <w:r>
              <w:rPr>
                <w:noProof/>
                <w:sz w:val="22"/>
              </w:rPr>
              <w:br/>
              <w:t xml:space="preserve">viacročných finančných rámcov </w:t>
            </w:r>
            <w:r>
              <w:rPr>
                <w:b/>
                <w:bCs/>
                <w:noProof/>
                <w:sz w:val="22"/>
              </w:rPr>
              <w:t>SPOLU</w:t>
            </w:r>
          </w:p>
        </w:tc>
        <w:tc>
          <w:tcPr>
            <w:tcW w:w="1362" w:type="dxa"/>
            <w:vAlign w:val="center"/>
          </w:tcPr>
          <w:p>
            <w:pPr>
              <w:spacing w:before="40" w:after="40"/>
              <w:jc w:val="center"/>
              <w:rPr>
                <w:noProof/>
                <w:sz w:val="18"/>
              </w:rPr>
            </w:pPr>
          </w:p>
        </w:tc>
        <w:tc>
          <w:tcPr>
            <w:tcW w:w="1134" w:type="dxa"/>
            <w:vAlign w:val="center"/>
          </w:tcPr>
          <w:p>
            <w:pPr>
              <w:spacing w:before="20" w:after="20"/>
              <w:ind w:left="-111"/>
              <w:jc w:val="center"/>
              <w:rPr>
                <w:noProof/>
                <w:sz w:val="20"/>
              </w:rPr>
            </w:pPr>
            <w:r>
              <w:rPr>
                <w:noProof/>
                <w:sz w:val="20"/>
              </w:rPr>
              <w:t>2020</w:t>
            </w:r>
          </w:p>
        </w:tc>
        <w:tc>
          <w:tcPr>
            <w:tcW w:w="868" w:type="dxa"/>
            <w:vAlign w:val="center"/>
          </w:tcPr>
          <w:p>
            <w:pPr>
              <w:spacing w:before="20" w:after="20"/>
              <w:ind w:left="-111"/>
              <w:jc w:val="center"/>
              <w:rPr>
                <w:noProof/>
                <w:sz w:val="20"/>
              </w:rPr>
            </w:pPr>
            <w:r>
              <w:rPr>
                <w:noProof/>
                <w:sz w:val="20"/>
              </w:rPr>
              <w:t>2021</w:t>
            </w:r>
          </w:p>
        </w:tc>
        <w:tc>
          <w:tcPr>
            <w:tcW w:w="868" w:type="dxa"/>
            <w:vAlign w:val="center"/>
          </w:tcPr>
          <w:p>
            <w:pPr>
              <w:spacing w:before="20" w:after="20"/>
              <w:ind w:left="-111"/>
              <w:jc w:val="center"/>
              <w:rPr>
                <w:noProof/>
                <w:sz w:val="20"/>
              </w:rPr>
            </w:pPr>
            <w:r>
              <w:rPr>
                <w:noProof/>
                <w:sz w:val="20"/>
              </w:rPr>
              <w:t>2022</w:t>
            </w:r>
          </w:p>
        </w:tc>
        <w:tc>
          <w:tcPr>
            <w:tcW w:w="868" w:type="dxa"/>
            <w:vAlign w:val="center"/>
          </w:tcPr>
          <w:p>
            <w:pPr>
              <w:spacing w:before="20" w:after="20"/>
              <w:ind w:left="-111"/>
              <w:jc w:val="center"/>
              <w:rPr>
                <w:noProof/>
                <w:sz w:val="20"/>
              </w:rPr>
            </w:pPr>
            <w:r>
              <w:rPr>
                <w:noProof/>
                <w:sz w:val="20"/>
              </w:rPr>
              <w:t>2023</w:t>
            </w:r>
          </w:p>
        </w:tc>
        <w:tc>
          <w:tcPr>
            <w:tcW w:w="868" w:type="dxa"/>
            <w:vAlign w:val="center"/>
          </w:tcPr>
          <w:p>
            <w:pPr>
              <w:spacing w:before="20" w:after="20"/>
              <w:ind w:left="-111"/>
              <w:jc w:val="center"/>
              <w:rPr>
                <w:noProof/>
                <w:sz w:val="20"/>
              </w:rPr>
            </w:pPr>
            <w:r>
              <w:rPr>
                <w:noProof/>
                <w:sz w:val="20"/>
              </w:rPr>
              <w:t>2024</w:t>
            </w:r>
          </w:p>
        </w:tc>
        <w:tc>
          <w:tcPr>
            <w:tcW w:w="868" w:type="dxa"/>
            <w:vAlign w:val="center"/>
          </w:tcPr>
          <w:p>
            <w:pPr>
              <w:spacing w:before="20" w:after="20"/>
              <w:ind w:left="-111"/>
              <w:jc w:val="center"/>
              <w:rPr>
                <w:noProof/>
                <w:sz w:val="20"/>
              </w:rPr>
            </w:pPr>
            <w:r>
              <w:rPr>
                <w:noProof/>
                <w:sz w:val="20"/>
              </w:rPr>
              <w:t>2025</w:t>
            </w:r>
          </w:p>
        </w:tc>
        <w:tc>
          <w:tcPr>
            <w:tcW w:w="1046" w:type="dxa"/>
            <w:vAlign w:val="center"/>
          </w:tcPr>
          <w:p>
            <w:pPr>
              <w:spacing w:before="20" w:after="20"/>
              <w:ind w:left="-111"/>
              <w:jc w:val="center"/>
              <w:rPr>
                <w:noProof/>
                <w:sz w:val="20"/>
              </w:rPr>
            </w:pPr>
            <w:r>
              <w:rPr>
                <w:noProof/>
                <w:sz w:val="20"/>
              </w:rPr>
              <w:t>2026</w:t>
            </w:r>
          </w:p>
        </w:tc>
        <w:tc>
          <w:tcPr>
            <w:tcW w:w="887" w:type="dxa"/>
            <w:vAlign w:val="center"/>
          </w:tcPr>
          <w:p>
            <w:pPr>
              <w:spacing w:before="20" w:after="20"/>
              <w:ind w:left="-111"/>
              <w:jc w:val="center"/>
              <w:rPr>
                <w:noProof/>
                <w:sz w:val="20"/>
              </w:rPr>
            </w:pPr>
            <w:r>
              <w:rPr>
                <w:noProof/>
                <w:sz w:val="20"/>
              </w:rPr>
              <w:t>2027</w:t>
            </w:r>
          </w:p>
        </w:tc>
        <w:tc>
          <w:tcPr>
            <w:tcW w:w="1033" w:type="dxa"/>
            <w:vAlign w:val="center"/>
          </w:tcPr>
          <w:p>
            <w:pPr>
              <w:spacing w:before="20" w:after="20"/>
              <w:ind w:left="-111"/>
              <w:jc w:val="center"/>
              <w:rPr>
                <w:noProof/>
                <w:sz w:val="20"/>
              </w:rPr>
            </w:pPr>
            <w:r>
              <w:rPr>
                <w:noProof/>
                <w:sz w:val="20"/>
              </w:rPr>
              <w:t>Po roku 2027</w:t>
            </w:r>
          </w:p>
        </w:tc>
        <w:tc>
          <w:tcPr>
            <w:tcW w:w="1779" w:type="dxa"/>
            <w:vAlign w:val="center"/>
          </w:tcPr>
          <w:p>
            <w:pPr>
              <w:spacing w:before="20" w:after="20"/>
              <w:ind w:left="-111"/>
              <w:jc w:val="center"/>
              <w:rPr>
                <w:noProof/>
                <w:sz w:val="20"/>
              </w:rPr>
            </w:pPr>
            <w:r>
              <w:rPr>
                <w:noProof/>
                <w:sz w:val="20"/>
              </w:rPr>
              <w:t>Spolu</w:t>
            </w: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Záväzky</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Platby</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p>
            <w:pPr>
              <w:spacing w:before="20" w:after="20"/>
              <w:jc w:val="center"/>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Odhadovaný vplyv na administratívne rozpočtové prostriedky</w:t>
      </w:r>
    </w:p>
    <w:p>
      <w:pPr>
        <w:pStyle w:val="ManualHeading4"/>
        <w:rPr>
          <w:noProof/>
        </w:rPr>
      </w:pPr>
      <w:r>
        <w:rPr>
          <w:noProof/>
        </w:rPr>
        <w:t>3.2.2.1.</w:t>
      </w:r>
      <w:r>
        <w:rPr>
          <w:noProof/>
        </w:rPr>
        <w:tab/>
        <w:t xml:space="preserve">Zhrnutie </w:t>
      </w:r>
    </w:p>
    <w:p>
      <w:pPr>
        <w:pStyle w:val="ListDash1"/>
        <w:rPr>
          <w:noProof/>
        </w:rPr>
      </w:pPr>
      <w:r>
        <w:rPr>
          <w:noProof/>
        </w:rPr>
        <w:sym w:font="Wingdings" w:char="F0A8"/>
      </w:r>
      <w:r>
        <w:rPr>
          <w:noProof/>
        </w:rPr>
        <w:tab/>
        <w:t xml:space="preserve">Návrh/iniciatíva si nevyžaduje použitie administratívnych rozpočtových prostriedkov </w:t>
      </w:r>
    </w:p>
    <w:p>
      <w:pPr>
        <w:pStyle w:val="ListDash1"/>
        <w:rPr>
          <w:noProof/>
        </w:rPr>
      </w:pPr>
      <w:r>
        <w:rPr>
          <w:noProof/>
        </w:rPr>
        <w:t>X</w:t>
      </w:r>
      <w:r>
        <w:rPr>
          <w:noProof/>
        </w:rPr>
        <w:tab/>
        <w:t>Návrh/iniciatíva si vyžaduje použitie administratívnych rozpočtových prostriedkov, ako je uvedené v nasledujúcej tabuľke:</w:t>
      </w:r>
    </w:p>
    <w:p>
      <w:pPr>
        <w:rPr>
          <w:noProof/>
          <w:sz w:val="20"/>
        </w:rPr>
      </w:pPr>
      <w:r>
        <w:rPr>
          <w:noProof/>
          <w:sz w:val="20"/>
        </w:rPr>
        <w:t>v mil. EUR (zaokrúhlené na tri desatinné miesta)</w:t>
      </w:r>
    </w:p>
    <w:tbl>
      <w:tblPr>
        <w:tblW w:w="10501"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08"/>
        <w:gridCol w:w="851"/>
        <w:gridCol w:w="992"/>
        <w:gridCol w:w="851"/>
        <w:gridCol w:w="850"/>
        <w:gridCol w:w="851"/>
        <w:gridCol w:w="850"/>
        <w:gridCol w:w="851"/>
        <w:gridCol w:w="1417"/>
      </w:tblGrid>
      <w:tr>
        <w:trPr>
          <w:trHeight w:val="585"/>
        </w:trPr>
        <w:tc>
          <w:tcPr>
            <w:tcW w:w="1980" w:type="dxa"/>
          </w:tcPr>
          <w:p>
            <w:pPr>
              <w:spacing w:before="60" w:after="60" w:line="200" w:lineRule="exact"/>
              <w:rPr>
                <w:noProof/>
                <w:sz w:val="16"/>
                <w:szCs w:val="16"/>
              </w:rPr>
            </w:pPr>
          </w:p>
        </w:tc>
        <w:tc>
          <w:tcPr>
            <w:tcW w:w="1008"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p>
        </w:tc>
        <w:tc>
          <w:tcPr>
            <w:tcW w:w="851"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2021</w:t>
            </w:r>
          </w:p>
        </w:tc>
        <w:tc>
          <w:tcPr>
            <w:tcW w:w="992"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2022</w:t>
            </w:r>
          </w:p>
        </w:tc>
        <w:tc>
          <w:tcPr>
            <w:tcW w:w="851" w:type="dxa"/>
          </w:tcPr>
          <w:p>
            <w:pPr>
              <w:spacing w:before="60" w:after="60" w:line="200" w:lineRule="exact"/>
              <w:jc w:val="center"/>
              <w:rPr>
                <w:noProof/>
                <w:sz w:val="16"/>
              </w:rPr>
            </w:pPr>
            <w:r>
              <w:rPr>
                <w:noProof/>
                <w:sz w:val="16"/>
              </w:rPr>
              <w:t>Rok</w:t>
            </w:r>
            <w:r>
              <w:rPr>
                <w:noProof/>
                <w:sz w:val="22"/>
              </w:rPr>
              <w:br/>
            </w:r>
            <w:r>
              <w:rPr>
                <w:b/>
                <w:noProof/>
                <w:sz w:val="16"/>
              </w:rPr>
              <w:t>2023</w:t>
            </w:r>
          </w:p>
        </w:tc>
        <w:tc>
          <w:tcPr>
            <w:tcW w:w="85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2024</w:t>
            </w:r>
          </w:p>
        </w:tc>
        <w:tc>
          <w:tcPr>
            <w:tcW w:w="851" w:type="dxa"/>
            <w:vAlign w:val="center"/>
          </w:tcPr>
          <w:p>
            <w:pPr>
              <w:spacing w:line="200" w:lineRule="exact"/>
              <w:jc w:val="center"/>
              <w:rPr>
                <w:b/>
                <w:noProof/>
                <w:sz w:val="16"/>
                <w:szCs w:val="16"/>
              </w:rPr>
            </w:pPr>
            <w:r>
              <w:rPr>
                <w:noProof/>
                <w:sz w:val="16"/>
              </w:rPr>
              <w:t>Rok</w:t>
            </w:r>
            <w:r>
              <w:rPr>
                <w:noProof/>
                <w:sz w:val="22"/>
              </w:rPr>
              <w:br/>
            </w:r>
            <w:r>
              <w:rPr>
                <w:b/>
                <w:noProof/>
                <w:sz w:val="16"/>
              </w:rPr>
              <w:t>2025</w:t>
            </w:r>
          </w:p>
        </w:tc>
        <w:tc>
          <w:tcPr>
            <w:tcW w:w="850" w:type="dxa"/>
            <w:vAlign w:val="center"/>
          </w:tcPr>
          <w:p>
            <w:pPr>
              <w:spacing w:line="200" w:lineRule="exact"/>
              <w:jc w:val="center"/>
              <w:rPr>
                <w:b/>
                <w:noProof/>
                <w:sz w:val="16"/>
                <w:szCs w:val="16"/>
              </w:rPr>
            </w:pPr>
            <w:r>
              <w:rPr>
                <w:noProof/>
                <w:sz w:val="16"/>
              </w:rPr>
              <w:t>Rok</w:t>
            </w:r>
            <w:r>
              <w:rPr>
                <w:noProof/>
                <w:sz w:val="22"/>
              </w:rPr>
              <w:br/>
            </w:r>
            <w:r>
              <w:rPr>
                <w:b/>
                <w:noProof/>
                <w:sz w:val="16"/>
              </w:rPr>
              <w:t>2026</w:t>
            </w:r>
          </w:p>
        </w:tc>
        <w:tc>
          <w:tcPr>
            <w:tcW w:w="851" w:type="dxa"/>
            <w:vAlign w:val="center"/>
          </w:tcPr>
          <w:p>
            <w:pPr>
              <w:spacing w:line="200" w:lineRule="exact"/>
              <w:jc w:val="center"/>
              <w:rPr>
                <w:b/>
                <w:noProof/>
                <w:sz w:val="16"/>
                <w:szCs w:val="16"/>
              </w:rPr>
            </w:pPr>
            <w:r>
              <w:rPr>
                <w:noProof/>
                <w:sz w:val="16"/>
              </w:rPr>
              <w:t>Rok</w:t>
            </w:r>
            <w:r>
              <w:rPr>
                <w:noProof/>
                <w:sz w:val="22"/>
              </w:rPr>
              <w:br/>
            </w:r>
            <w:r>
              <w:rPr>
                <w:b/>
                <w:noProof/>
                <w:sz w:val="16"/>
              </w:rPr>
              <w:t>2027</w:t>
            </w:r>
          </w:p>
        </w:tc>
        <w:tc>
          <w:tcPr>
            <w:tcW w:w="1417" w:type="dxa"/>
            <w:vAlign w:val="center"/>
          </w:tcPr>
          <w:p>
            <w:pPr>
              <w:spacing w:before="60" w:after="60" w:line="200" w:lineRule="exact"/>
              <w:jc w:val="center"/>
              <w:rPr>
                <w:b/>
                <w:noProof/>
                <w:sz w:val="16"/>
                <w:szCs w:val="16"/>
              </w:rPr>
            </w:pPr>
            <w:r>
              <w:rPr>
                <w:b/>
                <w:noProof/>
                <w:sz w:val="16"/>
              </w:rPr>
              <w:t>SPOLU</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5/7</w:t>
            </w:r>
            <w:r>
              <w:rPr>
                <w:noProof/>
                <w:sz w:val="22"/>
              </w:rPr>
              <w:br/>
            </w:r>
            <w:r>
              <w:rPr>
                <w:b/>
                <w:noProof/>
                <w:sz w:val="16"/>
              </w:rPr>
              <w:t>viacročného finančného rámca</w:t>
            </w:r>
          </w:p>
        </w:tc>
        <w:tc>
          <w:tcPr>
            <w:tcW w:w="1008"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992" w:type="dxa"/>
            <w:vAlign w:val="center"/>
          </w:tcPr>
          <w:p>
            <w:pPr>
              <w:spacing w:before="60" w:after="60" w:line="200" w:lineRule="exact"/>
              <w:jc w:val="center"/>
              <w:rPr>
                <w:noProof/>
                <w:sz w:val="16"/>
                <w:szCs w:val="16"/>
              </w:rPr>
            </w:pPr>
          </w:p>
        </w:tc>
        <w:tc>
          <w:tcPr>
            <w:tcW w:w="851" w:type="dxa"/>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5/7 viacročného finančného rámca</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OKRUHU 5/7</w:t>
            </w:r>
            <w:r>
              <w:rPr>
                <w:rStyle w:val="FootnoteReference"/>
                <w:b/>
                <w:noProof/>
                <w:sz w:val="16"/>
              </w:rPr>
              <w:footnoteReference w:id="20"/>
            </w:r>
            <w:r>
              <w:rPr>
                <w:noProof/>
                <w:sz w:val="22"/>
              </w:rPr>
              <w:br/>
            </w:r>
            <w:r>
              <w:rPr>
                <w:b/>
                <w:noProof/>
                <w:sz w:val="16"/>
              </w:rPr>
              <w:t>viacročného finančného rámca</w:t>
            </w:r>
          </w:p>
          <w:p>
            <w:pPr>
              <w:spacing w:before="0" w:after="0" w:line="200" w:lineRule="exact"/>
              <w:jc w:val="center"/>
              <w:rPr>
                <w:b/>
                <w:noProof/>
                <w:sz w:val="16"/>
                <w:szCs w:val="16"/>
              </w:rPr>
            </w:pP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r>
              <w:rPr>
                <w:noProof/>
                <w:sz w:val="16"/>
                <w:szCs w:val="16"/>
              </w:rPr>
              <w:t>0,880</w:t>
            </w:r>
          </w:p>
        </w:tc>
        <w:tc>
          <w:tcPr>
            <w:tcW w:w="992" w:type="dxa"/>
            <w:vAlign w:val="center"/>
          </w:tcPr>
          <w:p>
            <w:pPr>
              <w:spacing w:before="60" w:after="60" w:line="200" w:lineRule="exact"/>
              <w:jc w:val="right"/>
              <w:rPr>
                <w:noProof/>
                <w:sz w:val="16"/>
                <w:szCs w:val="16"/>
              </w:rPr>
            </w:pPr>
            <w:r>
              <w:rPr>
                <w:noProof/>
                <w:sz w:val="16"/>
                <w:szCs w:val="16"/>
              </w:rPr>
              <w:t>0,880</w:t>
            </w:r>
          </w:p>
        </w:tc>
        <w:tc>
          <w:tcPr>
            <w:tcW w:w="851" w:type="dxa"/>
            <w:vAlign w:val="center"/>
          </w:tcPr>
          <w:p>
            <w:pPr>
              <w:spacing w:before="60" w:after="60" w:line="200" w:lineRule="exact"/>
              <w:jc w:val="right"/>
              <w:rPr>
                <w:noProof/>
                <w:sz w:val="16"/>
                <w:szCs w:val="16"/>
              </w:rPr>
            </w:pPr>
            <w:r>
              <w:rPr>
                <w:noProof/>
                <w:sz w:val="16"/>
                <w:szCs w:val="16"/>
              </w:rPr>
              <w:t>0,880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5,520</w:t>
            </w:r>
          </w:p>
        </w:tc>
      </w:tr>
      <w:tr>
        <w:trPr>
          <w:trHeight w:val="585"/>
        </w:trPr>
        <w:tc>
          <w:tcPr>
            <w:tcW w:w="1980" w:type="dxa"/>
            <w:vAlign w:val="center"/>
          </w:tcPr>
          <w:p>
            <w:pPr>
              <w:spacing w:before="60" w:after="60" w:line="200" w:lineRule="exact"/>
              <w:ind w:left="72"/>
              <w:jc w:val="left"/>
              <w:rPr>
                <w:noProof/>
                <w:sz w:val="16"/>
                <w:szCs w:val="16"/>
              </w:rPr>
            </w:pPr>
            <w:r>
              <w:rPr>
                <w:noProof/>
                <w:sz w:val="16"/>
              </w:rPr>
              <w:t>Ďalšie administratívne výdavky</w:t>
            </w:r>
          </w:p>
        </w:tc>
        <w:tc>
          <w:tcPr>
            <w:tcW w:w="1008" w:type="dxa"/>
            <w:vAlign w:val="center"/>
          </w:tcPr>
          <w:p>
            <w:pPr>
              <w:spacing w:before="60" w:after="60" w:line="200" w:lineRule="exact"/>
              <w:jc w:val="right"/>
              <w:rPr>
                <w:noProof/>
                <w:sz w:val="16"/>
                <w:szCs w:val="16"/>
              </w:rPr>
            </w:pPr>
            <w:r>
              <w:rPr>
                <w:noProof/>
                <w:sz w:val="16"/>
                <w:szCs w:val="16"/>
              </w:rPr>
              <w:t>2</w:t>
            </w:r>
          </w:p>
        </w:tc>
        <w:tc>
          <w:tcPr>
            <w:tcW w:w="851" w:type="dxa"/>
            <w:vAlign w:val="center"/>
          </w:tcPr>
          <w:p>
            <w:pPr>
              <w:spacing w:before="60" w:after="60" w:line="200" w:lineRule="exact"/>
              <w:jc w:val="right"/>
              <w:rPr>
                <w:noProof/>
                <w:sz w:val="16"/>
                <w:szCs w:val="16"/>
              </w:rPr>
            </w:pPr>
            <w:r>
              <w:rPr>
                <w:noProof/>
                <w:sz w:val="16"/>
                <w:szCs w:val="16"/>
              </w:rPr>
              <w:t>1</w:t>
            </w: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r>
              <w:rPr>
                <w:b/>
                <w:noProof/>
                <w:sz w:val="16"/>
                <w:szCs w:val="16"/>
              </w:rPr>
              <w:t>3</w:t>
            </w:r>
          </w:p>
        </w:tc>
      </w:tr>
      <w:tr>
        <w:trPr>
          <w:trHeight w:val="702"/>
        </w:trPr>
        <w:tc>
          <w:tcPr>
            <w:tcW w:w="1980" w:type="dxa"/>
            <w:shd w:val="clear" w:color="auto" w:fill="CCCCCC"/>
            <w:vAlign w:val="center"/>
          </w:tcPr>
          <w:p>
            <w:pPr>
              <w:spacing w:before="60" w:after="60" w:line="200" w:lineRule="exact"/>
              <w:jc w:val="center"/>
              <w:rPr>
                <w:b/>
                <w:noProof/>
                <w:sz w:val="16"/>
                <w:szCs w:val="16"/>
              </w:rPr>
            </w:pPr>
            <w:r>
              <w:rPr>
                <w:b/>
                <w:noProof/>
                <w:sz w:val="16"/>
              </w:rPr>
              <w:t>Medzisúčet mimo OKRUHU 7</w:t>
            </w:r>
            <w:r>
              <w:rPr>
                <w:noProof/>
                <w:sz w:val="22"/>
              </w:rPr>
              <w:br/>
            </w:r>
            <w:r>
              <w:rPr>
                <w:b/>
                <w:noProof/>
                <w:sz w:val="16"/>
              </w:rPr>
              <w:t xml:space="preserve">viacročného finančného rámca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16"/>
                <w:szCs w:val="16"/>
              </w:rPr>
              <w:t>2</w:t>
            </w:r>
          </w:p>
        </w:tc>
        <w:tc>
          <w:tcPr>
            <w:tcW w:w="851" w:type="dxa"/>
            <w:vAlign w:val="center"/>
          </w:tcPr>
          <w:p>
            <w:pPr>
              <w:spacing w:before="60" w:after="60" w:line="200" w:lineRule="exact"/>
              <w:jc w:val="center"/>
              <w:rPr>
                <w:b/>
                <w:noProof/>
                <w:sz w:val="16"/>
                <w:szCs w:val="16"/>
              </w:rPr>
            </w:pPr>
            <w:r>
              <w:rPr>
                <w:noProof/>
                <w:sz w:val="16"/>
                <w:szCs w:val="16"/>
              </w:rPr>
              <w:t>1,880</w:t>
            </w:r>
          </w:p>
        </w:tc>
        <w:tc>
          <w:tcPr>
            <w:tcW w:w="992" w:type="dxa"/>
            <w:vAlign w:val="center"/>
          </w:tcPr>
          <w:p>
            <w:pPr>
              <w:spacing w:before="60" w:after="60" w:line="200" w:lineRule="exact"/>
              <w:jc w:val="center"/>
              <w:rPr>
                <w:b/>
                <w:noProof/>
                <w:sz w:val="16"/>
                <w:szCs w:val="16"/>
              </w:rPr>
            </w:pPr>
            <w:r>
              <w:rPr>
                <w:noProof/>
                <w:sz w:val="16"/>
                <w:szCs w:val="16"/>
              </w:rPr>
              <w:t>0,880</w:t>
            </w:r>
          </w:p>
        </w:tc>
        <w:tc>
          <w:tcPr>
            <w:tcW w:w="851" w:type="dxa"/>
            <w:vAlign w:val="center"/>
          </w:tcPr>
          <w:p>
            <w:pPr>
              <w:spacing w:before="60" w:after="60" w:line="200" w:lineRule="exact"/>
              <w:jc w:val="center"/>
              <w:rPr>
                <w:b/>
                <w:noProof/>
                <w:sz w:val="16"/>
                <w:szCs w:val="16"/>
              </w:rPr>
            </w:pPr>
            <w:r>
              <w:rPr>
                <w:noProof/>
                <w:sz w:val="16"/>
                <w:szCs w:val="16"/>
              </w:rPr>
              <w:t>0,880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8,520</w:t>
            </w: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 Dodatoční externí zamestnanci budú financovaní výhradne z pripísaných príjmov.</w:t>
      </w:r>
    </w:p>
    <w:p>
      <w:pPr>
        <w:rPr>
          <w:noProof/>
          <w:sz w:val="18"/>
        </w:rPr>
      </w:pPr>
    </w:p>
    <w:p>
      <w:pPr>
        <w:rPr>
          <w:noProof/>
          <w:sz w:val="18"/>
          <w:highlight w:val="yellow"/>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rPr>
          <w:noProof/>
        </w:rPr>
        <w:t>3.2.2.2.</w:t>
      </w:r>
      <w:r>
        <w:rPr>
          <w:noProof/>
        </w:rPr>
        <w:tab/>
        <w:t>Odhadované potreby ľudských zdrojov</w:t>
      </w:r>
    </w:p>
    <w:p>
      <w:pPr>
        <w:pStyle w:val="ListDash1"/>
        <w:rPr>
          <w:noProof/>
        </w:rPr>
      </w:pPr>
      <w:r>
        <w:rPr>
          <w:noProof/>
        </w:rPr>
        <w:sym w:font="Wingdings" w:char="F0A8"/>
      </w:r>
      <w:r>
        <w:rPr>
          <w:noProof/>
        </w:rPr>
        <w:tab/>
        <w:t xml:space="preserve">Návrh/iniciatíva si nevyžaduje použitie ľudských zdrojov. </w:t>
      </w:r>
    </w:p>
    <w:p>
      <w:pPr>
        <w:pStyle w:val="ListDash1"/>
        <w:rPr>
          <w:noProof/>
        </w:rPr>
      </w:pPr>
      <w:r>
        <w:rPr>
          <w:noProof/>
        </w:rPr>
        <w:t>X</w:t>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1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95"/>
        <w:gridCol w:w="1904"/>
        <w:gridCol w:w="640"/>
        <w:gridCol w:w="640"/>
        <w:gridCol w:w="644"/>
        <w:gridCol w:w="619"/>
        <w:gridCol w:w="597"/>
        <w:gridCol w:w="21"/>
        <w:gridCol w:w="594"/>
        <w:gridCol w:w="640"/>
        <w:gridCol w:w="538"/>
        <w:gridCol w:w="874"/>
      </w:tblGrid>
      <w:tr>
        <w:trPr>
          <w:trHeight w:val="289"/>
          <w:jc w:val="center"/>
        </w:trPr>
        <w:tc>
          <w:tcPr>
            <w:tcW w:w="1978" w:type="pct"/>
            <w:gridSpan w:val="2"/>
            <w:shd w:val="clear" w:color="auto" w:fill="auto"/>
          </w:tcPr>
          <w:p>
            <w:pPr>
              <w:pStyle w:val="Text1"/>
              <w:spacing w:before="40" w:after="40"/>
              <w:ind w:left="0"/>
              <w:jc w:val="center"/>
              <w:rPr>
                <w:i/>
                <w:noProof/>
                <w:sz w:val="16"/>
                <w:szCs w:val="16"/>
              </w:rPr>
            </w:pPr>
          </w:p>
        </w:tc>
        <w:tc>
          <w:tcPr>
            <w:tcW w:w="333"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2020</w:t>
            </w:r>
          </w:p>
        </w:tc>
        <w:tc>
          <w:tcPr>
            <w:tcW w:w="333" w:type="pct"/>
            <w:shd w:val="clear" w:color="auto" w:fill="auto"/>
            <w:vAlign w:val="center"/>
          </w:tcPr>
          <w:p>
            <w:pPr>
              <w:spacing w:before="20" w:after="20"/>
              <w:jc w:val="center"/>
              <w:rPr>
                <w:noProof/>
                <w:sz w:val="16"/>
                <w:szCs w:val="16"/>
              </w:rPr>
            </w:pPr>
            <w:r>
              <w:rPr>
                <w:noProof/>
                <w:sz w:val="16"/>
              </w:rPr>
              <w:t>Rok</w:t>
            </w:r>
            <w:r>
              <w:rPr>
                <w:noProof/>
                <w:sz w:val="22"/>
              </w:rPr>
              <w:br/>
            </w:r>
            <w:r>
              <w:rPr>
                <w:noProof/>
                <w:sz w:val="16"/>
                <w:szCs w:val="16"/>
              </w:rPr>
              <w:t>2021</w:t>
            </w:r>
          </w:p>
        </w:tc>
        <w:tc>
          <w:tcPr>
            <w:tcW w:w="334" w:type="pct"/>
            <w:shd w:val="clear" w:color="auto" w:fill="auto"/>
            <w:vAlign w:val="center"/>
          </w:tcPr>
          <w:p>
            <w:pPr>
              <w:spacing w:before="20" w:after="20"/>
              <w:jc w:val="center"/>
              <w:rPr>
                <w:noProof/>
                <w:sz w:val="16"/>
                <w:szCs w:val="16"/>
              </w:rPr>
            </w:pPr>
            <w:r>
              <w:rPr>
                <w:noProof/>
                <w:sz w:val="16"/>
                <w:szCs w:val="16"/>
              </w:rPr>
              <w:t>Rok 2022</w:t>
            </w:r>
          </w:p>
        </w:tc>
        <w:tc>
          <w:tcPr>
            <w:tcW w:w="322" w:type="pct"/>
          </w:tcPr>
          <w:p>
            <w:pPr>
              <w:spacing w:before="20" w:after="20"/>
              <w:jc w:val="center"/>
              <w:rPr>
                <w:noProof/>
                <w:sz w:val="16"/>
                <w:szCs w:val="16"/>
              </w:rPr>
            </w:pPr>
            <w:r>
              <w:rPr>
                <w:noProof/>
                <w:sz w:val="16"/>
                <w:szCs w:val="16"/>
              </w:rPr>
              <w:t>Rok 2023</w:t>
            </w:r>
          </w:p>
        </w:tc>
        <w:tc>
          <w:tcPr>
            <w:tcW w:w="322" w:type="pct"/>
            <w:gridSpan w:val="2"/>
            <w:shd w:val="clear" w:color="auto" w:fill="auto"/>
            <w:vAlign w:val="center"/>
          </w:tcPr>
          <w:p>
            <w:pPr>
              <w:spacing w:before="20" w:after="20"/>
              <w:jc w:val="center"/>
              <w:rPr>
                <w:noProof/>
                <w:sz w:val="16"/>
                <w:szCs w:val="16"/>
              </w:rPr>
            </w:pPr>
            <w:r>
              <w:rPr>
                <w:noProof/>
                <w:sz w:val="16"/>
                <w:szCs w:val="16"/>
              </w:rPr>
              <w:t>Rok 2024</w:t>
            </w:r>
          </w:p>
        </w:tc>
        <w:tc>
          <w:tcPr>
            <w:tcW w:w="309" w:type="pct"/>
            <w:shd w:val="clear" w:color="auto" w:fill="auto"/>
            <w:vAlign w:val="center"/>
          </w:tcPr>
          <w:p>
            <w:pPr>
              <w:jc w:val="center"/>
              <w:rPr>
                <w:b/>
                <w:noProof/>
                <w:sz w:val="16"/>
                <w:szCs w:val="16"/>
              </w:rPr>
            </w:pPr>
            <w:r>
              <w:rPr>
                <w:noProof/>
                <w:sz w:val="16"/>
                <w:szCs w:val="16"/>
              </w:rPr>
              <w:t>Rok 2025</w:t>
            </w:r>
          </w:p>
        </w:tc>
        <w:tc>
          <w:tcPr>
            <w:tcW w:w="333" w:type="pct"/>
            <w:shd w:val="clear" w:color="auto" w:fill="auto"/>
            <w:vAlign w:val="center"/>
          </w:tcPr>
          <w:p>
            <w:pPr>
              <w:jc w:val="center"/>
              <w:rPr>
                <w:b/>
                <w:noProof/>
                <w:sz w:val="16"/>
                <w:szCs w:val="16"/>
              </w:rPr>
            </w:pPr>
            <w:r>
              <w:rPr>
                <w:noProof/>
                <w:sz w:val="16"/>
                <w:szCs w:val="16"/>
              </w:rPr>
              <w:t>Rok 2026</w:t>
            </w:r>
          </w:p>
        </w:tc>
        <w:tc>
          <w:tcPr>
            <w:tcW w:w="280" w:type="pct"/>
          </w:tcPr>
          <w:p>
            <w:pPr>
              <w:jc w:val="center"/>
              <w:rPr>
                <w:b/>
                <w:noProof/>
                <w:sz w:val="16"/>
                <w:szCs w:val="16"/>
              </w:rPr>
            </w:pPr>
            <w:r>
              <w:rPr>
                <w:noProof/>
                <w:sz w:val="16"/>
                <w:szCs w:val="16"/>
              </w:rPr>
              <w:t>Rok 2027</w:t>
            </w:r>
          </w:p>
        </w:tc>
        <w:tc>
          <w:tcPr>
            <w:tcW w:w="455" w:type="pct"/>
            <w:shd w:val="clear" w:color="auto" w:fill="auto"/>
            <w:vAlign w:val="center"/>
          </w:tcPr>
          <w:p>
            <w:pPr>
              <w:jc w:val="center"/>
              <w:rPr>
                <w:b/>
                <w:noProof/>
                <w:sz w:val="16"/>
                <w:szCs w:val="16"/>
              </w:rPr>
            </w:pPr>
          </w:p>
        </w:tc>
      </w:tr>
      <w:tr>
        <w:trPr>
          <w:trHeight w:val="289"/>
          <w:jc w:val="center"/>
        </w:trPr>
        <w:tc>
          <w:tcPr>
            <w:tcW w:w="2979" w:type="pct"/>
            <w:gridSpan w:val="5"/>
            <w:shd w:val="clear" w:color="auto" w:fill="auto"/>
          </w:tcPr>
          <w:p>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322" w:type="pct"/>
          </w:tcPr>
          <w:p>
            <w:pPr>
              <w:spacing w:before="20" w:after="20"/>
              <w:jc w:val="center"/>
              <w:rPr>
                <w:noProof/>
                <w:sz w:val="16"/>
                <w:szCs w:val="16"/>
              </w:rPr>
            </w:pPr>
          </w:p>
        </w:tc>
        <w:tc>
          <w:tcPr>
            <w:tcW w:w="322" w:type="pct"/>
            <w:gridSpan w:val="2"/>
            <w:shd w:val="clear" w:color="auto" w:fill="auto"/>
            <w:vAlign w:val="center"/>
          </w:tcPr>
          <w:p>
            <w:pPr>
              <w:spacing w:before="20" w:after="20"/>
              <w:jc w:val="center"/>
              <w:rPr>
                <w:noProof/>
                <w:sz w:val="16"/>
                <w:szCs w:val="16"/>
              </w:rPr>
            </w:pPr>
          </w:p>
        </w:tc>
        <w:tc>
          <w:tcPr>
            <w:tcW w:w="309" w:type="pct"/>
          </w:tcPr>
          <w:p>
            <w:pPr>
              <w:jc w:val="center"/>
              <w:rPr>
                <w:noProof/>
                <w:sz w:val="16"/>
                <w:szCs w:val="16"/>
              </w:rPr>
            </w:pPr>
          </w:p>
        </w:tc>
        <w:tc>
          <w:tcPr>
            <w:tcW w:w="1068" w:type="pct"/>
            <w:gridSpan w:val="3"/>
            <w:shd w:val="clear" w:color="auto" w:fill="auto"/>
            <w:vAlign w:val="center"/>
          </w:tcPr>
          <w:p>
            <w:pPr>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gridAfter w:val="5"/>
          <w:wAfter w:w="1388" w:type="pct"/>
          <w:trHeight w:val="248"/>
          <w:jc w:val="center"/>
        </w:trPr>
        <w:tc>
          <w:tcPr>
            <w:tcW w:w="2979"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w:t>
            </w:r>
            <w:r>
              <w:rPr>
                <w:rStyle w:val="FootnoteReference"/>
                <w:b/>
                <w:noProof/>
                <w:sz w:val="16"/>
              </w:rPr>
              <w:footnoteReference w:id="21"/>
            </w:r>
          </w:p>
          <w:p>
            <w:pPr>
              <w:pStyle w:val="Text1"/>
              <w:spacing w:before="0" w:after="0"/>
              <w:ind w:left="0"/>
              <w:jc w:val="left"/>
              <w:rPr>
                <w:noProof/>
                <w:sz w:val="16"/>
                <w:szCs w:val="16"/>
              </w:rPr>
            </w:pPr>
          </w:p>
        </w:tc>
        <w:tc>
          <w:tcPr>
            <w:tcW w:w="322" w:type="pct"/>
          </w:tcPr>
          <w:p>
            <w:pPr>
              <w:pStyle w:val="Text1"/>
              <w:spacing w:before="60" w:after="60"/>
              <w:ind w:left="0"/>
              <w:jc w:val="left"/>
              <w:rPr>
                <w:b/>
                <w:noProof/>
                <w:sz w:val="16"/>
              </w:rPr>
            </w:pPr>
          </w:p>
        </w:tc>
        <w:tc>
          <w:tcPr>
            <w:tcW w:w="311" w:type="pct"/>
          </w:tcPr>
          <w:p>
            <w:pPr>
              <w:pStyle w:val="Text1"/>
              <w:spacing w:before="60" w:after="60"/>
              <w:ind w:left="0"/>
              <w:jc w:val="left"/>
              <w:rPr>
                <w:b/>
                <w:noProof/>
                <w:sz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finančného krytia)</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2"/>
            </w:r>
          </w:p>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shd w:val="clear" w:color="auto" w:fill="auto"/>
            <w:vAlign w:val="center"/>
          </w:tcPr>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b/>
                <w:bCs/>
                <w:noProof/>
                <w:sz w:val="16"/>
                <w:szCs w:val="16"/>
              </w:rPr>
              <w:t>XX</w:t>
            </w:r>
            <w:r>
              <w:rPr>
                <w:noProof/>
                <w:sz w:val="16"/>
                <w:szCs w:val="16"/>
              </w:rPr>
              <w:t xml:space="preserve"> 01 05 02 (ZZ, VNE, DAZ – nepriamy výskum)</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Ďalšie rozpočtové riadky (pripísané príjmy)</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noProof/>
                <w:sz w:val="16"/>
                <w:szCs w:val="16"/>
              </w:rPr>
            </w:pPr>
            <w:r>
              <w:rPr>
                <w:noProof/>
                <w:sz w:val="16"/>
                <w:szCs w:val="16"/>
              </w:rPr>
              <w:t>9</w:t>
            </w:r>
          </w:p>
        </w:tc>
        <w:tc>
          <w:tcPr>
            <w:tcW w:w="45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b/>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b/>
                <w:noProof/>
                <w:sz w:val="16"/>
                <w:szCs w:val="16"/>
              </w:rPr>
            </w:pPr>
            <w:r>
              <w:rPr>
                <w:noProof/>
                <w:sz w:val="16"/>
                <w:szCs w:val="16"/>
              </w:rPr>
              <w:t>9</w:t>
            </w:r>
          </w:p>
        </w:tc>
        <w:tc>
          <w:tcPr>
            <w:tcW w:w="45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szCs w:val="18"/>
        </w:rPr>
        <w:t xml:space="preserve">Príslušnou oblasťou politiku alebo rozpočtovou hlavou sú </w:t>
      </w:r>
      <w:r>
        <w:rPr>
          <w:b/>
          <w:noProof/>
          <w:sz w:val="18"/>
          <w:szCs w:val="18"/>
        </w:rPr>
        <w:t>GR ECFIN, COMP a BUDG</w:t>
      </w:r>
      <w:r>
        <w:rPr>
          <w:noProof/>
          <w:sz w:val="18"/>
          <w:szCs w:val="18"/>
        </w:rPr>
        <w:t>.</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r>
        <w:rPr>
          <w:noProof/>
        </w:rPr>
        <w:t xml:space="preserve"> </w:t>
      </w:r>
      <w:r>
        <w:rPr>
          <w:noProof/>
          <w:sz w:val="18"/>
        </w:rPr>
        <w:t>Dodatoční externí zamestnanci budú financovaní výhradne z pripísaných príjmov.</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w:t>
            </w:r>
          </w:p>
        </w:tc>
      </w:tr>
      <w:tr>
        <w:tc>
          <w:tcPr>
            <w:tcW w:w="3240" w:type="dxa"/>
          </w:tcPr>
          <w:p>
            <w:pPr>
              <w:spacing w:before="60" w:after="60"/>
              <w:rPr>
                <w:noProof/>
                <w:sz w:val="20"/>
              </w:rPr>
            </w:pPr>
            <w:r>
              <w:rPr>
                <w:noProof/>
                <w:sz w:val="20"/>
              </w:rPr>
              <w:t>Externí zamestnanci</w:t>
            </w:r>
          </w:p>
        </w:tc>
        <w:tc>
          <w:tcPr>
            <w:tcW w:w="7200" w:type="dxa"/>
          </w:tcPr>
          <w:p>
            <w:pPr>
              <w:rPr>
                <w:noProof/>
                <w:spacing w:val="-6"/>
                <w:sz w:val="20"/>
              </w:rPr>
            </w:pPr>
            <w:r>
              <w:rPr>
                <w:noProof/>
                <w:spacing w:val="-6"/>
                <w:sz w:val="20"/>
              </w:rPr>
              <w:t>Front office (vypracúvanie politických dokumentov, príprava a rokovanie o dohode o záruke, následné operačné kroky a predkladanie správ, riadenie poradenskej a technickej pomoci);</w:t>
            </w:r>
          </w:p>
          <w:p>
            <w:pPr>
              <w:rPr>
                <w:noProof/>
                <w:spacing w:val="-6"/>
                <w:sz w:val="20"/>
              </w:rPr>
            </w:pPr>
            <w:r>
              <w:rPr>
                <w:noProof/>
                <w:spacing w:val="-6"/>
                <w:sz w:val="20"/>
              </w:rPr>
              <w:t>Back office (monitorovanie a následné kroky v rámci programu vrátane výziev na uplatnenie záruky, predkladanie prevádzkových a finančných správ a ďalšie činnosti v oblasti riadenia záruky; monitorovanie a predkladanie správ o poradenských službách a technickej pomoci);</w:t>
            </w:r>
          </w:p>
          <w:p>
            <w:pPr>
              <w:rPr>
                <w:noProof/>
                <w:sz w:val="20"/>
              </w:rPr>
            </w:pPr>
            <w:r>
              <w:rPr>
                <w:noProof/>
                <w:sz w:val="20"/>
              </w:rPr>
              <w:t>Riziko (monitorovanie profilu kreditného rizika portfólií operácií v rámci záruky EÚ, ich posudzovanie a predkladanie správ);</w:t>
            </w:r>
          </w:p>
          <w:p>
            <w:pPr>
              <w:spacing w:before="0" w:after="0"/>
              <w:rPr>
                <w:noProof/>
                <w:sz w:val="2"/>
                <w:szCs w:val="2"/>
              </w:rPr>
            </w:pPr>
          </w:p>
        </w:tc>
      </w:tr>
    </w:tbl>
    <w:p>
      <w:pPr>
        <w:rPr>
          <w:noProof/>
          <w:highlight w:val="yellow"/>
        </w:rPr>
        <w:sectPr>
          <w:pgSz w:w="11907" w:h="16840"/>
          <w:pgMar w:top="1134" w:right="1418" w:bottom="1134" w:left="1418" w:header="709" w:footer="709" w:gutter="0"/>
          <w:cols w:space="708"/>
          <w:docGrid w:linePitch="360"/>
        </w:sectPr>
      </w:pPr>
    </w:p>
    <w:p>
      <w:pPr>
        <w:pStyle w:val="ManualHeading2"/>
        <w:rPr>
          <w:noProof/>
          <w:szCs w:val="24"/>
        </w:rPr>
      </w:pPr>
      <w:r>
        <w:rPr>
          <w:noProof/>
        </w:rPr>
        <w:t>3.3.</w:t>
      </w:r>
      <w:r>
        <w:rPr>
          <w:noProof/>
        </w:rPr>
        <w:tab/>
        <w:t xml:space="preserve">Odhadovaný vplyv na príjmy </w:t>
      </w:r>
    </w:p>
    <w:p>
      <w:pPr>
        <w:pStyle w:val="ListDash1"/>
        <w:rPr>
          <w:noProof/>
        </w:rPr>
      </w:pPr>
      <w:r>
        <w:rPr>
          <w:noProof/>
        </w:rPr>
        <w:t>X</w:t>
      </w:r>
      <w:r>
        <w:rPr>
          <w:noProof/>
        </w:rPr>
        <w:tab/>
        <w:t>Návrh/iniciatíva nemá finančný vplyv na príjmy.</w:t>
      </w:r>
    </w:p>
    <w:p>
      <w:pPr>
        <w:pStyle w:val="ListDash1"/>
        <w:rPr>
          <w:noProof/>
        </w:rPr>
      </w:pPr>
      <w:r>
        <w:rPr>
          <w:noProof/>
        </w:rPr>
        <w:tab/>
      </w:r>
      <w:r>
        <w:rPr>
          <w:noProof/>
        </w:rPr>
        <w:sym w:font="Wingdings" w:char="F0A8"/>
      </w:r>
      <w:r>
        <w:rPr>
          <w:noProof/>
        </w:rPr>
        <w:t>Návrh/iniciatíva má finančný vplyv na príjmy, ako je uvedené v nasledujúcej tabuľke:</w:t>
      </w:r>
    </w:p>
    <w:p>
      <w:pPr>
        <w:pStyle w:val="ListNumberLevel3"/>
        <w:rPr>
          <w:noProof/>
        </w:rPr>
      </w:pPr>
      <w:r>
        <w:rPr>
          <w:noProof/>
        </w:rPr>
        <w:sym w:font="Wingdings" w:char="F0A8"/>
      </w:r>
      <w:r>
        <w:rPr>
          <w:noProof/>
        </w:rPr>
        <w:tab/>
        <w:t xml:space="preserve">vplyv na vlastné zdroje </w:t>
      </w:r>
    </w:p>
    <w:p>
      <w:pPr>
        <w:pStyle w:val="ListNumberLevel3"/>
        <w:rPr>
          <w:noProof/>
        </w:rPr>
      </w:pPr>
      <w:r>
        <w:rPr>
          <w:noProof/>
        </w:rPr>
        <w:sym w:font="Wingdings" w:char="F0A8"/>
      </w:r>
      <w:r>
        <w:rPr>
          <w:noProof/>
        </w:rPr>
        <w:tab/>
        <w:t xml:space="preserve">vplyv na rôzne príjmy </w:t>
      </w:r>
    </w:p>
    <w:p>
      <w:pPr>
        <w:jc w:val="right"/>
        <w:rPr>
          <w:i/>
          <w:noProof/>
          <w:sz w:val="20"/>
        </w:rPr>
      </w:pPr>
      <w:r>
        <w:rPr>
          <w:noProof/>
        </w:rPr>
        <w:t>v mil. EUR (zaokrúhlené na tri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tcMar>
              <w:left w:w="28" w:type="dxa"/>
              <w:right w:w="28" w:type="dxa"/>
            </w:tcMar>
            <w:vAlign w:val="center"/>
          </w:tcPr>
          <w:p>
            <w:pPr>
              <w:spacing w:before="40" w:after="40"/>
              <w:rPr>
                <w:noProof/>
                <w:sz w:val="18"/>
              </w:rPr>
            </w:pPr>
            <w:r>
              <w:rPr>
                <w:noProof/>
                <w:sz w:val="18"/>
              </w:rPr>
              <w:t>Rozpočtový riadok príjmov:</w:t>
            </w:r>
          </w:p>
        </w:tc>
        <w:tc>
          <w:tcPr>
            <w:tcW w:w="1276" w:type="dxa"/>
            <w:vMerge w:val="restart"/>
            <w:tcMar>
              <w:left w:w="28" w:type="dxa"/>
              <w:right w:w="28" w:type="dxa"/>
            </w:tcMar>
            <w:vAlign w:val="center"/>
          </w:tcPr>
          <w:p>
            <w:pPr>
              <w:jc w:val="center"/>
              <w:rPr>
                <w:noProof/>
                <w:sz w:val="18"/>
              </w:rPr>
            </w:pPr>
            <w:r>
              <w:rPr>
                <w:noProof/>
                <w:sz w:val="18"/>
              </w:rPr>
              <w:t>Rozpočtové prostriedky k dispozícii v prebiehajúcom rozpočtovom roku</w:t>
            </w:r>
          </w:p>
        </w:tc>
        <w:tc>
          <w:tcPr>
            <w:tcW w:w="7200" w:type="dxa"/>
            <w:gridSpan w:val="7"/>
            <w:tcMar>
              <w:left w:w="28" w:type="dxa"/>
              <w:right w:w="28" w:type="dxa"/>
            </w:tcMar>
            <w:vAlign w:val="center"/>
          </w:tcPr>
          <w:p>
            <w:pPr>
              <w:jc w:val="center"/>
              <w:rPr>
                <w:noProof/>
                <w:sz w:val="18"/>
              </w:rPr>
            </w:pPr>
            <w:r>
              <w:rPr>
                <w:noProof/>
                <w:sz w:val="18"/>
              </w:rPr>
              <w:t>Vplyv návrhu/iniciatívy</w:t>
            </w:r>
            <w:r>
              <w:rPr>
                <w:rStyle w:val="FootnoteReference"/>
                <w:noProof/>
                <w:sz w:val="18"/>
              </w:rPr>
              <w:footnoteReference w:id="23"/>
            </w:r>
          </w:p>
        </w:tc>
      </w:tr>
      <w:tr>
        <w:trPr>
          <w:trHeight w:val="388"/>
        </w:trPr>
        <w:tc>
          <w:tcPr>
            <w:tcW w:w="2144" w:type="dxa"/>
            <w:vMerge/>
            <w:tcMar>
              <w:left w:w="28" w:type="dxa"/>
              <w:right w:w="28" w:type="dxa"/>
            </w:tcMar>
          </w:tcPr>
          <w:p>
            <w:pPr>
              <w:spacing w:before="40" w:after="40"/>
              <w:rPr>
                <w:noProof/>
                <w:sz w:val="18"/>
              </w:rPr>
            </w:pPr>
          </w:p>
        </w:tc>
        <w:tc>
          <w:tcPr>
            <w:tcW w:w="1276" w:type="dxa"/>
            <w:vMerge/>
            <w:tcMar>
              <w:left w:w="28" w:type="dxa"/>
              <w:right w:w="28" w:type="dxa"/>
            </w:tcMar>
          </w:tcPr>
          <w:p>
            <w:pPr>
              <w:spacing w:beforeLines="40" w:before="96" w:afterLines="40" w:after="96"/>
              <w:rPr>
                <w:i/>
                <w:noProof/>
                <w:sz w:val="18"/>
              </w:rPr>
            </w:pPr>
          </w:p>
        </w:tc>
        <w:tc>
          <w:tcPr>
            <w:tcW w:w="1080" w:type="dxa"/>
            <w:tcMar>
              <w:left w:w="28" w:type="dxa"/>
              <w:right w:w="28" w:type="dxa"/>
            </w:tcMar>
            <w:vAlign w:val="center"/>
          </w:tcPr>
          <w:p>
            <w:pPr>
              <w:jc w:val="center"/>
              <w:rPr>
                <w:noProof/>
                <w:sz w:val="18"/>
              </w:rPr>
            </w:pPr>
            <w:r>
              <w:rPr>
                <w:noProof/>
                <w:sz w:val="18"/>
              </w:rPr>
              <w:t>Rok</w:t>
            </w:r>
            <w:r>
              <w:rPr>
                <w:noProof/>
                <w:sz w:val="22"/>
              </w:rPr>
              <w:br/>
            </w:r>
            <w:r>
              <w:rPr>
                <w:b/>
                <w:noProof/>
                <w:sz w:val="18"/>
              </w:rPr>
              <w:t>N</w:t>
            </w:r>
          </w:p>
        </w:tc>
        <w:tc>
          <w:tcPr>
            <w:tcW w:w="900" w:type="dxa"/>
            <w:tcMar>
              <w:left w:w="28" w:type="dxa"/>
              <w:right w:w="28" w:type="dxa"/>
            </w:tcMar>
            <w:vAlign w:val="center"/>
          </w:tcPr>
          <w:p>
            <w:pPr>
              <w:jc w:val="center"/>
              <w:rPr>
                <w:noProof/>
                <w:sz w:val="18"/>
              </w:rPr>
            </w:pPr>
            <w:r>
              <w:rPr>
                <w:noProof/>
                <w:sz w:val="18"/>
              </w:rPr>
              <w:t>Rok</w:t>
            </w:r>
            <w:r>
              <w:rPr>
                <w:noProof/>
                <w:sz w:val="22"/>
              </w:rPr>
              <w:br/>
            </w:r>
            <w:r>
              <w:rPr>
                <w:b/>
                <w:noProof/>
                <w:sz w:val="18"/>
              </w:rPr>
              <w:t>N + 1</w:t>
            </w:r>
          </w:p>
        </w:tc>
        <w:tc>
          <w:tcPr>
            <w:tcW w:w="900" w:type="dxa"/>
            <w:tcMar>
              <w:left w:w="28" w:type="dxa"/>
              <w:right w:w="28" w:type="dxa"/>
            </w:tcMar>
            <w:vAlign w:val="center"/>
          </w:tcPr>
          <w:p>
            <w:pPr>
              <w:jc w:val="center"/>
              <w:rPr>
                <w:noProof/>
                <w:sz w:val="18"/>
              </w:rPr>
            </w:pPr>
            <w:r>
              <w:rPr>
                <w:noProof/>
                <w:sz w:val="18"/>
              </w:rPr>
              <w:t>Rok</w:t>
            </w:r>
            <w:r>
              <w:rPr>
                <w:noProof/>
                <w:sz w:val="22"/>
              </w:rPr>
              <w:br/>
            </w:r>
            <w:r>
              <w:rPr>
                <w:b/>
                <w:noProof/>
                <w:sz w:val="18"/>
              </w:rPr>
              <w:t>N + 2</w:t>
            </w:r>
          </w:p>
        </w:tc>
        <w:tc>
          <w:tcPr>
            <w:tcW w:w="1080" w:type="dxa"/>
            <w:tcMar>
              <w:left w:w="28" w:type="dxa"/>
              <w:right w:w="28" w:type="dxa"/>
            </w:tcMar>
            <w:vAlign w:val="center"/>
          </w:tcPr>
          <w:p>
            <w:pPr>
              <w:jc w:val="center"/>
              <w:rPr>
                <w:noProof/>
                <w:sz w:val="18"/>
              </w:rPr>
            </w:pPr>
            <w:r>
              <w:rPr>
                <w:noProof/>
                <w:sz w:val="18"/>
              </w:rPr>
              <w:t>Rok</w:t>
            </w:r>
            <w:r>
              <w:rPr>
                <w:noProof/>
                <w:sz w:val="22"/>
              </w:rPr>
              <w:br/>
            </w:r>
            <w:r>
              <w:rPr>
                <w:b/>
                <w:noProof/>
                <w:sz w:val="18"/>
              </w:rPr>
              <w:t>N + 3</w:t>
            </w:r>
          </w:p>
        </w:tc>
        <w:tc>
          <w:tcPr>
            <w:tcW w:w="3240" w:type="dxa"/>
            <w:gridSpan w:val="3"/>
            <w:tcMar>
              <w:left w:w="28" w:type="dxa"/>
              <w:right w:w="28" w:type="dxa"/>
            </w:tcMar>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MV Bol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Nariadenie Európskeho parlamentu a Rady (EÚ) 2015/1017 z 25. júna 2015 o Európskom fonde pre strategické investície, Európskom centre investičného poradenstva a Európskom portáli investičných projektov a o zmene nariadení (EÚ) č. 1291/2013 a (EÚ) č. 1316/2013 – Európsky fond pre strategické investície (Ú. v. EÚ L 169, 1.7.2015, s. 1).</w:t>
      </w:r>
    </w:p>
  </w:footnote>
  <w:footnote w:id="3">
    <w:p>
      <w:pPr>
        <w:pStyle w:val="FootnoteText"/>
      </w:pPr>
      <w:r>
        <w:rPr>
          <w:rStyle w:val="FootnoteReference"/>
        </w:rPr>
        <w:footnoteRef/>
      </w:r>
      <w:r>
        <w:tab/>
        <w:t>Návrh Komisie na nariadenie Európskeho parlamentu a Rady, ktorým sa zriaďuje Program InvestEU [COM(2018) 439], čiastočná dohoda o legislatívnom návrhu Európskeho parlamentu a Rady v apríli 2019.</w:t>
      </w:r>
    </w:p>
  </w:footnote>
  <w:footnote w:id="4">
    <w:p>
      <w:pPr>
        <w:pStyle w:val="FootnoteText"/>
      </w:pPr>
      <w:r>
        <w:rPr>
          <w:rStyle w:val="FootnoteReference"/>
        </w:rPr>
        <w:footnoteRef/>
      </w:r>
      <w:r>
        <w:tab/>
        <w:t>V zmysle vymedzenia v článku 2 ods. 18 nariadenia Komisie (EÚ) č. 651/2014 zo 17. júna 2014 o vyhlásení určitých kategórií pomoci za zlučiteľné s vnútorným trhom podľa článkov 107 a 108 zmluvy (Ú. v. EÚ L 187, 26.6.2014, s. 1).</w:t>
      </w:r>
    </w:p>
  </w:footnote>
  <w:footnote w:id="5">
    <w:p>
      <w:pPr>
        <w:pStyle w:val="FootnoteText"/>
      </w:pPr>
      <w:r>
        <w:rPr>
          <w:rStyle w:val="FootnoteReference"/>
        </w:rPr>
        <w:footnoteRef/>
      </w:r>
      <w:r>
        <w:tab/>
        <w:t>C(2020) 1863 final, zmenené C(2020) 3156 final.</w:t>
      </w:r>
    </w:p>
  </w:footnote>
  <w:footnote w:id="6">
    <w:p>
      <w:pPr>
        <w:pStyle w:val="FootnoteText"/>
      </w:pPr>
      <w:r>
        <w:rPr>
          <w:rStyle w:val="FootnoteReference"/>
        </w:rPr>
        <w:footnoteRef/>
      </w:r>
      <w:r>
        <w:tab/>
        <w:t>Ú. v. EÚ C […], […], s. […].</w:t>
      </w:r>
    </w:p>
  </w:footnote>
  <w:footnote w:id="7">
    <w:p>
      <w:pPr>
        <w:pStyle w:val="FootnoteText"/>
      </w:pPr>
      <w:r>
        <w:rPr>
          <w:rStyle w:val="FootnoteReference"/>
        </w:rPr>
        <w:footnoteRef/>
      </w:r>
      <w:r>
        <w:tab/>
        <w:t>Ú. v. EÚ C […], […], s. […].</w:t>
      </w:r>
    </w:p>
  </w:footnote>
  <w:footnote w:id="8">
    <w:p>
      <w:pPr>
        <w:pStyle w:val="FootnoteText"/>
      </w:pPr>
      <w:r>
        <w:rPr>
          <w:rStyle w:val="FootnoteReference"/>
        </w:rPr>
        <w:footnoteRef/>
      </w:r>
      <w:r>
        <w:tab/>
        <w:t>V zmysle vymedzenia v článku 2 ods. 18 nariadenia Komisie (EÚ) č. 651/2014 zo 17. júna 2014 o vyhlásení určitých kategórií pomoci za zlučiteľné s vnútorným trhom podľa článkov 107 a 108 zmluvy (Ú. v. EÚ L 187, 26.6.2014, s. 1).</w:t>
      </w:r>
    </w:p>
  </w:footnote>
  <w:footnote w:id="9">
    <w:p>
      <w:pPr>
        <w:pStyle w:val="FootnoteText"/>
      </w:pPr>
      <w:r>
        <w:rPr>
          <w:rStyle w:val="FootnoteReference"/>
        </w:rPr>
        <w:footnoteRef/>
      </w:r>
      <w:r>
        <w:tab/>
        <w:t>V zmysle vymedzenia v článku 2 ods. 18 nariadenia Komisie (EÚ) č. 651/2014 zo 17. júna 2014 o vyhlásení určitých kategórií pomoci za zlučiteľné s vnútorným trhom podľa článkov 107 a 108 zmluvy (Ú. v. EÚ L 187, 26.6.2014, s. 1).</w:t>
      </w:r>
    </w:p>
  </w:footnote>
  <w:footnote w:id="10">
    <w:p>
      <w:pPr>
        <w:pStyle w:val="FootnoteText"/>
      </w:pPr>
      <w:r>
        <w:rPr>
          <w:rStyle w:val="FootnoteReference"/>
        </w:rPr>
        <w:footnoteRef/>
      </w:r>
      <w:r>
        <w:tab/>
        <w:t>COM(2019) 640 final.</w:t>
      </w:r>
    </w:p>
  </w:footnote>
  <w:footnote w:id="11">
    <w:p>
      <w:pPr>
        <w:pStyle w:val="FootnoteText"/>
      </w:pPr>
      <w:r>
        <w:rPr>
          <w:rStyle w:val="FootnoteReference"/>
        </w:rPr>
        <w:footnoteRef/>
      </w:r>
      <w:r>
        <w:tab/>
        <w:t>COM(2020) 67 final.</w:t>
      </w:r>
    </w:p>
  </w:footnote>
  <w:footnote w:id="12">
    <w:p>
      <w:pPr>
        <w:pStyle w:val="FootnoteText"/>
      </w:pPr>
      <w:r>
        <w:rPr>
          <w:rStyle w:val="FootnoteReference"/>
        </w:rPr>
        <w:footnoteRef/>
      </w:r>
      <w:r>
        <w:tab/>
        <w:t>Toto je neúplný zoznam produktov, ktoré môžu byť ponúkané prostredníctvom EFSI.</w:t>
      </w:r>
    </w:p>
  </w:footnote>
  <w:footnote w:id="13">
    <w:p>
      <w:pPr>
        <w:pStyle w:val="FootnoteText"/>
      </w:pPr>
      <w:r>
        <w:rPr>
          <w:rStyle w:val="FootnoteReference"/>
        </w:rPr>
        <w:footnoteRef/>
      </w:r>
      <w:r>
        <w:tab/>
        <w:t>Oznámenie Komisie: Dočasný rámec pre opatrenia štátnej pomoci na podporu hospodárstva v súčasnej situácii spôsobenej nákazou COVID-19 [C(2020) 1863], zmenený C(2020) 3156 final.</w:t>
      </w:r>
    </w:p>
  </w:footnote>
  <w:footnote w:id="14">
    <w:p>
      <w:pPr>
        <w:pStyle w:val="FootnoteText"/>
        <w:rPr>
          <w:szCs w:val="24"/>
        </w:rPr>
      </w:pPr>
      <w:r>
        <w:rPr>
          <w:rStyle w:val="FootnoteReference"/>
        </w:rPr>
        <w:footnoteRef/>
      </w:r>
      <w:r>
        <w:tab/>
        <w:t>ABM: riadenie podľa činností; ABB: zostavovanie rozpočtu podľa činností.</w:t>
      </w:r>
    </w:p>
  </w:footnote>
  <w:footnote w:id="15">
    <w:p>
      <w:pPr>
        <w:pStyle w:val="FootnoteText"/>
        <w:rPr>
          <w:szCs w:val="24"/>
        </w:rPr>
      </w:pPr>
      <w:r>
        <w:rPr>
          <w:rStyle w:val="FootnoteReference"/>
        </w:rPr>
        <w:footnoteRef/>
      </w:r>
      <w:r>
        <w:tab/>
        <w:t>Podľa článku 54 ods. 2 písm. a) alebo b) nariadenia o rozpočtových pravidlách.</w:t>
      </w:r>
    </w:p>
  </w:footnote>
  <w:footnote w:id="16">
    <w:p>
      <w:pPr>
        <w:pStyle w:val="FootnoteText"/>
        <w:rPr>
          <w:szCs w:val="24"/>
        </w:rPr>
      </w:pPr>
      <w:r>
        <w:rPr>
          <w:rStyle w:val="FootnoteReference"/>
        </w:rPr>
        <w:footnoteRef/>
      </w:r>
      <w:r>
        <w:tab/>
        <w:t xml:space="preserve">Vysvetlenie spôsobov riadenia a odkazy na nariadenie o rozpočtových pravidlách sú k dispozícii na webovom sídle BudgWeb: </w:t>
      </w:r>
      <w:hyperlink r:id="rId1" w:history="1">
        <w:r>
          <w:rPr>
            <w:rStyle w:val="Hyperlink"/>
          </w:rPr>
          <w:t>http://www.cc.cec/budg/man/budgmanag/budgmanag_en.html</w:t>
        </w:r>
      </w:hyperlink>
    </w:p>
  </w:footnote>
  <w:footnote w:id="17">
    <w:p>
      <w:pPr>
        <w:pStyle w:val="FootnoteText"/>
        <w:rPr>
          <w:szCs w:val="24"/>
        </w:rPr>
      </w:pPr>
      <w:r>
        <w:rPr>
          <w:rStyle w:val="FootnoteReference"/>
        </w:rPr>
        <w:footnoteRef/>
      </w:r>
      <w:r>
        <w:tab/>
        <w:t>DRP = diferencované rozpočtové prostriedky/NRP = nediferencované rozpočtové prostriedky.</w:t>
      </w:r>
    </w:p>
  </w:footnote>
  <w:footnote w:id="18">
    <w:p>
      <w:pPr>
        <w:pStyle w:val="FootnoteText"/>
        <w:rPr>
          <w:szCs w:val="24"/>
        </w:rPr>
      </w:pPr>
      <w:r>
        <w:rPr>
          <w:rStyle w:val="FootnoteReference"/>
        </w:rPr>
        <w:footnoteRef/>
      </w:r>
      <w:r>
        <w:tab/>
        <w:t xml:space="preserve">EZVO: Európske združenie voľného obchodu. </w:t>
      </w:r>
    </w:p>
  </w:footnote>
  <w:footnote w:id="19">
    <w:p>
      <w:pPr>
        <w:pStyle w:val="FootnoteText"/>
        <w:rPr>
          <w:szCs w:val="24"/>
        </w:rPr>
      </w:pPr>
      <w:r>
        <w:rPr>
          <w:rStyle w:val="FootnoteReference"/>
        </w:rPr>
        <w:footnoteRef/>
      </w:r>
      <w:r>
        <w:tab/>
        <w:t>Kandidátske krajiny a prípadne potenciálne kandidátske krajiny západného Balkánu.</w:t>
      </w:r>
    </w:p>
  </w:footnote>
  <w:footnote w:id="20">
    <w:p>
      <w:pPr>
        <w:pStyle w:val="FootnoteText"/>
        <w:rPr>
          <w:szCs w:val="24"/>
        </w:rPr>
      </w:pPr>
      <w:r>
        <w:rPr>
          <w:rStyle w:val="FootnoteReference"/>
        </w:rPr>
        <w:footnoteRef/>
      </w:r>
      <w:r>
        <w:tab/>
        <w:t>Na rok 2020: Technická a/alebo administratívna pomoc a výdavky určené na financovanie implementácie programov a/alebo akcií Európskej únie (pôvodné rozpočtové riadky „BA“), nepriamy výskum, priamy výskum. Od roku 2021: Vonkajšie pripísané príjmy.</w:t>
      </w:r>
    </w:p>
  </w:footnote>
  <w:footnote w:id="21">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22">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23">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850"/>
        </w:tabs>
        <w:ind w:left="850"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39B41F04"/>
    <w:name w:val="0,5329554"/>
    <w:lvl w:ilvl="0">
      <w:start w:val="1"/>
      <w:numFmt w:val="decimal"/>
      <w:lvlRestart w:val="0"/>
      <w:pStyle w:val="ListNumber"/>
      <w:lvlText w:val="(%1)"/>
      <w:lvlJc w:val="left"/>
      <w:pPr>
        <w:tabs>
          <w:tab w:val="num" w:pos="851"/>
        </w:tabs>
        <w:ind w:left="851"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1"/>
  </w:num>
  <w:num w:numId="11">
    <w:abstractNumId w:val="10"/>
  </w:num>
  <w:num w:numId="12">
    <w:abstractNumId w:val="2"/>
  </w:num>
  <w:num w:numId="13">
    <w:abstractNumId w:val="11"/>
  </w:num>
  <w:num w:numId="14">
    <w:abstractNumId w:val="9"/>
  </w:num>
  <w:num w:numId="15">
    <w:abstractNumId w:val="17"/>
  </w:num>
  <w:num w:numId="16">
    <w:abstractNumId w:val="7"/>
  </w:num>
  <w:num w:numId="17">
    <w:abstractNumId w:val="14"/>
    <w:lvlOverride w:ilvl="0">
      <w:startOverride w:val="1"/>
    </w:lvlOverride>
  </w:num>
  <w:num w:numId="18">
    <w:abstractNumId w:val="22"/>
  </w:num>
  <w:num w:numId="19">
    <w:abstractNumId w:val="12"/>
  </w:num>
  <w:num w:numId="20">
    <w:abstractNumId w:val="25"/>
  </w:num>
  <w:num w:numId="21">
    <w:abstractNumId w:val="6"/>
  </w:num>
  <w:num w:numId="22">
    <w:abstractNumId w:val="13"/>
  </w:num>
  <w:num w:numId="23">
    <w:abstractNumId w:val="4"/>
  </w:num>
  <w:num w:numId="24">
    <w:abstractNumId w:val="24"/>
  </w:num>
  <w:num w:numId="25">
    <w:abstractNumId w:val="3"/>
  </w:num>
  <w:num w:numId="26">
    <w:abstractNumId w:val="14"/>
  </w:num>
  <w:num w:numId="27">
    <w:abstractNumId w:val="20"/>
  </w:num>
  <w:num w:numId="28">
    <w:abstractNumId w:val="21"/>
  </w:num>
  <w:num w:numId="29">
    <w:abstractNumId w:val="5"/>
  </w:num>
  <w:num w:numId="30">
    <w:abstractNumId w:val="1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50: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185E582-F7A2-4DFC-8657-66037C097FFF"/>
    <w:docVar w:name="LW_COVERPAGE_TYPE" w:val="1"/>
    <w:docVar w:name="LW_CROSSREFERENCE" w:val="&lt;UNUSED&gt;"/>
    <w:docVar w:name="LW_DocType" w:val="COM"/>
    <w:docVar w:name="LW_EMISSION" w:val="29. 5. 2020"/>
    <w:docVar w:name="LW_EMISSION_ISODATE" w:val="2020-05-29"/>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06"/>
    <w:docVar w:name="LW_REF.II.NEW.CP_YEAR" w:val="2020"/>
    <w:docVar w:name="LW_REF.INST.NEW" w:val="COM"/>
    <w:docVar w:name="LW_REF.INST.NEW_ADOPTED" w:val="final"/>
    <w:docVar w:name="LW_REF.INST.NEW_TEXT" w:val="(2020)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nariadenie (EÚ) 2015/1017, pokia\u318? ide o vytvorenie Nástroja na podporu platobnej schopnosti"/>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2885">
      <w:bodyDiv w:val="1"/>
      <w:marLeft w:val="0"/>
      <w:marRight w:val="0"/>
      <w:marTop w:val="0"/>
      <w:marBottom w:val="0"/>
      <w:divBdr>
        <w:top w:val="none" w:sz="0" w:space="0" w:color="auto"/>
        <w:left w:val="none" w:sz="0" w:space="0" w:color="auto"/>
        <w:bottom w:val="none" w:sz="0" w:space="0" w:color="auto"/>
        <w:right w:val="none" w:sz="0" w:space="0" w:color="auto"/>
      </w:divBdr>
    </w:div>
    <w:div w:id="1107697314">
      <w:bodyDiv w:val="1"/>
      <w:marLeft w:val="0"/>
      <w:marRight w:val="0"/>
      <w:marTop w:val="0"/>
      <w:marBottom w:val="0"/>
      <w:divBdr>
        <w:top w:val="none" w:sz="0" w:space="0" w:color="auto"/>
        <w:left w:val="none" w:sz="0" w:space="0" w:color="auto"/>
        <w:bottom w:val="none" w:sz="0" w:space="0" w:color="auto"/>
        <w:right w:val="none" w:sz="0" w:space="0" w:color="auto"/>
      </w:divBdr>
    </w:div>
    <w:div w:id="1173762818">
      <w:bodyDiv w:val="1"/>
      <w:marLeft w:val="0"/>
      <w:marRight w:val="0"/>
      <w:marTop w:val="0"/>
      <w:marBottom w:val="0"/>
      <w:divBdr>
        <w:top w:val="none" w:sz="0" w:space="0" w:color="auto"/>
        <w:left w:val="none" w:sz="0" w:space="0" w:color="auto"/>
        <w:bottom w:val="none" w:sz="0" w:space="0" w:color="auto"/>
        <w:right w:val="none" w:sz="0" w:space="0" w:color="auto"/>
      </w:divBdr>
    </w:div>
    <w:div w:id="1304890315">
      <w:bodyDiv w:val="1"/>
      <w:marLeft w:val="0"/>
      <w:marRight w:val="0"/>
      <w:marTop w:val="0"/>
      <w:marBottom w:val="0"/>
      <w:divBdr>
        <w:top w:val="none" w:sz="0" w:space="0" w:color="auto"/>
        <w:left w:val="none" w:sz="0" w:space="0" w:color="auto"/>
        <w:bottom w:val="none" w:sz="0" w:space="0" w:color="auto"/>
        <w:right w:val="none" w:sz="0" w:space="0" w:color="auto"/>
      </w:divBdr>
    </w:div>
    <w:div w:id="1348949563">
      <w:bodyDiv w:val="1"/>
      <w:marLeft w:val="0"/>
      <w:marRight w:val="0"/>
      <w:marTop w:val="0"/>
      <w:marBottom w:val="0"/>
      <w:divBdr>
        <w:top w:val="none" w:sz="0" w:space="0" w:color="auto"/>
        <w:left w:val="none" w:sz="0" w:space="0" w:color="auto"/>
        <w:bottom w:val="none" w:sz="0" w:space="0" w:color="auto"/>
        <w:right w:val="none" w:sz="0" w:space="0" w:color="auto"/>
      </w:divBdr>
    </w:div>
    <w:div w:id="15090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FD05-3A6C-4B53-820E-77EDA186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33</Pages>
  <Words>10381</Words>
  <Characters>62183</Characters>
  <Application>Microsoft Office Word</Application>
  <DocSecurity>0</DocSecurity>
  <Lines>1828</Lines>
  <Paragraphs>834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2020-06-01T10:51:00Z</dcterms:created>
  <dcterms:modified xsi:type="dcterms:W3CDTF">2020-06-02T09:50:00Z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Version">
    <vt:lpwstr>7.0.8.0</vt:lpwstr>
  </property>
  <property fmtid="{D5CDD505-2E9C-101B-9397-08002B2CF9AE}" pid="9" name="Created using">
    <vt:lpwstr>LW 7.0, Build 20190717</vt:lpwstr>
  </property>
  <property fmtid="{D5CDD505-2E9C-101B-9397-08002B2CF9AE}" pid="10" name="DQCStatus">
    <vt:lpwstr>Green (DQC version 03)</vt:lpwstr>
  </property>
</Properties>
</file>