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3BA8826-B99A-4C09-A1AE-F81E2CA76CF9" style="width:450.45pt;height:351.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rPr>
          <w:noProof/>
        </w:rPr>
      </w:pPr>
    </w:p>
    <w:p>
      <w:pPr>
        <w:pStyle w:val="ManualHeading1"/>
        <w:rPr>
          <w:noProof/>
        </w:rPr>
      </w:pPr>
      <w:r>
        <w:rPr>
          <w:noProof/>
        </w:rPr>
        <w:t>1.</w:t>
      </w:r>
      <w:r>
        <w:rPr>
          <w:noProof/>
        </w:rPr>
        <w:tab/>
        <w:t>PRIEKŠLIKUMA KONTEKSTS</w:t>
      </w:r>
    </w:p>
    <w:p>
      <w:pPr>
        <w:rPr>
          <w:noProof/>
          <w:bdr w:val="none" w:sz="0" w:space="0" w:color="auto" w:frame="1"/>
        </w:rPr>
      </w:pPr>
      <w:r>
        <w:rPr>
          <w:noProof/>
          <w:bdr w:val="none" w:sz="0" w:space="0" w:color="auto" w:frame="1"/>
        </w:rPr>
        <w:t xml:space="preserve">Finansējuma vajadzības steidzamām investīcijām krīzes ietekmē ir vēl nepieredzētas. Tāpēc ir nepieciešama izlēmīga ārkārtas reakcija Savienības līmenī. </w:t>
      </w:r>
      <w:r>
        <w:rPr>
          <w:noProof/>
        </w:rPr>
        <w:t xml:space="preserve">Finansiālais atbalsts ir jākoncentrē īpaši nozīmīgajos pirmajos atlabšanas gados, tostarp 2020. gadā.  </w:t>
      </w:r>
      <w:r>
        <w:rPr>
          <w:noProof/>
          <w:szCs w:val="24"/>
          <w:bdr w:val="none" w:sz="0" w:space="0" w:color="auto" w:frame="1"/>
        </w:rPr>
        <w:t xml:space="preserve">Tas palīdzēs pārvarēt plaisu starp pirmajiem reaģēšanas pasākumiem un ilgtermiņa atlabšanu. </w:t>
      </w:r>
      <w:r>
        <w:rPr>
          <w:noProof/>
          <w:bdr w:val="none" w:sz="0" w:space="0" w:color="auto" w:frame="1"/>
        </w:rPr>
        <w:t xml:space="preserve">Intervences mērogam un struktūrai ir jāatspoguļo to problēmu vērienīgums un steidzamība, ar kurām saskaras Savienība. </w:t>
      </w:r>
      <w:r>
        <w:rPr>
          <w:noProof/>
        </w:rPr>
        <w:t>Komisija ierosina pilnībā izsmelt ES budžeta potenciālu, lai izmantotu investīcijas un paātrinātu finansiālo atbalstu ekonomikas atlabšanas pirmajos būtiskajos mēnešos un gados.</w:t>
      </w:r>
    </w:p>
    <w:p>
      <w:pPr>
        <w:rPr>
          <w:rFonts w:eastAsia="Arial Unicode MS" w:cs="Arial Unicode MS"/>
          <w:noProof/>
          <w:szCs w:val="24"/>
          <w:u w:color="000000"/>
          <w:bdr w:val="nil"/>
        </w:rPr>
      </w:pPr>
      <w:r>
        <w:rPr>
          <w:noProof/>
          <w:szCs w:val="24"/>
          <w:u w:color="000000"/>
          <w:bdr w:val="nil"/>
        </w:rPr>
        <w:t>Pēdējo nedēļu laikā Komisija ir izmantojusi visu pašreizējā ES budžeta atlikušo elastību, lai katru pieejamo euro novirzītu dzīvību glābšanai un iztikas līdzekļu aizsardzībai. Šie pasākumi parādīja ES budžeta spēju sniegt savlaicīgu un būtisku atbalstu krīzes skartajām dalībvalstīm. Tie ir arī izsmēluši visu atlikušo elastību pašreizējā ES budžetā, tādējādi parādot, ka steidzami nepieciešami jauni pasākumi, lai virzītu ekonomikas atlabšanas nākamos izšķirīgos posmus.</w:t>
      </w:r>
    </w:p>
    <w:p>
      <w:pPr>
        <w:rPr>
          <w:noProof/>
        </w:rPr>
      </w:pPr>
      <w:r>
        <w:rPr>
          <w:noProof/>
          <w:szCs w:val="24"/>
          <w:u w:color="000000"/>
          <w:bdr w:val="nil"/>
        </w:rPr>
        <w:t>Tādēļ ir nepieciešams pārskatīt</w:t>
      </w:r>
      <w:r>
        <w:rPr>
          <w:noProof/>
        </w:rPr>
        <w:t xml:space="preserve"> Padomes Regulu (ES, Euratom) Nr. 1311/2013 (2013. gada 2. decembris)</w:t>
      </w:r>
      <w:r>
        <w:rPr>
          <w:rStyle w:val="FootnoteReference"/>
          <w:noProof/>
        </w:rPr>
        <w:footnoteReference w:id="2"/>
      </w:r>
      <w:r>
        <w:rPr>
          <w:noProof/>
        </w:rPr>
        <w:t>, ar ko nosaka daudzgadu finanšu shēmu 2014.–2020. gadam, lai finansiālo atbalstu varētu piešķirt pēc iespējas ātrāk jau 2020. gadā. Tas jo īpaši attiecas uz jebkādu agrīnu nepieciešamību finansēt Maksātspējas atbalsta instrumenta nodrošināšanu Eiropas Stratēģisko investīciju fonda ietvaros un Savienības ieguldījumu Eiropas Investīciju fonda</w:t>
      </w:r>
      <w:r>
        <w:rPr>
          <w:rStyle w:val="FootnoteReference"/>
          <w:noProof/>
        </w:rPr>
        <w:footnoteReference w:id="3"/>
      </w:r>
      <w:r>
        <w:rPr>
          <w:noProof/>
        </w:rPr>
        <w:t xml:space="preserve"> kapitāla palielināšanā, papildu kohēzijas izdevumu saskaņā ar </w:t>
      </w:r>
      <w:r>
        <w:rPr>
          <w:i/>
          <w:noProof/>
        </w:rPr>
        <w:t>REACT-EU</w:t>
      </w:r>
      <w:r>
        <w:rPr>
          <w:rStyle w:val="FootnoteReference"/>
          <w:noProof/>
        </w:rPr>
        <w:footnoteReference w:id="4"/>
      </w:r>
      <w:r>
        <w:rPr>
          <w:noProof/>
        </w:rPr>
        <w:t xml:space="preserve"> pārcelšanu uz agrāku laiku un Eiropas Fonda ilgtspējīgai attīstībai finanšu līdzekļu palielināšanu</w:t>
      </w:r>
      <w:r>
        <w:rPr>
          <w:rStyle w:val="FootnoteReference"/>
          <w:noProof/>
        </w:rPr>
        <w:footnoteReference w:id="5"/>
      </w:r>
      <w:r>
        <w:rPr>
          <w:noProof/>
        </w:rPr>
        <w:t>.</w:t>
      </w:r>
    </w:p>
    <w:p>
      <w:pPr>
        <w:pStyle w:val="ManualHeading1"/>
        <w:rPr>
          <w:noProof/>
        </w:rPr>
      </w:pPr>
      <w:r>
        <w:rPr>
          <w:noProof/>
        </w:rPr>
        <w:t>2.</w:t>
      </w:r>
      <w:r>
        <w:rPr>
          <w:noProof/>
        </w:rPr>
        <w:tab/>
        <w:t>PRIEKŠLIKUMA JURIDISKIE ASPEKTI</w:t>
      </w:r>
    </w:p>
    <w:p>
      <w:pPr>
        <w:pBdr>
          <w:top w:val="nil"/>
          <w:left w:val="nil"/>
          <w:bottom w:val="nil"/>
          <w:right w:val="nil"/>
          <w:between w:val="nil"/>
          <w:bar w:val="nil"/>
        </w:pBdr>
        <w:spacing w:before="0" w:after="240"/>
        <w:rPr>
          <w:noProof/>
        </w:rPr>
      </w:pPr>
      <w:r>
        <w:rPr>
          <w:noProof/>
        </w:rPr>
        <w:t xml:space="preserve">Lai </w:t>
      </w:r>
      <w:r>
        <w:rPr>
          <w:noProof/>
          <w:szCs w:val="24"/>
          <w:u w:color="000000"/>
          <w:bdr w:val="nil"/>
        </w:rPr>
        <w:t>izmantotu investīcijas un ātrāku finansiālo atbalstu būtiskajos pirmajos atveseļošanās mēnešos</w:t>
      </w:r>
      <w:r>
        <w:rPr>
          <w:noProof/>
        </w:rPr>
        <w:t>, šī pārskatīšana paredz palielināt 2014.–2020. gada daudzgadu shēmā noteikto izdevumu maksimālo apjomu 2020. gadam.</w:t>
      </w:r>
    </w:p>
    <w:p>
      <w:pPr>
        <w:pBdr>
          <w:top w:val="nil"/>
          <w:left w:val="nil"/>
          <w:bottom w:val="nil"/>
          <w:right w:val="nil"/>
          <w:between w:val="nil"/>
          <w:bar w:val="nil"/>
        </w:pBdr>
        <w:spacing w:before="0" w:after="240"/>
        <w:rPr>
          <w:noProof/>
        </w:rPr>
      </w:pPr>
      <w:r>
        <w:rPr>
          <w:noProof/>
        </w:rPr>
        <w:t>Komisija ierosina palielināt saistību apropriāciju maksimālo apjomu 2020. gadam šādi:</w:t>
      </w:r>
    </w:p>
    <w:p>
      <w:pPr>
        <w:pStyle w:val="Tiret0"/>
        <w:numPr>
          <w:ilvl w:val="0"/>
          <w:numId w:val="10"/>
        </w:numPr>
        <w:rPr>
          <w:noProof/>
        </w:rPr>
      </w:pPr>
      <w:r>
        <w:rPr>
          <w:noProof/>
        </w:rPr>
        <w:t>saistību apropriāciju maksimālais apjoms 1.a apakškategorijā “Konkurētspēja izaugsmei un nodarbinātībai” ir palielināts līdz 25 681 miljoniem EUR (2011. gada cenās);</w:t>
      </w:r>
    </w:p>
    <w:p>
      <w:pPr>
        <w:pStyle w:val="Tiret0"/>
        <w:numPr>
          <w:ilvl w:val="0"/>
          <w:numId w:val="9"/>
        </w:numPr>
        <w:rPr>
          <w:noProof/>
        </w:rPr>
      </w:pPr>
      <w:r>
        <w:rPr>
          <w:noProof/>
        </w:rPr>
        <w:t>saistību apropriāciju maksimālais apjoms 1.b izdevumu apakškategorijā “Ekonomikas, sociālā un teritoriālā kohēzija” ir palielināts līdz 53 109 miljoniem EUR (2011. gada cenās);</w:t>
      </w:r>
    </w:p>
    <w:p>
      <w:pPr>
        <w:pStyle w:val="Tiret0"/>
        <w:rPr>
          <w:noProof/>
        </w:rPr>
      </w:pPr>
      <w:r>
        <w:rPr>
          <w:noProof/>
        </w:rPr>
        <w:t>saistību apropriāciju maksimālais apjoms 4. izdevumu kategorijā “Globālā Eiropa” ir palielināts līdz 9 665 miljoniem EUR (2011. gada cenās).</w:t>
      </w:r>
    </w:p>
    <w:p>
      <w:pPr>
        <w:pBdr>
          <w:top w:val="nil"/>
          <w:left w:val="nil"/>
          <w:bottom w:val="nil"/>
          <w:right w:val="nil"/>
          <w:between w:val="nil"/>
          <w:bar w:val="nil"/>
        </w:pBdr>
        <w:spacing w:before="0" w:after="240"/>
        <w:rPr>
          <w:noProof/>
        </w:rPr>
      </w:pPr>
      <w:r>
        <w:rPr>
          <w:noProof/>
        </w:rPr>
        <w:lastRenderedPageBreak/>
        <w:t>Ierosinātais saistību maksimālā apjoma palielinājums radīs maksājumu vajadzību palielinājumu par 6 040 miljoniem EUR, kas ir saderīgs ar 2020. gada maksājumu maksimālo apjomu, kurš koriģēts 2019. gada maija tehniskajās korekcijās</w:t>
      </w:r>
      <w:r>
        <w:rPr>
          <w:rStyle w:val="FootnoteReference"/>
          <w:noProof/>
        </w:rPr>
        <w:footnoteReference w:id="6"/>
      </w:r>
      <w:r>
        <w:rPr>
          <w:noProof/>
        </w:rPr>
        <w:t>. Šā iemesla dēļ Komisija neierosina pārskatīt 2020. gada maksājumu maksimālo apjomu.</w:t>
      </w:r>
    </w:p>
    <w:p>
      <w:pPr>
        <w:pBdr>
          <w:top w:val="nil"/>
          <w:left w:val="nil"/>
          <w:bottom w:val="nil"/>
          <w:right w:val="nil"/>
          <w:between w:val="nil"/>
          <w:bar w:val="nil"/>
        </w:pBdr>
        <w:spacing w:before="0" w:after="240"/>
        <w:rPr>
          <w:noProof/>
        </w:rPr>
      </w:pPr>
      <w:r>
        <w:rPr>
          <w:noProof/>
        </w:rPr>
        <w:t>Tāpēc Regulas (ES, Euratom) Nr. 1311/2013 pielikums būtu jāgroza un jāaizstāj ar šā priekšlikuma pielikumu.</w:t>
      </w:r>
    </w:p>
    <w:p>
      <w:pPr>
        <w:pBdr>
          <w:top w:val="nil"/>
          <w:left w:val="nil"/>
          <w:bottom w:val="nil"/>
          <w:right w:val="nil"/>
          <w:between w:val="nil"/>
          <w:bar w:val="nil"/>
        </w:pBdr>
        <w:spacing w:before="0" w:after="240"/>
        <w:rPr>
          <w:noProof/>
        </w:rPr>
      </w:pPr>
      <w:r>
        <w:rPr>
          <w:noProof/>
        </w:rPr>
        <w:t>Saskaņā ar Līguma par Lielbritānijas un Ziemeļīrijas Apvienotās Karalistes izstāšanos no Eiropas Savienības un Eiropas Atomenerģijas kopienas</w:t>
      </w:r>
      <w:r>
        <w:rPr>
          <w:rStyle w:val="FootnoteReference"/>
          <w:noProof/>
        </w:rPr>
        <w:footnoteReference w:id="7"/>
      </w:r>
      <w:r>
        <w:rPr>
          <w:noProof/>
        </w:rPr>
        <w:t xml:space="preserve"> 135. panta 2. punktu šī regula nebūtu jāpiemēro Apvienotajai Karalistei, ciktāl tā ietekmē Apvienotās Karalistes finansiālās saistības salīdzinājumā ar tām, kas bija spēkā dienā, kad Apvienotā Karaliste izstājās no Savienības.</w:t>
      </w:r>
    </w:p>
    <w:p>
      <w:pPr>
        <w:pBdr>
          <w:top w:val="nil"/>
          <w:left w:val="nil"/>
          <w:bottom w:val="nil"/>
          <w:right w:val="nil"/>
          <w:between w:val="nil"/>
          <w:bar w:val="nil"/>
        </w:pBdr>
        <w:spacing w:before="0" w:after="240"/>
        <w:rPr>
          <w:rFonts w:eastAsia="Arial Unicode MS"/>
          <w:noProof/>
        </w:rPr>
      </w:pPr>
    </w:p>
    <w:p>
      <w:pPr>
        <w:spacing w:before="240"/>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2020/0109 (APP)</w:t>
      </w:r>
    </w:p>
    <w:p>
      <w:pPr>
        <w:pStyle w:val="Statut"/>
        <w:rPr>
          <w:noProof/>
        </w:rPr>
      </w:pPr>
      <w:r>
        <w:rPr>
          <w:noProof/>
        </w:rPr>
        <w:t>Priekšlikums</w:t>
      </w:r>
    </w:p>
    <w:p>
      <w:pPr>
        <w:pStyle w:val="Typedudocument"/>
        <w:rPr>
          <w:noProof/>
        </w:rPr>
      </w:pPr>
      <w:r>
        <w:rPr>
          <w:noProof/>
        </w:rPr>
        <w:t>PADOMES REGULA,</w:t>
      </w:r>
    </w:p>
    <w:p>
      <w:pPr>
        <w:pStyle w:val="Titreobjet"/>
        <w:rPr>
          <w:noProof/>
        </w:rPr>
      </w:pPr>
      <w:r>
        <w:rPr>
          <w:noProof/>
        </w:rPr>
        <w:t>ar kuru groza Padomes Regulu (ES, Euratom) Nr. 1311/2013, ar ko nosaka daudzgadu finanšu shēmu 2014.–2020. gadam</w:t>
      </w:r>
    </w:p>
    <w:p>
      <w:pPr>
        <w:pStyle w:val="Institutionquiagit"/>
        <w:rPr>
          <w:noProof/>
        </w:rPr>
      </w:pPr>
      <w:r>
        <w:rPr>
          <w:noProof/>
        </w:rPr>
        <w:t>EIROPAS SAVIENĪBAS PADOME,</w:t>
      </w:r>
    </w:p>
    <w:p>
      <w:pPr>
        <w:rPr>
          <w:noProof/>
        </w:rPr>
      </w:pPr>
      <w:r>
        <w:rPr>
          <w:noProof/>
        </w:rPr>
        <w:t>ņemot vērā Līgumu par Eiropas Savienības darbību un jo īpaši tā 312.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Parlamenta piekrišanu</w:t>
      </w:r>
      <w:r>
        <w:rPr>
          <w:rStyle w:val="FootnoteReference"/>
          <w:noProof/>
        </w:rPr>
        <w:footnoteReference w:id="8"/>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bdr w:val="none" w:sz="0" w:space="0" w:color="auto" w:frame="1"/>
        </w:rPr>
        <w:t>COVID-19 uzliesmojums un ar to saistītā sabiedrības veselības un ekonomikas krīze prasa ārkārtas pasākumus. Finansējuma vajadzības steidzamiem ieguldījumiem krīzes ietekmē ir vēl nepieredzētas. Tāpēc ir nepieciešama izlēmīga un ārkārtas reakcija Savienības līmenī, un</w:t>
      </w:r>
      <w:r>
        <w:rPr>
          <w:noProof/>
        </w:rPr>
        <w:t xml:space="preserve"> finansiālais atbalsts ir jāpiešķir jau svarīgākajos pirmajos atveseļošanās gados, tostarp 2020. gadā.</w:t>
      </w:r>
    </w:p>
    <w:p>
      <w:pPr>
        <w:pStyle w:val="ManualConsidrant"/>
        <w:rPr>
          <w:noProof/>
        </w:rPr>
      </w:pPr>
      <w:r>
        <w:t>(2)</w:t>
      </w:r>
      <w:r>
        <w:tab/>
      </w:r>
      <w:r>
        <w:rPr>
          <w:noProof/>
        </w:rPr>
        <w:t>Ir nepieciešams segt finansiālās vajadzības 2020. gadā, kas izriet no jaunām iniciatīvām, kuras vērstas uz ekonomikas atveseļošanu. Tas attiecas uz Maksātspējas atbalsta instrumentu un Savienības ieguldījumu Eiropas Investīciju fonda</w:t>
      </w:r>
      <w:r>
        <w:rPr>
          <w:rStyle w:val="FootnoteReference"/>
          <w:noProof/>
        </w:rPr>
        <w:footnoteReference w:id="9"/>
      </w:r>
      <w:r>
        <w:rPr>
          <w:noProof/>
        </w:rPr>
        <w:t xml:space="preserve"> kapitāla palielināšanā, mērķa “Investīcijas izaugsmei un nodarbinātībai” pastiprināšanu Eiropas strukturālo un investīciju fondu ietvaros (</w:t>
      </w:r>
      <w:r>
        <w:rPr>
          <w:i/>
          <w:noProof/>
        </w:rPr>
        <w:t>REACT-EU</w:t>
      </w:r>
      <w:r>
        <w:rPr>
          <w:noProof/>
        </w:rPr>
        <w:t>)</w:t>
      </w:r>
      <w:r>
        <w:rPr>
          <w:rStyle w:val="FootnoteReference"/>
          <w:noProof/>
        </w:rPr>
        <w:footnoteReference w:id="10"/>
      </w:r>
      <w:r>
        <w:rPr>
          <w:noProof/>
        </w:rPr>
        <w:t xml:space="preserve"> un Eiropas Fondu ilgtspējīgai attīstībai</w:t>
      </w:r>
      <w:r>
        <w:rPr>
          <w:rStyle w:val="FootnoteReference"/>
          <w:noProof/>
        </w:rPr>
        <w:footnoteReference w:id="11"/>
      </w:r>
      <w:r>
        <w:rPr>
          <w:noProof/>
        </w:rPr>
        <w:t xml:space="preserve">. </w:t>
      </w:r>
    </w:p>
    <w:p>
      <w:pPr>
        <w:pStyle w:val="ManualConsidrant"/>
        <w:rPr>
          <w:noProof/>
        </w:rPr>
      </w:pPr>
      <w:r>
        <w:t>(3)</w:t>
      </w:r>
      <w:r>
        <w:tab/>
      </w:r>
      <w:r>
        <w:rPr>
          <w:noProof/>
        </w:rPr>
        <w:t>Tādēļ 2020. gadam ir jāpalielina saistību apropriāciju maksimālais apjoms 1.a un 1.b izdevumu apakškategorijā un 4. izdevumu kategorijā. Tāpēc būtu attiecīgi jāgroza Regulas (ES, Euratom) Nr. 1311/2013 pielikums.</w:t>
      </w:r>
    </w:p>
    <w:p>
      <w:pPr>
        <w:pStyle w:val="ManualConsidrant"/>
        <w:rPr>
          <w:noProof/>
        </w:rPr>
      </w:pPr>
      <w:r>
        <w:t>(4)</w:t>
      </w:r>
      <w:r>
        <w:tab/>
      </w:r>
      <w:r>
        <w:rPr>
          <w:noProof/>
        </w:rPr>
        <w:t>Saskaņā ar Līguma par Lielbritānijas un Ziemeļīrijas Apvienotās Karalistes izstāšanos no Eiropas Savienības un Eiropas Atomenerģijas kopienas</w:t>
      </w:r>
      <w:r>
        <w:rPr>
          <w:rStyle w:val="FootnoteReference"/>
          <w:noProof/>
        </w:rPr>
        <w:footnoteReference w:id="12"/>
      </w:r>
      <w:r>
        <w:rPr>
          <w:noProof/>
        </w:rPr>
        <w:t xml:space="preserve"> 135. panta 2. punktu šī regula nebūtu jāpiemēro Apvienotajai Karalistei, ciktāl tā ietekmē Apvienotās Karalistes finansiālās saistības salīdzinājumā ar tām, kas bija spēkā dienā, kad Apvienotā Karaliste izstājās no Savienības. </w:t>
      </w:r>
    </w:p>
    <w:p>
      <w:pPr>
        <w:pStyle w:val="Formuledadoption"/>
        <w:rPr>
          <w:noProof/>
        </w:rPr>
      </w:pPr>
      <w:r>
        <w:rPr>
          <w:noProof/>
        </w:rPr>
        <w:lastRenderedPageBreak/>
        <w:t>IR PIEŅĒMUSI ŠO REGULU.</w:t>
      </w:r>
    </w:p>
    <w:p>
      <w:pPr>
        <w:pStyle w:val="Titrearticle"/>
        <w:rPr>
          <w:noProof/>
        </w:rPr>
      </w:pPr>
      <w:r>
        <w:rPr>
          <w:noProof/>
        </w:rPr>
        <w:t>1. pants</w:t>
      </w:r>
    </w:p>
    <w:p>
      <w:pPr>
        <w:rPr>
          <w:noProof/>
        </w:rPr>
      </w:pPr>
      <w:r>
        <w:rPr>
          <w:noProof/>
        </w:rPr>
        <w:t>Regulas (ES, Euratom) Nr. 1311/2013 pielikumu aizstāj ar šīs regulas pielikuma tekstu.</w:t>
      </w:r>
    </w:p>
    <w:p>
      <w:pPr>
        <w:pStyle w:val="Titrearticle"/>
        <w:rPr>
          <w:noProof/>
        </w:rPr>
      </w:pPr>
      <w:r>
        <w:rPr>
          <w:noProof/>
        </w:rPr>
        <w:t>2. pants</w:t>
      </w:r>
    </w:p>
    <w:p>
      <w:pPr>
        <w:rPr>
          <w:noProof/>
        </w:rPr>
      </w:pPr>
      <w:r>
        <w:rPr>
          <w:noProof/>
        </w:rPr>
        <w:t xml:space="preserve">Šī regula stājas spēkā dienā, kad to publicē </w:t>
      </w:r>
      <w:r>
        <w:rPr>
          <w:i/>
          <w:noProof/>
        </w:rPr>
        <w:t>Eiropas Savienības Oficiālajā Vēstnesī</w:t>
      </w:r>
      <w:r>
        <w:rPr>
          <w:noProof/>
        </w:rPr>
        <w:t>.</w:t>
      </w:r>
    </w:p>
    <w:p>
      <w:pPr>
        <w:rPr>
          <w:noProof/>
        </w:rPr>
      </w:pPr>
      <w:r>
        <w:rPr>
          <w:noProof/>
        </w:rPr>
        <w:t>Šī regula nepalielina Apvienotās Karalistes finansiālās saistības salīdzinājumā ar tām, kas bija spēkā dienā, kad Apvienotā Karaliste izstājās no Savienības.</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OV L 347, 20.12.2013., 884. lpp.</w:t>
      </w:r>
    </w:p>
  </w:footnote>
  <w:footnote w:id="3">
    <w:p>
      <w:pPr>
        <w:pStyle w:val="FootnoteText"/>
      </w:pPr>
      <w:r>
        <w:rPr>
          <w:rStyle w:val="FootnoteReference"/>
        </w:rPr>
        <w:footnoteRef/>
      </w:r>
      <w:r>
        <w:tab/>
        <w:t>COM(2020) 404</w:t>
      </w:r>
    </w:p>
  </w:footnote>
  <w:footnote w:id="4">
    <w:p>
      <w:pPr>
        <w:pStyle w:val="FootnoteText"/>
      </w:pPr>
      <w:r>
        <w:rPr>
          <w:rStyle w:val="FootnoteReference"/>
        </w:rPr>
        <w:footnoteRef/>
      </w:r>
      <w:r>
        <w:tab/>
        <w:t>COM(2020) 451</w:t>
      </w:r>
    </w:p>
  </w:footnote>
  <w:footnote w:id="5">
    <w:p>
      <w:pPr>
        <w:pStyle w:val="FootnoteText"/>
      </w:pPr>
      <w:r>
        <w:rPr>
          <w:rStyle w:val="FootnoteReference"/>
        </w:rPr>
        <w:footnoteRef/>
      </w:r>
      <w:r>
        <w:tab/>
        <w:t>COM(2020) 407</w:t>
      </w:r>
    </w:p>
  </w:footnote>
  <w:footnote w:id="6">
    <w:p>
      <w:pPr>
        <w:pStyle w:val="FootnoteText"/>
      </w:pPr>
      <w:r>
        <w:rPr>
          <w:rStyle w:val="FootnoteReference"/>
        </w:rPr>
        <w:footnoteRef/>
      </w:r>
      <w:r>
        <w:tab/>
        <w:t xml:space="preserve">COM(2019) 310 </w:t>
      </w:r>
      <w:r>
        <w:rPr>
          <w:i/>
        </w:rPr>
        <w:t>final</w:t>
      </w:r>
      <w:r>
        <w:t>, 15.05.2019.</w:t>
      </w:r>
    </w:p>
  </w:footnote>
  <w:footnote w:id="7">
    <w:p>
      <w:pPr>
        <w:pStyle w:val="FootnoteText"/>
      </w:pPr>
      <w:r>
        <w:rPr>
          <w:rStyle w:val="FootnoteReference"/>
        </w:rPr>
        <w:footnoteRef/>
      </w:r>
      <w:r>
        <w:tab/>
        <w:t>OV L 29, 31.1.2020., 7. lpp.</w:t>
      </w:r>
    </w:p>
  </w:footnote>
  <w:footnote w:id="8">
    <w:p>
      <w:pPr>
        <w:pStyle w:val="FootnoteText"/>
      </w:pPr>
      <w:r>
        <w:rPr>
          <w:rStyle w:val="FootnoteReference"/>
        </w:rPr>
        <w:footnoteRef/>
      </w:r>
      <w:r>
        <w:tab/>
        <w:t>OV C , , . lpp.</w:t>
      </w:r>
    </w:p>
  </w:footnote>
  <w:footnote w:id="9">
    <w:p>
      <w:pPr>
        <w:pStyle w:val="FootnoteText"/>
      </w:pPr>
      <w:r>
        <w:rPr>
          <w:rStyle w:val="FootnoteReference"/>
        </w:rPr>
        <w:footnoteRef/>
      </w:r>
      <w:r>
        <w:tab/>
        <w:t>COM(2020) 404, OV C [...], [...], [...]. lpp.</w:t>
      </w:r>
    </w:p>
  </w:footnote>
  <w:footnote w:id="10">
    <w:p>
      <w:pPr>
        <w:pStyle w:val="FootnoteText"/>
      </w:pPr>
      <w:r>
        <w:rPr>
          <w:rStyle w:val="FootnoteReference"/>
        </w:rPr>
        <w:footnoteRef/>
      </w:r>
      <w:r>
        <w:tab/>
        <w:t>COM(2020) 451, OV C [...], [...], [...]. lpp.</w:t>
      </w:r>
    </w:p>
  </w:footnote>
  <w:footnote w:id="11">
    <w:p>
      <w:pPr>
        <w:pStyle w:val="FootnoteText"/>
      </w:pPr>
      <w:r>
        <w:rPr>
          <w:rStyle w:val="FootnoteReference"/>
        </w:rPr>
        <w:footnoteRef/>
      </w:r>
      <w:r>
        <w:tab/>
        <w:t>COM(2020) 407, OV C [...], [...], [...]. lpp.</w:t>
      </w:r>
    </w:p>
  </w:footnote>
  <w:footnote w:id="12">
    <w:p>
      <w:pPr>
        <w:pStyle w:val="FootnoteText"/>
      </w:pPr>
      <w:r>
        <w:rPr>
          <w:rStyle w:val="FootnoteReference"/>
        </w:rPr>
        <w:footnoteRef/>
      </w:r>
      <w:r>
        <w:tab/>
        <w:t>OV L 29, 31.1.2020., 7.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961C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8805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3C74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5C2C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DE31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0A3A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6C95AC"/>
    <w:lvl w:ilvl="0">
      <w:start w:val="1"/>
      <w:numFmt w:val="decimal"/>
      <w:pStyle w:val="ListNumber"/>
      <w:lvlText w:val="%1."/>
      <w:lvlJc w:val="left"/>
      <w:pPr>
        <w:tabs>
          <w:tab w:val="num" w:pos="360"/>
        </w:tabs>
        <w:ind w:left="360" w:hanging="360"/>
      </w:pPr>
    </w:lvl>
  </w:abstractNum>
  <w:abstractNum w:abstractNumId="7">
    <w:nsid w:val="FFFFFF89"/>
    <w:multiLevelType w:val="singleLevel"/>
    <w:tmpl w:val="A044C3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attachedTemplate r:id="rId1"/>
  <w:revisionView w:markup="0"/>
  <w:defaultTabStop w:val="720"/>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4:06: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3BA8826-B99A-4C09-A1AE-F81E2CA76CF9"/>
    <w:docVar w:name="LW_COVERPAGE_TYPE" w:val="1"/>
    <w:docVar w:name="LW_CROSSREFERENCE" w:val="&lt;UNUSED&gt;"/>
    <w:docVar w:name="LW_DocType" w:val="COM"/>
    <w:docVar w:name="LW_EMISSION" w:val="28.5.2020"/>
    <w:docVar w:name="LW_EMISSION_ISODATE" w:val="2020-05-28"/>
    <w:docVar w:name="LW_EMISSION_LOCATION" w:val="BRX"/>
    <w:docVar w:name="LW_EMISSION_PREFIX" w:val="Briselē, "/>
    <w:docVar w:name="LW_EMISSION_SUFFIX" w:val="."/>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APP"/>
    <w:docVar w:name="LW_REF.II.NEW.CP_NUMBER" w:val="0109"/>
    <w:docVar w:name="LW_REF.II.NEW.CP_YEAR" w:val="2020"/>
    <w:docVar w:name="LW_REF.INST.NEW" w:val="COM"/>
    <w:docVar w:name="LW_REF.INST.NEW_ADOPTED" w:val="final"/>
    <w:docVar w:name="LW_REF.INST.NEW_TEXT" w:val="(2020)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uru groza Padomes Regulu (ES, Euratom) Nr. 1311/2013, ar ko nosaka daudzgadu finan\u353?u sh\u275?mu 2014.\u8211?2020. gadam"/>
    <w:docVar w:name="LW_TYPE.DOC.CP" w:val="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2561">
      <w:bodyDiv w:val="1"/>
      <w:marLeft w:val="0"/>
      <w:marRight w:val="0"/>
      <w:marTop w:val="0"/>
      <w:marBottom w:val="0"/>
      <w:divBdr>
        <w:top w:val="none" w:sz="0" w:space="0" w:color="auto"/>
        <w:left w:val="none" w:sz="0" w:space="0" w:color="auto"/>
        <w:bottom w:val="none" w:sz="0" w:space="0" w:color="auto"/>
        <w:right w:val="none" w:sz="0" w:space="0" w:color="auto"/>
      </w:divBdr>
    </w:div>
    <w:div w:id="14566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E995EF-48A3-442D-AD0F-D24EEEA2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C1247B-373F-49C8-80F4-0A5D435BB982}">
  <ds:schemaRefs>
    <ds:schemaRef ds:uri="http://schemas.microsoft.com/sharepoint/v3/contenttype/forms"/>
  </ds:schemaRefs>
</ds:datastoreItem>
</file>

<file path=customXml/itemProps3.xml><?xml version="1.0" encoding="utf-8"?>
<ds:datastoreItem xmlns:ds="http://schemas.openxmlformats.org/officeDocument/2006/customXml" ds:itemID="{CC75B17A-D38C-4AFA-B5E2-35AAF0E336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19EAA1-7B28-4F8C-8AA8-227F477F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732</Words>
  <Characters>5020</Characters>
  <Application>Microsoft Office Word</Application>
  <DocSecurity>0</DocSecurity>
  <Lines>94</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2020-05-28T08:51:00Z</dcterms:created>
  <dcterms:modified xsi:type="dcterms:W3CDTF">2020-06-02T12:06:00Z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SJ-016</vt:lpwstr>
  </property>
  <property fmtid="{D5CDD505-2E9C-101B-9397-08002B2CF9AE}" pid="9" name="ContentTypeId">
    <vt:lpwstr>0x010100B05035DF7AF93945BFBCEF7349104FBF</vt:lpwstr>
  </property>
  <property fmtid="{D5CDD505-2E9C-101B-9397-08002B2CF9AE}" pid="10" name="IsMyDocuments">
    <vt:bool>true</vt:bool>
  </property>
  <property fmtid="{D5CDD505-2E9C-101B-9397-08002B2CF9AE}" pid="11" name="Last edited using">
    <vt:lpwstr>LW 7.0, Build 20190717</vt:lpwstr>
  </property>
  <property fmtid="{D5CDD505-2E9C-101B-9397-08002B2CF9AE}" pid="12" name="DQCStatus">
    <vt:lpwstr>Green (DQC version 03)</vt:lpwstr>
  </property>
</Properties>
</file>