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7FD2C14E-4BF9-4131-9524-E5171CB5119E" style="width:450.75pt;height:338.2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rPr>
          <w:rFonts w:eastAsia="Arial Unicode MS"/>
          <w:noProof/>
        </w:rPr>
      </w:pPr>
      <w:r>
        <w:rPr>
          <w:noProof/>
        </w:rPr>
        <w:t>Udbruddet af covid-19-pandemien har ændret de økonomiske udsigter år ud i fremtiden i Unionen og i resten af verden. De kortsigtede virkninger af covid-19-krisen i hver medlemsstat vil afhænge af nedlukningsforanstaltningernes varighed og omfang, produktionssammensætningen og de økonomipolitiske foranstaltninger, der træffes for at afbøde krisens umiddelbare konsekvenser. Konsekvenserne af krisen på mellemlang og lang sigt vil afhænge af økonomiernes resiliens. Uden resolutte politiktiltag er der som følge af forskellene med hensyn til kortsigtet økonomisk virkning og det tilgængelige råderum for politiktiltag en reel risiko for, at covid-19-krisen vil medføre endnu større forskelle på tværs af Unionen.</w:t>
      </w:r>
    </w:p>
    <w:p>
      <w:pPr>
        <w:spacing w:before="0" w:after="200"/>
        <w:rPr>
          <w:rFonts w:eastAsia="Arial Unicode MS"/>
          <w:noProof/>
        </w:rPr>
      </w:pPr>
      <w:r>
        <w:rPr>
          <w:noProof/>
        </w:rPr>
        <w:t>Samtidig med at isolationsforanstaltningerne gradvist ophæves, er der behov for en strategisk planlægning af genopretningen for at puste nyt liv i økonomien og få os tilbage på vejen mod bæredygtig vækst. Det kræver, at man støtter offentlige og private investeringer, men også at man fremmer medlemsstaternes reformbestræbelser for at tackle deres økonomiers underliggende sociale og økonomiske svagheder, forbedre deres resiliens og fremme en tilbagevenden til bæredygtig vækst. Det har i denne henseende altafgørende betydning fortsat at ledsage medlemsstaternes reformbestræbelser ved at give dem en betydelig teknisk støtte med henblik på at styrke deres administrative kapacitet til at forberede og gennemføre de reformer, som vil fremme resiliens og understøtte genopretningen.</w:t>
      </w:r>
    </w:p>
    <w:p>
      <w:pPr>
        <w:pBdr>
          <w:top w:val="nil"/>
          <w:left w:val="nil"/>
          <w:bottom w:val="nil"/>
          <w:right w:val="nil"/>
          <w:between w:val="nil"/>
          <w:bar w:val="nil"/>
        </w:pBdr>
        <w:spacing w:before="0" w:after="240"/>
        <w:rPr>
          <w:rFonts w:eastAsia="Arial Unicode MS"/>
          <w:noProof/>
        </w:rPr>
      </w:pPr>
      <w:r>
        <w:rPr>
          <w:noProof/>
        </w:rPr>
        <w:t>Det foreslås med denne forordning at etablere et selvstændigt instrument for teknisk støtte for alle medlemsstater som en efterfølger til støtteprogrammet for strukturreformer (SRSP)</w:t>
      </w:r>
      <w:r>
        <w:rPr>
          <w:rStyle w:val="FootnoteReference"/>
          <w:rFonts w:eastAsia="Arial Unicode MS"/>
          <w:noProof/>
        </w:rPr>
        <w:footnoteReference w:id="2"/>
      </w:r>
      <w:r>
        <w:rPr>
          <w:noProof/>
        </w:rPr>
        <w:t xml:space="preserve">. Instrumentet for teknisk støtte vil sikre, at Kommissionen fortsat kan yde skræddersyet praktisk ekspertise for at sikre, at medlemsstaterne har den nødvendige institutionelle og administrative kapacitet til at udforme og gennemføre vækstfremmende reformer, og at de er i stand til at styrke de europæiske økonomiers resiliens gennem effektive og velfungerende administrative strukturer. Til dette formål vil det, i lighed med tilgangen under støtteprogrammet for strukturreformer, sigte mod at ledsage de nationale myndigheder i de støtteanmodende medlemsstater gennem de forskellige trin eller specifikke faser af reformprocessen </w:t>
      </w:r>
    </w:p>
    <w:p>
      <w:pPr>
        <w:pBdr>
          <w:top w:val="nil"/>
          <w:left w:val="nil"/>
          <w:bottom w:val="nil"/>
          <w:right w:val="nil"/>
          <w:between w:val="nil"/>
          <w:bar w:val="nil"/>
        </w:pBdr>
        <w:spacing w:before="0" w:after="240"/>
        <w:rPr>
          <w:rFonts w:eastAsia="Arial Unicode MS"/>
          <w:noProof/>
        </w:rPr>
      </w:pPr>
      <w:r>
        <w:rPr>
          <w:noProof/>
        </w:rPr>
        <w:t>Af praktiske grunde og for at de to lovgivere hurtigst muligt kan nå til enighed tager dette forslag til forordning udgangspunkt i den seneste tekst til instrumentet for teknisk støtte i Kommissionens forslag om etablering af et reformstøtteprogram (RSP)</w:t>
      </w:r>
      <w:r>
        <w:rPr>
          <w:rStyle w:val="FootnoteReference"/>
          <w:rFonts w:eastAsia="Arial Unicode MS"/>
          <w:noProof/>
        </w:rPr>
        <w:footnoteReference w:id="3"/>
      </w:r>
      <w:r>
        <w:rPr>
          <w:noProof/>
        </w:rPr>
        <w:t xml:space="preserve">, således som det er blevet drøftet medlovgiverne i de seneste måneder. Forslaget til et reformstøtteprogram trækkes tilbage. </w:t>
      </w:r>
    </w:p>
    <w:p>
      <w:pPr>
        <w:pBdr>
          <w:top w:val="nil"/>
          <w:left w:val="nil"/>
          <w:bottom w:val="nil"/>
          <w:right w:val="nil"/>
          <w:between w:val="nil"/>
          <w:bar w:val="nil"/>
        </w:pBdr>
        <w:spacing w:before="0" w:after="240"/>
        <w:rPr>
          <w:rFonts w:eastAsia="Arial Unicode MS"/>
          <w:noProof/>
        </w:rPr>
      </w:pPr>
      <w:r>
        <w:rPr>
          <w:noProof/>
        </w:rPr>
        <w:t xml:space="preserve">Den 31. maj 2018 foreslog Kommissionen reformstøtteprogrammet inden for rammerne af forslagene til sektorspecifikke programmer under den flerårige finansielle ramme (MFF) for 2021-2027. Dette forslag omfattede et instrument for teknisk støtte, der havde til formål at støtte medlemsstaternes indsats for at fremme gennemførelsen af strukturreformer inden for </w:t>
      </w:r>
      <w:r>
        <w:rPr>
          <w:noProof/>
        </w:rPr>
        <w:lastRenderedPageBreak/>
        <w:t xml:space="preserve">rammerne af det europæiske semester. Teksten til forslaget blev drøftet i Rådet under det finske og det kroatiske formandskab, og Rådet nåede til principiel enighed om dette instrument. Europa-Parlamentet har sideløbende arbejdet på Kommissionens forslag til et reformstøtteprogram, og det fremlagde et udkast til betænkning den 20. april 2020. </w:t>
      </w:r>
    </w:p>
    <w:p>
      <w:pPr>
        <w:pBdr>
          <w:top w:val="nil"/>
          <w:left w:val="nil"/>
          <w:bottom w:val="nil"/>
          <w:right w:val="nil"/>
          <w:between w:val="nil"/>
          <w:bar w:val="nil"/>
        </w:pBdr>
        <w:spacing w:before="0" w:after="240"/>
        <w:rPr>
          <w:rFonts w:eastAsia="Arial Unicode MS"/>
          <w:noProof/>
        </w:rPr>
      </w:pPr>
      <w:r>
        <w:rPr>
          <w:noProof/>
        </w:rPr>
        <w:t>Sideløbende med nærværende forslag og for at adressere de nye udfordringer som følge af covid-19-krisen har Kommissionen ligeledes foreslået en forordning om en genopretnings- og resiliensfacilitet</w:t>
      </w:r>
      <w:r>
        <w:rPr>
          <w:rStyle w:val="FootnoteReference"/>
          <w:rFonts w:eastAsia="Arial Unicode MS"/>
          <w:noProof/>
        </w:rPr>
        <w:footnoteReference w:id="4"/>
      </w:r>
      <w:r>
        <w:rPr>
          <w:noProof/>
        </w:rPr>
        <w:t xml:space="preserve">, der vil give storstilet finansiel støtte til offentlige investeringer og reformer, som kan gøre medlemsstaternes økonomier mere resiliente og bedre forberedt på fremtiden. Instrumentet for teknisk støtte kan støtte medlemsstaterne i udarbejdelsen og gennemførelsen af genopretnings- og resiliensplaner under genopretnings- og resiliensfaciliteten.  </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samme område</w:t>
      </w:r>
    </w:p>
    <w:p>
      <w:pPr>
        <w:spacing w:after="240"/>
        <w:rPr>
          <w:rFonts w:eastAsia="Arial Unicode MS"/>
          <w:noProof/>
        </w:rPr>
      </w:pPr>
      <w:r>
        <w:rPr>
          <w:noProof/>
        </w:rPr>
        <w:t>Instrumentet for teknisk støtte giver Kommissionen mulighed for at støtte medlemsstaternes myndigheder i deres bestræbelser på at udforme reformer med udgangspunkt i deres egne prioriteter og fremme deres kapacitet til at udforme og gennemføre reformpolitikker og -strategier samt drage nytte af god praksis og eksempler hos ligestillede. Der vil efter krisen være et særligt behov for teknisk støtte. Dette forslag supplerer derfor på passende vis de pakker af foranstaltninger, som Kommissionen foreslår for at adressere de økonomiske konsekvenser af covid-19-pandemien, nemlig genopretnings- og resiliensfaciliteten, REACT EU</w:t>
      </w:r>
      <w:r>
        <w:rPr>
          <w:rStyle w:val="FootnoteReference"/>
          <w:rFonts w:eastAsia="Arial Unicode MS"/>
          <w:noProof/>
        </w:rPr>
        <w:footnoteReference w:id="5"/>
      </w:r>
      <w:r>
        <w:rPr>
          <w:noProof/>
        </w:rPr>
        <w:t xml:space="preserve"> under struktur- og samhørighedsfondene, de ændrede forslag til Den Europæiske Fond for Strategiske Investeringer (EFSI) og InvestEU, samt rækken af foranstaltninger, der er udarbejdet som svar på den nuværende covid-19-pandemi, herunder "investeringsinitiativet som reaktion på coronavirusset"</w:t>
      </w:r>
      <w:r>
        <w:rPr>
          <w:rStyle w:val="FootnoteReference"/>
          <w:noProof/>
        </w:rPr>
        <w:footnoteReference w:id="6"/>
      </w:r>
      <w:r>
        <w:rPr>
          <w:noProof/>
        </w:rPr>
        <w:t xml:space="preserve">. </w:t>
      </w:r>
    </w:p>
    <w:p>
      <w:pPr>
        <w:spacing w:before="0" w:after="0"/>
        <w:rPr>
          <w:rFonts w:eastAsia="Arial Unicode MS"/>
          <w:noProof/>
        </w:rPr>
      </w:pPr>
      <w:r>
        <w:rPr>
          <w:noProof/>
        </w:rPr>
        <w:t xml:space="preserve">Instrumentet for teknisk støtte bygger på succesen med SRSP, der konstant har fået positiv feedback fra de støttemodtagende medlemsstater og konstant har haft efterspørgselsoverskud i forhold til de tilgængelige budgetter i de seneste udvælgelsesrunder (f.eks. kunne der for udvælgelsesrunden i 2019 ud af de 508 anmodninger, som blev indgivet, svarende til en samlet værdi af 194 mio. EUR, udvælges 263 anmodninger svarende til 79,3 mio. EUR, og for udvælgelsesrunden i 2020 kunne der af de 609 anmodninger, som blev indgivet, svarende til en værdi af 250 mio. EUR, udvælges 228 anmodninger svarende til 84,7 mio. EUR). Instrumentet for teknisk støtte, der er udformet som en fortsættelse af det nuværende SRSP, er konsekvent i forhold til, sammenhængende med og et supplement til de eksisterende ressourcer til kapacitetsopbygning og teknisk bistand, som er til rådighed under andre af Unionens finansieringsprogrammer. Teknisk bistand, der er tilgængelig under samhørighedspolitikken, har til formål at hjælpe interesserede parter med at gennemføre EU-finansierede programmer og projekter via finansiel støtte til udarbejdelse, forvaltning, evaluering, overvågning, revision og kontrol, som stilles til rådighed gennem Den Europæiske Fond for Regionaludvikling (EFRU), Den Europæiske Socialfond (ESF) og Samhørighedsfonden. Den tekniske bistand, der er tilgængelig i denne forbindelse, har således til formål at opbygge kapacitet til at forvalte EU-fonde og fremme gennemførelsen af projekter, der samfinansieres via EU-fonde, og derved fremme udnyttelsen af disse fonde. Det knudepunkt for teknisk bistand, der er til rådighed under InvestEU, er primært rettet mod udformning af store (private) investeringsprojekter og ikke mod strukturreformer. Instrumentet for teknisk støtte har derimod til formål at yde støtte til administrativ kapacitet </w:t>
      </w:r>
      <w:r>
        <w:rPr>
          <w:noProof/>
        </w:rPr>
        <w:lastRenderedPageBreak/>
        <w:t xml:space="preserve">og langsigtede strukturreformer og dermed på passende vis supplere og tilføre merværdi til den eksisterende bistand, der ydes gennem de forskellige sektorspecifikke EU-programmer, og de aktioner, der gennemføres inden for rammerne af EU-fondene. </w:t>
      </w:r>
    </w:p>
    <w:p>
      <w:pPr>
        <w:spacing w:before="0" w:after="240"/>
        <w:rPr>
          <w:rFonts w:eastAsia="Arial Unicode MS"/>
          <w:noProof/>
        </w:rPr>
      </w:pPr>
      <w:r>
        <w:rPr>
          <w:noProof/>
        </w:rPr>
        <w:t xml:space="preserve">Dette instrument er desuden i overensstemmelse med de politiske retningslinjer, der er udstukket inden for rammerne af det europæiske semester, idet det yder teknisk støtte til at fremme gennemførelsen af de landespecifikke henstillinger, der er rettet til medlemsstaterne i denne forbindelse. </w:t>
      </w:r>
    </w:p>
    <w:p>
      <w:pPr>
        <w:pStyle w:val="ManualHeading2"/>
        <w:rPr>
          <w:rFonts w:eastAsia="Arial Unicode MS"/>
          <w:noProof/>
        </w:rPr>
      </w:pPr>
      <w:r>
        <w:rPr>
          <w:noProof/>
          <w:color w:val="000000"/>
          <w:u w:color="000000"/>
          <w:bdr w:val="nil"/>
        </w:rPr>
        <w:t>•</w:t>
      </w:r>
      <w:r>
        <w:rPr>
          <w:noProof/>
        </w:rPr>
        <w:tab/>
        <w:t>Sammenhæng med Unionens politik på andre områder</w:t>
      </w:r>
    </w:p>
    <w:p>
      <w:pPr>
        <w:spacing w:after="240"/>
        <w:rPr>
          <w:noProof/>
        </w:rPr>
      </w:pPr>
      <w:r>
        <w:rPr>
          <w:noProof/>
        </w:rPr>
        <w:t xml:space="preserve">Forslaget er i overensstemmelse med og sikrer komplementaritet og synergier med andre EU-politikker. </w:t>
      </w:r>
    </w:p>
    <w:p>
      <w:pPr>
        <w:spacing w:before="0" w:after="240"/>
        <w:rPr>
          <w:rFonts w:eastAsia="Arial Unicode MS"/>
          <w:noProof/>
        </w:rPr>
      </w:pPr>
      <w:r>
        <w:rPr>
          <w:noProof/>
        </w:rPr>
        <w:t xml:space="preserve">Formålet med forslaget om oprettelse af en genopretnings- og resiliensfacilitet er at yde finansiel støtte til offentlige investeringer og reformer, navnlig inden for grøn og digital omstilling, som gør økonomier mere resiliente og bedre forberedte på fremtiden. </w:t>
      </w:r>
    </w:p>
    <w:p>
      <w:pPr>
        <w:spacing w:before="0" w:after="240"/>
        <w:rPr>
          <w:noProof/>
        </w:rPr>
      </w:pPr>
      <w:r>
        <w:rPr>
          <w:noProof/>
        </w:rPr>
        <w:t xml:space="preserve">Instrumentet for teknisk støtte vil supplere forslaget om oprettelse af en genopretnings- og resiliensfacilitet, da det vil yde støtte til styrkelse af medlemsstaternes administrative kapacitet og i denne forbindelse støtte udarbejdelse og gennemførelse af genopretnings- og resiliensplaner, hvormed der fastsættes reformer og investeringer, der skal finansieres inden for rammerne af genopretnings- og resiliensfaciliteten, og mere generelt også give støtte til nationale reformaktioner vedrørende den grønne og digitale omstilling. </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u w:color="000000"/>
          <w:bdr w:val="nil"/>
        </w:rPr>
        <w:t>•</w:t>
      </w:r>
      <w:r>
        <w:rPr>
          <w:noProof/>
        </w:rPr>
        <w:tab/>
      </w:r>
      <w:r>
        <w:rPr>
          <w:noProof/>
          <w:u w:color="000000"/>
          <w:bdr w:val="nil"/>
        </w:rPr>
        <w:t>Retsgrundlag</w:t>
      </w:r>
    </w:p>
    <w:p>
      <w:pPr>
        <w:pBdr>
          <w:top w:val="nil"/>
          <w:left w:val="nil"/>
          <w:bottom w:val="nil"/>
          <w:right w:val="nil"/>
          <w:between w:val="nil"/>
          <w:bar w:val="nil"/>
        </w:pBdr>
        <w:spacing w:after="240"/>
        <w:rPr>
          <w:noProof/>
        </w:rPr>
      </w:pPr>
      <w:r>
        <w:rPr>
          <w:noProof/>
        </w:rPr>
        <w:t>Retsgrundlaget for dette forslag er artikel 175, stk. 3, og artikel 197, stk. 2, i traktaten om Den Europæiske Unions funktionsmåde.</w:t>
      </w:r>
    </w:p>
    <w:p>
      <w:pPr>
        <w:pBdr>
          <w:top w:val="nil"/>
          <w:left w:val="nil"/>
          <w:bottom w:val="nil"/>
          <w:right w:val="nil"/>
          <w:between w:val="nil"/>
          <w:bar w:val="nil"/>
        </w:pBdr>
        <w:spacing w:before="0" w:after="240"/>
        <w:rPr>
          <w:noProof/>
        </w:rPr>
      </w:pPr>
      <w:r>
        <w:rPr>
          <w:noProof/>
        </w:rPr>
        <w:t>Det følger af artikel 175, stk. 3, i TEUF, at hvis det viser sig nødvendigt med særlige aktioner ud over fondene og med forbehold af de foranstaltninger, der træffes som led i Unionens øvrige politikker, kan disse aktioner vedtages af Europa-Parlamentet og Rådet efter den almindelige lovgivningsprocedure og efter høring af Det Europæiske Økonomiske og Sociale Udvalg og Regionsudvalget.</w:t>
      </w:r>
    </w:p>
    <w:p>
      <w:pPr>
        <w:pBdr>
          <w:top w:val="nil"/>
          <w:left w:val="nil"/>
          <w:bottom w:val="nil"/>
          <w:right w:val="nil"/>
          <w:between w:val="nil"/>
          <w:bar w:val="nil"/>
        </w:pBdr>
        <w:spacing w:before="0" w:after="240"/>
        <w:rPr>
          <w:rFonts w:eastAsia="Arial Unicode MS"/>
          <w:noProof/>
        </w:rPr>
      </w:pPr>
      <w:r>
        <w:rPr>
          <w:noProof/>
        </w:rPr>
        <w:t>Det fastsættes i artikel 197, stk. 2, i TEUF, at Unionen kan støtte medlemsstaternes bestræbelser på at forbedre deres administrative kapacitet til at gennemføre EU-retten, bl.a. ved at fremme udveksling af oplysninger og støtte uddannelsesprogrammer. Ingen medlemsstat er forpligtet til at tage imod en sådan støtte. Europa-Parlamentet og Rådet kan efter den almindelige lovgivningsprocedure fastsætte de foranstaltninger, der er nødvendige med henblik herpå, idet der ikke må være tale om nogen form for harmonisering af medlemsstaternes love og administrative bestemmelser.</w:t>
      </w:r>
    </w:p>
    <w:p>
      <w:pPr>
        <w:pBdr>
          <w:top w:val="nil"/>
          <w:left w:val="nil"/>
          <w:bottom w:val="nil"/>
          <w:right w:val="nil"/>
          <w:between w:val="nil"/>
          <w:bar w:val="nil"/>
        </w:pBdr>
        <w:spacing w:before="0" w:after="240"/>
        <w:rPr>
          <w:noProof/>
        </w:rPr>
      </w:pPr>
      <w:r>
        <w:rPr>
          <w:noProof/>
        </w:rPr>
        <w:t xml:space="preserve">I lyset af artikel 175 og 197 i TEUF har forordningen til formål at styrke samhørigheden gennem foranstaltninger, der giver mulighed for genopretning, resiliens og konvergens i de berørte medlemsstater. </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 xml:space="preserve">Nærhedsprincippet (for områder, der ikke er omfattet af enekompetence) </w:t>
      </w:r>
    </w:p>
    <w:p>
      <w:pPr>
        <w:spacing w:after="240"/>
        <w:rPr>
          <w:noProof/>
        </w:rPr>
      </w:pPr>
      <w:r>
        <w:rPr>
          <w:noProof/>
        </w:rPr>
        <w:t>Finansieringen af de foreslåede aktiviteter gennem den påtænkte forordning overholder princippet om europæisk merværdi og nærhedsprincippet. Finansieringen over EU-budgettet er koncentreret om aktiviteter, hvis mål ikke i tilstrækkeligt omfang kan opfyldes af medlemsstaterne alene ("nødvendighedstest"), og hvor Unionens involvering kan tilføre en merværdi i forhold til medlemsstaternes indsats alene.</w:t>
      </w:r>
    </w:p>
    <w:p>
      <w:pPr>
        <w:spacing w:before="0" w:after="240"/>
        <w:rPr>
          <w:noProof/>
        </w:rPr>
      </w:pPr>
      <w:r>
        <w:rPr>
          <w:noProof/>
        </w:rPr>
        <w:t xml:space="preserve">Formålet med forordningen er at fremme samhørighed ved at støtte medlemsstaternes indsats for at gennemføre de reformer, der er nødvendige for at opnå økonomisk og social genopretning, resiliens og konvergens, og støtte medlemsstaternes bestræbelser på at styrke deres administrative kapacitet til at gennemføre EU-retten i forbindelse med de udfordringer, som institutioner, statsforvaltninger, offentlige administrationer og økonomiske og sociale sektorer står over for. </w:t>
      </w:r>
    </w:p>
    <w:p>
      <w:pPr>
        <w:spacing w:before="0" w:after="240"/>
        <w:rPr>
          <w:rFonts w:eastAsia="Arial Unicode MS"/>
          <w:noProof/>
        </w:rPr>
      </w:pPr>
      <w:r>
        <w:rPr>
          <w:noProof/>
        </w:rPr>
        <w:t xml:space="preserve">Forordningen bygger på det princip, at der kun ydes teknisk støtte, når den berørte medlemsstat frivilligt anmoder herom. Heraf følger, at hver medlemsstat selv beslutter, om en indsats på EU-plan er nødvendig i lyset af de muligheder, der findes på nationalt, regionalt eller lokalt plan. Gennemførelsen af tekniske støtteforanstaltninger i forbindelse med økonomisk og social genopretning, resiliens og konvergens samt styrkelse af medlemsstaternes administrative kapacitet til at gennemføre EU-retten er af fælles interesse for Unionen. </w:t>
      </w:r>
    </w:p>
    <w:p>
      <w:pPr>
        <w:pBdr>
          <w:top w:val="nil"/>
          <w:left w:val="nil"/>
          <w:bottom w:val="nil"/>
          <w:right w:val="nil"/>
          <w:between w:val="nil"/>
          <w:bar w:val="nil"/>
        </w:pBdr>
        <w:spacing w:before="0" w:after="240"/>
        <w:rPr>
          <w:rFonts w:eastAsia="Arial Unicode MS"/>
          <w:noProof/>
        </w:rPr>
      </w:pPr>
      <w:r>
        <w:rPr>
          <w:noProof/>
        </w:rPr>
        <w:t>Instrumentet for teknisk støtte erstatter det nuværende SRSP og er desuden en del af de initiativer, som Kommissionen har taget som reaktion på covid-19-pandemiens udbrud for at hjælpe medlemsstaterne med at afbøde de enorme økonomiske og sociale konsekvenser. Det er derfor nødvendigt med en indsats på EU-plan for at opnå økonomisk genopretning i Unionen, som er både hurtig og robust. Dette mål kan ikke i tilstrækkelig grad opfyldes af medlemsstaterne, hvis de handler alene, mens Unionens indsats kan generere en merværdi med vedtagelsen af en forordning, hvormed der oprettes et instrument, som yder styrket teknisk støtte til udformning og gennemførelse af hårdt tiltrængte strukturreformer. En sådan støtte vil også medvirke til at afbøde de samfundsmæssige konsekvenser af den aktuelle covid-19-krise.</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Proportionalitetsprincippet</w:t>
      </w:r>
    </w:p>
    <w:p>
      <w:pPr>
        <w:pBdr>
          <w:top w:val="nil"/>
          <w:left w:val="nil"/>
          <w:bottom w:val="nil"/>
          <w:right w:val="nil"/>
          <w:between w:val="nil"/>
          <w:bar w:val="nil"/>
        </w:pBdr>
        <w:spacing w:after="240"/>
        <w:rPr>
          <w:rFonts w:eastAsia="Arial Unicode MS"/>
          <w:noProof/>
        </w:rPr>
      </w:pPr>
      <w:r>
        <w:rPr>
          <w:noProof/>
        </w:rPr>
        <w:t>Forslaget er i overensstemmelse med proportionalitetsprincippet, idet det begrænser sig til det strengt nødvendige for at nå det tilsigtede mål på europæisk plan og ikke går ud over, hvad der er nødvendigt til dette formål. Den frivillige karakter af instrumentet for teknisk støtte og det aftalte samarbejde i hele processen udgør en yderligere garanti for, at proportionalitetsprincippet overholdes, og for, at der udvikles gensidig tillid og samarbejde mellem medlemsstaterne og Kommissionen.</w:t>
      </w:r>
    </w:p>
    <w:p>
      <w:pPr>
        <w:pStyle w:val="ManualHeading2"/>
        <w:rPr>
          <w:rFonts w:eastAsia="Arial Unicode MS"/>
          <w:noProof/>
          <w:u w:color="000000"/>
          <w:bdr w:val="nil"/>
        </w:rPr>
      </w:pPr>
      <w:r>
        <w:rPr>
          <w:noProof/>
          <w:u w:color="000000"/>
          <w:bdr w:val="nil"/>
        </w:rPr>
        <w:t>•</w:t>
      </w:r>
      <w:r>
        <w:rPr>
          <w:noProof/>
        </w:rPr>
        <w:tab/>
      </w:r>
      <w:r>
        <w:rPr>
          <w:noProof/>
          <w:u w:color="000000"/>
          <w:bdr w:val="nil"/>
        </w:rPr>
        <w:t>Valg af retsakt</w:t>
      </w:r>
    </w:p>
    <w:p>
      <w:pPr>
        <w:pBdr>
          <w:top w:val="nil"/>
          <w:left w:val="nil"/>
          <w:bottom w:val="nil"/>
          <w:right w:val="nil"/>
          <w:between w:val="nil"/>
          <w:bar w:val="nil"/>
        </w:pBdr>
        <w:spacing w:after="240"/>
        <w:rPr>
          <w:rFonts w:eastAsia="Arial Unicode MS"/>
          <w:noProof/>
        </w:rPr>
      </w:pPr>
      <w:r>
        <w:rPr>
          <w:noProof/>
        </w:rPr>
        <w:t>De i de foregående afsnit beskrevne mål kan ikke nås ved en harmonisering af lovgivningen eller ved en frivillig indsats i medlemsstaterne. Kun en forordning gør det muligt at nå disse mål. En forordning, der finder anvendelse i alle medlemsstater, er også det mest hensigtsmæssige retlige instrument til at organisere teknisk støtte for således at sikre ligebehandling af medlemsstaterne.</w:t>
      </w:r>
    </w:p>
    <w:p>
      <w:pPr>
        <w:pStyle w:val="ManualHeading1"/>
        <w:rPr>
          <w:noProof/>
        </w:rPr>
      </w:pPr>
      <w:r>
        <w:rPr>
          <w:noProof/>
        </w:rPr>
        <w:lastRenderedPageBreak/>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u w:color="000000"/>
          <w:bdr w:val="nil"/>
        </w:rPr>
        <w:t>•</w:t>
      </w:r>
      <w:r>
        <w:rPr>
          <w:noProof/>
        </w:rPr>
        <w:tab/>
      </w:r>
      <w:r>
        <w:rPr>
          <w:noProof/>
          <w:u w:color="000000"/>
          <w:bdr w:val="nil"/>
        </w:rPr>
        <w:t>Efterfølgende evalueringer/kvalitetskontrol af gældende lovgivning</w:t>
      </w:r>
    </w:p>
    <w:p>
      <w:pPr>
        <w:pBdr>
          <w:top w:val="nil"/>
          <w:left w:val="nil"/>
          <w:bottom w:val="nil"/>
          <w:right w:val="nil"/>
          <w:between w:val="nil"/>
          <w:bar w:val="nil"/>
        </w:pBdr>
        <w:spacing w:after="240"/>
        <w:rPr>
          <w:noProof/>
        </w:rPr>
      </w:pPr>
      <w:r>
        <w:rPr>
          <w:noProof/>
        </w:rPr>
        <w:t>Instrumentet for teknisk støtte er en videreførelse af det eksisterende SRSP 2017-2020 på grundlag af forordning (EU) 2017/825 som ændret ved forordning (EU) 2018/1671</w:t>
      </w:r>
      <w:r>
        <w:rPr>
          <w:rStyle w:val="FootnoteReference"/>
          <w:noProof/>
        </w:rPr>
        <w:footnoteReference w:id="7"/>
      </w:r>
      <w:r>
        <w:rPr>
          <w:noProof/>
        </w:rPr>
        <w:t>. Gennemførelsen af SRSP tog sin begyndelse med vedtagelsen i september 2017 af det årlige arbejdsprogram for 2017</w:t>
      </w:r>
      <w:r>
        <w:rPr>
          <w:rStyle w:val="FootnoteReference"/>
          <w:noProof/>
        </w:rPr>
        <w:footnoteReference w:id="8"/>
      </w:r>
      <w:r>
        <w:rPr>
          <w:noProof/>
        </w:rPr>
        <w:t xml:space="preserve"> og er fortsat med vedtagelsen af de efterfølgende arbejdsprogrammer</w:t>
      </w:r>
      <w:r>
        <w:rPr>
          <w:rStyle w:val="FootnoteReference"/>
          <w:noProof/>
        </w:rPr>
        <w:footnoteReference w:id="9"/>
      </w:r>
      <w:r>
        <w:rPr>
          <w:noProof/>
        </w:rPr>
        <w:t>. Kommissionen forelægger i henhold til SRSP-forordningens artikel 16 Europa-Parlamentet og Rådet en årlig tilsynsrapport om programmets gennemførelse</w:t>
      </w:r>
      <w:r>
        <w:rPr>
          <w:rStyle w:val="FootnoteReference"/>
          <w:noProof/>
        </w:rPr>
        <w:footnoteReference w:id="10"/>
      </w:r>
      <w:r>
        <w:rPr>
          <w:noProof/>
        </w:rPr>
        <w:t xml:space="preserve"> samt en uafhængig midtvejsevalueringsrapport og en efterfølgende evalueringsrapport. </w:t>
      </w:r>
    </w:p>
    <w:p>
      <w:pPr>
        <w:autoSpaceDE w:val="0"/>
        <w:autoSpaceDN w:val="0"/>
        <w:adjustRightInd w:val="0"/>
        <w:spacing w:before="0" w:after="240"/>
        <w:rPr>
          <w:rFonts w:eastAsia="Arial Unicode MS"/>
          <w:noProof/>
        </w:rPr>
      </w:pPr>
      <w:r>
        <w:rPr>
          <w:noProof/>
        </w:rPr>
        <w:t>Der er i et arbejdsdokument fra Kommissionens tjenestegrene, der ledsagede den uafhængige midtvejsevalueringsrapport, som snart vil blive vedtaget af Kommissionen, foretaget en gennemgang af SRSP's resultater på grundlag af evalueringskriterierne (relevans, effektivitet, produktivitet, sammenhæng og EU-merværdi) og draget en række erfaringer. Selv om programmet blev vedtaget for nylig, og mange tekniske støtteprojekter stadig befinder sig i de indledende faser af gennemførelsen, viser resultaterne, at SRSP skrider godt frem med hensyn til at nå dets mål. Evalueringen viser således, at SRSP's udformning er helt på linje med medlemsstaternes faktiske behov og fungerer som et passende instrument til at støtte medlemsstaterne i deres indsats for at styrke deres administrative og institutionelle kapacitet. Den høje grad af fleksibilitet og den omstændighed, at der ikke er noget krav om samfinansiering, gør det muligt at omsætte medlemsstaternes behov til gennemførlige aktioner med realistiske tidsplaner og opfylde medlemsstatens forventninger. Udveksling af god praksis mellem medlemsstaterne blev også evalueret som noget, der har en betydelig merværdi. Desuden er SRSP godt integreret i EU's økonomiske styringsproces. De årlige cyklusser i SRSP og det europæiske semester komplementerer hinanden på passende vis, hvilket muliggør en omfattende og koordineret tilgang til strukturreformer i medlemsstaterne. En høj grad af engagement fra alle interesserede parter, et højt niveau af ekspertise hos udbyderne af teknisk støtte og gunstige politiske omstændigheder betragtes alle som faktorer, der har en positiv indflydelse på SRSP's projektresultater. Manglende samarbejde mellem interesserede parter og skiftende eller usikre politiske omstændigheder anses for at have negativ indflydelse på gennemførelsen af tekniske støtteprojekter.</w:t>
      </w:r>
    </w:p>
    <w:p>
      <w:pPr>
        <w:pStyle w:val="ManualHeading2"/>
        <w:rPr>
          <w:rFonts w:eastAsia="Arial Unicode MS"/>
          <w:noProof/>
          <w:u w:color="000000"/>
          <w:bdr w:val="nil"/>
        </w:rPr>
      </w:pPr>
      <w:r>
        <w:rPr>
          <w:noProof/>
          <w:u w:color="000000"/>
          <w:bdr w:val="nil"/>
        </w:rPr>
        <w:t>•</w:t>
      </w:r>
      <w:r>
        <w:rPr>
          <w:noProof/>
        </w:rPr>
        <w:tab/>
      </w:r>
      <w:r>
        <w:rPr>
          <w:noProof/>
          <w:u w:color="000000"/>
          <w:bdr w:val="nil"/>
        </w:rPr>
        <w:t>Høringer af interesserede parter</w:t>
      </w:r>
    </w:p>
    <w:p>
      <w:pPr>
        <w:rPr>
          <w:noProof/>
        </w:rPr>
      </w:pPr>
      <w:r>
        <w:rPr>
          <w:noProof/>
        </w:rPr>
        <w:t>På grund af det presserende behov for at udarbejde forslaget, således at det kan vedtages rettidigt af medlovgiverne, kunne der ikke gennemføres en formel høring af interesserede parter. Der blev taget højde for de interesserede parters synspunkter i forbindelse med lovgivningsproceduren for forslaget til reformstøtteprogrammet.</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Konsekvensanalyse</w:t>
      </w:r>
    </w:p>
    <w:p>
      <w:pPr>
        <w:keepNext/>
        <w:tabs>
          <w:tab w:val="left" w:pos="0"/>
        </w:tabs>
        <w:outlineLvl w:val="1"/>
        <w:rPr>
          <w:noProof/>
        </w:rPr>
      </w:pPr>
      <w:r>
        <w:rPr>
          <w:noProof/>
        </w:rPr>
        <w:t>På grund af forslagets hastende karakter blev der ikke foretaget nogen konsekvensanalyse. Det foreliggende forslag til forordning bygger under alle omstændigheder på den senest tilgængelige tekst fra Rådets arbejdsgruppe vedrørende RSP-forslaget for så vidt angår instrumentet for teknisk støtte og er i overensstemmelse med det fælles udkast til betænkning fra Europa-Parlamentets Budgetudvalg og Økonomi- og Valutaudvalg om de instrumenter for teknisk støtte i RSP-forslaget, der blev offentliggjort den 20. april 2020. Forslaget erstatter delvis Kommissionens oprindelige forslag om reformstøtteprogrammet (COD ...), der var baseret på en konsekvensanalyse, hvis hovedkonklusioner finder tilsvarende anvendelse.</w:t>
      </w:r>
    </w:p>
    <w:p>
      <w:pPr>
        <w:pStyle w:val="ManualHeading2"/>
        <w:rPr>
          <w:rFonts w:eastAsia="Arial Unicode MS"/>
          <w:noProof/>
          <w:u w:color="000000"/>
          <w:bdr w:val="nil"/>
        </w:rPr>
      </w:pPr>
      <w:r>
        <w:rPr>
          <w:noProof/>
          <w:u w:color="000000"/>
          <w:bdr w:val="nil"/>
        </w:rPr>
        <w:t>•</w:t>
      </w:r>
      <w:r>
        <w:rPr>
          <w:noProof/>
        </w:rPr>
        <w:tab/>
      </w:r>
      <w:r>
        <w:rPr>
          <w:noProof/>
          <w:u w:color="000000"/>
          <w:bdr w:val="nil"/>
        </w:rPr>
        <w:t>Grundlæggende rettigheder</w:t>
      </w:r>
    </w:p>
    <w:p>
      <w:pPr>
        <w:spacing w:after="360"/>
        <w:rPr>
          <w:noProof/>
        </w:rPr>
      </w:pPr>
      <w:r>
        <w:rPr>
          <w:noProof/>
        </w:rPr>
        <w:t>Forslaget har en positiv virkning på beskyttelsen og udviklingen af Unionens grundlæggende rettigheder, hvis det antages, at medlemsstaterne anmoder om og modtager støtte på de relevante områder. Eksempelvis kan støtte på områder såsom arbejdsmarked og socialsikring, sundhedsydelser, uddannelse, miljø, ejendom, offentlig forvaltning og retsvæsen fremme Unionens grundlæggende rettigheder, f.eks. værdighed, frihed, ligestilling, solidaritet, borgerrettigheder og retfærdighed.</w:t>
      </w:r>
    </w:p>
    <w:p>
      <w:pPr>
        <w:pStyle w:val="ManualHeading1"/>
        <w:rPr>
          <w:noProof/>
        </w:rPr>
      </w:pPr>
      <w:r>
        <w:rPr>
          <w:noProof/>
        </w:rPr>
        <w:t>4.</w:t>
      </w:r>
      <w:r>
        <w:rPr>
          <w:noProof/>
        </w:rPr>
        <w:tab/>
        <w:t>VIRKNINGER FOR BUDGETTET</w:t>
      </w:r>
    </w:p>
    <w:p>
      <w:pPr>
        <w:pBdr>
          <w:top w:val="nil"/>
          <w:left w:val="nil"/>
          <w:bottom w:val="nil"/>
          <w:right w:val="nil"/>
          <w:between w:val="nil"/>
          <w:bar w:val="nil"/>
        </w:pBdr>
        <w:spacing w:after="240"/>
        <w:rPr>
          <w:rFonts w:eastAsia="Arial Unicode MS"/>
          <w:noProof/>
        </w:rPr>
      </w:pPr>
      <w:r>
        <w:rPr>
          <w:noProof/>
        </w:rPr>
        <w:t xml:space="preserve">Finansieringsrammen for gennemførelsen af instrumentet for teknisk støtte for perioden 1. januar 2021 til 31. december 2027 fastsættes til 864 406 000 EUR (i løbende priser). </w:t>
      </w:r>
    </w:p>
    <w:p>
      <w:pPr>
        <w:pBdr>
          <w:top w:val="nil"/>
          <w:left w:val="nil"/>
          <w:bottom w:val="nil"/>
          <w:right w:val="nil"/>
          <w:between w:val="nil"/>
          <w:bar w:val="nil"/>
        </w:pBdr>
        <w:spacing w:before="0" w:after="360"/>
        <w:rPr>
          <w:noProof/>
        </w:rPr>
      </w:pPr>
      <w:r>
        <w:rPr>
          <w:noProof/>
        </w:rPr>
        <w:t xml:space="preserve">Finansieringsoversigten indeholder de nødvendige forklaringer vedrørende finansieringsrammen. </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u w:color="000000"/>
          <w:bdr w:val="nil"/>
        </w:rPr>
        <w:t>•</w:t>
      </w:r>
      <w:r>
        <w:rPr>
          <w:noProof/>
        </w:rPr>
        <w:tab/>
      </w:r>
      <w:r>
        <w:rPr>
          <w:noProof/>
          <w:u w:color="000000"/>
          <w:bdr w:val="nil"/>
        </w:rPr>
        <w:t>Planer for gennemførelsen og foranstaltninger til overvågning, evaluering og rapportering</w:t>
      </w:r>
    </w:p>
    <w:p>
      <w:pPr>
        <w:spacing w:after="240"/>
        <w:rPr>
          <w:noProof/>
        </w:rPr>
      </w:pPr>
      <w:r>
        <w:rPr>
          <w:noProof/>
        </w:rPr>
        <w:t xml:space="preserve">For at overvåge forordningens resultater med hensyn til opfyldelsen af de mål, der er sat for instrumentet for teknisk støtte, er der udpeget en række centrale resultatindikatorer, som vil blive indsamlet regelmæssigt. Der vil blive fastlagt specifikke resultat- og virkningsindikatorer i forhold til de konkrete projekter med referenceniveauer og mål med henblik på at overvåge fremskridtene hen imod de endelige mål og evaluere virkningen af de gennemførte reformer. </w:t>
      </w:r>
    </w:p>
    <w:p>
      <w:pPr>
        <w:spacing w:before="0" w:after="240"/>
        <w:rPr>
          <w:noProof/>
        </w:rPr>
      </w:pPr>
      <w:r>
        <w:rPr>
          <w:noProof/>
        </w:rPr>
        <w:t>Der vil blive foretaget en midtvejsevaluering og en efterfølgende evaluering med henblik på at vurdere instrumentets effektivitet, produktivitet, relevans og sammenhæng. Evalueringerne vil blive foretaget i overensstemmelse med den interinstitutionelle aftale af 13. april 2016</w:t>
      </w:r>
      <w:r>
        <w:rPr>
          <w:rStyle w:val="FootnoteReference"/>
          <w:noProof/>
        </w:rPr>
        <w:footnoteReference w:id="11"/>
      </w:r>
      <w:r>
        <w:rPr>
          <w:noProof/>
        </w:rPr>
        <w:t xml:space="preserve">. Evalueringerne vil omfatte de erfaringer, man har gjort sig for at identificere eventuelle mangler og/eller problemer eller muligheder for yderligere at forbedre aktionerne eller deres resultater og bidrage til at maksimere udnyttelsen og virkningerne heraf. </w:t>
      </w:r>
    </w:p>
    <w:p>
      <w:pPr>
        <w:spacing w:before="0" w:after="240"/>
        <w:rPr>
          <w:noProof/>
        </w:rPr>
      </w:pPr>
      <w:r>
        <w:rPr>
          <w:noProof/>
        </w:rPr>
        <w:t xml:space="preserve">Midtvejsevalueringen af forordningen vil blive foretaget, når der foreligger tilstrækkelige oplysninger om dens anvendelse, dog senest fire år efter påbegyndelsen af dens </w:t>
      </w:r>
      <w:r>
        <w:rPr>
          <w:noProof/>
        </w:rPr>
        <w:lastRenderedPageBreak/>
        <w:t>gennemførelse. Senest tre år efter afslutningen af forordningens anvendelsesperiode vil Kommissionen foretage en endelig efterfølgende evaluering. Kommissionen vil meddele Europa-Parlamentet, Rådet, Det Europæiske Økonomiske og Sociale Udvalg og Regionsudvalget resultaterne af evalueringerne og sine bemærkninger hertil.</w:t>
      </w:r>
    </w:p>
    <w:p>
      <w:pPr>
        <w:pStyle w:val="ManualHeading2"/>
        <w:rPr>
          <w:rFonts w:eastAsia="Arial Unicode MS"/>
          <w:noProof/>
          <w:u w:color="000000"/>
          <w:bdr w:val="nil"/>
        </w:rPr>
      </w:pPr>
      <w:r>
        <w:rPr>
          <w:noProof/>
          <w:u w:color="000000"/>
          <w:bdr w:val="nil"/>
        </w:rPr>
        <w:t>•</w:t>
      </w:r>
      <w:r>
        <w:rPr>
          <w:noProof/>
        </w:rPr>
        <w:tab/>
      </w:r>
      <w:r>
        <w:rPr>
          <w:noProof/>
          <w:u w:color="000000"/>
          <w:bdr w:val="nil"/>
        </w:rPr>
        <w:t>Nærmere redegørelse for de enkelte bestemmelser i forslaget</w:t>
      </w:r>
    </w:p>
    <w:p>
      <w:pPr>
        <w:spacing w:after="240"/>
        <w:rPr>
          <w:noProof/>
        </w:rPr>
      </w:pPr>
      <w:r>
        <w:rPr>
          <w:noProof/>
        </w:rPr>
        <w:t>Med forordningen oprettes instrumentet for teknisk støtte, som i kraft af tekniske foranstaltninger vil støtte medlemsstaternes gennemførelse af institutionelle, administrative og vækst- og resiliensfremmende reformer (artikel 1).</w:t>
      </w:r>
    </w:p>
    <w:p>
      <w:pPr>
        <w:spacing w:before="0" w:after="240"/>
        <w:rPr>
          <w:noProof/>
        </w:rPr>
      </w:pPr>
      <w:r>
        <w:rPr>
          <w:noProof/>
        </w:rPr>
        <w:t>Det overordnede formål med instrumentet for teknisk støtte er at fremme samhørighed ved at støtte medlemsstaternes indsats for at gennemføre de reformer, der er nødvendige for at opnå økonomisk og social genopretning, resiliens og konvergens, og støtte medlemsstaternes bestræbelser på at styrke deres administrative kapacitet til at gennemføre EU-retten i forbindelse med de udfordringer, som institutioner, statsforvaltninger, offentlige administrationer samt økonomiske og sociale sektorer står over for (artikel 3).</w:t>
      </w:r>
    </w:p>
    <w:p>
      <w:pPr>
        <w:spacing w:before="0" w:after="240"/>
        <w:rPr>
          <w:noProof/>
        </w:rPr>
      </w:pPr>
      <w:r>
        <w:rPr>
          <w:noProof/>
        </w:rPr>
        <w:t>Instrumentets specifikke mål er (artikel 4) at bistå de nationale myndigheder i deres bestræbelser på at forbedre deres kapacitet til at udforme, udvikle og gennemføre reformer, herunder gennem udveksling af god praksis, hensigtsmæssige procedurer og metoder samt en mere effektiv og produktiv forvaltning af menneskelige ressourcer. Disse mål skal forfølges i tæt samarbejde med de berørte medlemsstater.</w:t>
      </w:r>
    </w:p>
    <w:p>
      <w:pPr>
        <w:spacing w:before="0" w:after="240"/>
        <w:rPr>
          <w:noProof/>
        </w:rPr>
      </w:pPr>
      <w:r>
        <w:rPr>
          <w:noProof/>
        </w:rPr>
        <w:t>Anvendelsesområdet er et bredt spektrum af politikområder, der omfatter områder vedrørende offentlig finans- og kapitalforvaltning, institutionelle og administrative reformer, erhvervsklima, markederne for varer, tjenesteydelser og arbejdskraft, uddannelse og oplæring, bæredygtig udvikling, folkesundhed, uddannelse og den finansielle sektor (artikel 5). Der lægges særlig vægt på aktioner, der fremmer grøn og digital omstilling.</w:t>
      </w:r>
    </w:p>
    <w:p>
      <w:pPr>
        <w:spacing w:before="0" w:after="240"/>
        <w:rPr>
          <w:noProof/>
        </w:rPr>
      </w:pPr>
      <w:r>
        <w:rPr>
          <w:noProof/>
        </w:rPr>
        <w:t>Den samlede finansieringsramme for instrumentets gennemførelse for perioden 2021-2027 vil være på 864 406 000 EUR i løbende priser (artikel 6). Ud over denne finansieringsramme kan medlemsstaterne på frivillig basis og i henhold til artikel 21 i forordning [efterfølgeren til forordningen om fælles bestemmelser]</w:t>
      </w:r>
      <w:r>
        <w:rPr>
          <w:rStyle w:val="FootnoteReference"/>
          <w:noProof/>
        </w:rPr>
        <w:footnoteReference w:id="12"/>
      </w:r>
      <w:r>
        <w:rPr>
          <w:noProof/>
        </w:rPr>
        <w:t xml:space="preserve"> overføre midler til teknisk bistand under delte forvaltningsprogrammer til instrumentet for teknisk støtte. Overførte midler skal gennemføres efter reglerne for dette instrument og udelukkende anvendes til gavn for den pågældende medlemsstat (artikel 6, stk. 3, og artikel 10).</w:t>
      </w:r>
    </w:p>
    <w:p>
      <w:pPr>
        <w:spacing w:before="0" w:after="200"/>
        <w:rPr>
          <w:noProof/>
        </w:rPr>
      </w:pPr>
      <w:r>
        <w:rPr>
          <w:noProof/>
        </w:rPr>
        <w:t>I Kommissionens forslag til den flerårige finansielle ramme for 2021-2027 blev der opstillet et mere ambitiøst mål for klimamainstreaming på tværs af alle EU-programmer med et overordnet mål om, at mindst 25 % af EU's udgifter skal bidrage til klimamålene. Instrumentets bidrag til at nå dette overordnede mål vil blive fulgt via et EU-klimamarkørsystem med en passende detaljeringsgrad og med anvendelse af mere præcise metoder, i det omfang de er til rådighed (betragtning 10).</w:t>
      </w:r>
    </w:p>
    <w:p>
      <w:pPr>
        <w:spacing w:before="0" w:after="240"/>
        <w:rPr>
          <w:noProof/>
        </w:rPr>
      </w:pPr>
      <w:r>
        <w:rPr>
          <w:noProof/>
        </w:rPr>
        <w:t xml:space="preserve">Instrumentet for teknisk støtte vil skulle støtte gennemførelsen af vækst- og resiliensfremmende reformer, der iværksættes på medlemsstaternes initiativ, eller inden for rammerne af processer for økonomisk styring eller aktioner vedrørende gennemførelse af EU-retten og EU's politiske prioriteter og reformer i forbindelse med gennemførelsen af de </w:t>
      </w:r>
      <w:r>
        <w:rPr>
          <w:noProof/>
        </w:rPr>
        <w:lastRenderedPageBreak/>
        <w:t xml:space="preserve">økonomiske tilpasningsprogrammer. Instrumentet vil også skulle yde teknisk støtte til forberedelse og gennemførelse af reformer inden for rammerne af den nye genopretnings- og resiliensfacilitet (artikel 8). </w:t>
      </w:r>
    </w:p>
    <w:p>
      <w:pPr>
        <w:spacing w:before="0" w:after="240"/>
        <w:rPr>
          <w:noProof/>
        </w:rPr>
      </w:pPr>
      <w:r>
        <w:rPr>
          <w:noProof/>
        </w:rPr>
        <w:t>Kommissionen vil analysere støtteanmodninger på basis af de identificerede problemers hastende karakter, bredde og dybde, støttebehovet i tilknytning til det berørte politikområde, en analyse af socioøkonomiske indikatorer og medlemsstatens generelle administrative kapacitet. På grundlag af denne analyse og under hensyntagen til de eksisterende foranstaltninger og aktioner, der finansieres af andre EU-fonde eller -programmer, vil Kommissionen nå til enighed med medlemsstaten om de prioriterede støtteområder, målene, en vejledende tidsplan, støtteforanstaltningernes omfang og det skønnede samlede finansielle bidrag, som fastlægges i en samarbejds- og støtteplan (artikel 8).</w:t>
      </w:r>
    </w:p>
    <w:p>
      <w:pPr>
        <w:spacing w:before="0" w:after="240"/>
        <w:rPr>
          <w:noProof/>
        </w:rPr>
      </w:pPr>
      <w:r>
        <w:rPr>
          <w:noProof/>
        </w:rPr>
        <w:t>Typen af aktioner, som vil være berettigede til finansiering inden for rammerne af instrumentet for teknisk støtte, omfatter bl.a. ekspertise inden for politisk rådgivning og/eller politiske ændringer, udformning af strategier og køreplaner for reformer samt lovgivningsmæssige, institutionelle, strukturelle og administrative reformer; hjælp fra eksperter, herunder udstationerede eksperter; kapacitetsopbygning og hermed beslægtede støtteaktioner på alle forvaltningsniveauer, der også bidrager til en styrkelse af civilsamfundet (artikel 7). Aktioner, der finansieres inden for rammerne af instrumentet for teknisk støtte, kan modtage støtte fra andre EU-programmer, -instrumenter eller -fonde under Unionens budget, forudsat at sådan støtte ikke dækker de samme udgifter (artikel 11).</w:t>
      </w:r>
    </w:p>
    <w:p>
      <w:pPr>
        <w:spacing w:before="0" w:after="200"/>
        <w:rPr>
          <w:noProof/>
        </w:rPr>
      </w:pPr>
      <w:r>
        <w:rPr>
          <w:noProof/>
        </w:rPr>
        <w:t>Kommissionen vil vedtage arbejdsprogrammer til gennemførelse af instrumentet for teknisk støtte ved hjælp af gennemførelsesretsakter, hvori der fastsættes foranstaltninger vedrørende teknisk støtte og alle de elementer, der kræves i henhold til finansforordningen</w:t>
      </w:r>
      <w:r>
        <w:rPr>
          <w:rStyle w:val="FootnoteReference"/>
          <w:noProof/>
        </w:rPr>
        <w:footnoteReference w:id="13"/>
      </w:r>
      <w:r>
        <w:rPr>
          <w:noProof/>
        </w:rPr>
        <w:t xml:space="preserve"> (artikel 12).</w:t>
      </w:r>
    </w:p>
    <w:p>
      <w:pPr>
        <w:spacing w:before="0" w:after="200"/>
        <w:rPr>
          <w:noProof/>
        </w:rPr>
      </w:pPr>
      <w:r>
        <w:rPr>
          <w:noProof/>
        </w:rPr>
        <w:t>Der fastsættes bestemmelser om kommunikationsaktiviteter over for Europa-Parlamentet og Rådet samt over for offentligheden (artikel 9 og 17) samt bestemmelser om komplementaritet (artikel 13), overvågning (artikel 14), årsrapporter (artikel 15) og evaluering (artikel 16).</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2020/0103 (COD)</w:t>
      </w:r>
    </w:p>
    <w:p>
      <w:pPr>
        <w:pStyle w:val="Statut"/>
        <w:rPr>
          <w:noProof/>
        </w:rPr>
      </w:pPr>
      <w:r>
        <w:rPr>
          <w:noProof/>
        </w:rPr>
        <w:t>Forslag til</w:t>
      </w:r>
    </w:p>
    <w:p>
      <w:pPr>
        <w:pStyle w:val="Typedudocument"/>
        <w:rPr>
          <w:noProof/>
        </w:rPr>
      </w:pPr>
      <w:r>
        <w:rPr>
          <w:noProof/>
        </w:rPr>
        <w:t>EUROPA-PARLAMENTETS OG RÅDETS FORORDNING</w:t>
      </w:r>
    </w:p>
    <w:p>
      <w:pPr>
        <w:pStyle w:val="Titreobjet"/>
        <w:rPr>
          <w:noProof/>
        </w:rPr>
      </w:pPr>
      <w:r>
        <w:rPr>
          <w:noProof/>
        </w:rPr>
        <w:t>om oprettelse af et instrument for teknisk støtte</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175, stk. 3, og artikel 197, stk. 2,</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14"/>
      </w:r>
      <w:r>
        <w:rPr>
          <w:noProof/>
        </w:rPr>
        <w:t xml:space="preserve">, </w:t>
      </w:r>
    </w:p>
    <w:p>
      <w:pPr>
        <w:rPr>
          <w:noProof/>
        </w:rPr>
      </w:pPr>
      <w:r>
        <w:rPr>
          <w:noProof/>
        </w:rPr>
        <w:t>under henvisning til udtalelse fra Regionsudvalget</w:t>
      </w:r>
      <w:r>
        <w:rPr>
          <w:rStyle w:val="FootnoteReference"/>
          <w:noProof/>
        </w:rPr>
        <w:footnoteReference w:id="15"/>
      </w:r>
      <w:r>
        <w:rPr>
          <w:noProof/>
        </w:rPr>
        <w:t xml:space="preserve">, </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 xml:space="preserve">Medlemsstaterne skal i henhold til artikel 120 og 121 i traktaten om Den Europæiske Unions funktionsmåde ("traktaten") føre deres økonomiske politikker på en måde, der bidrager til virkeliggørelsen af Unionens mål, og inden for rammerne af de overordnede retningslinjer, som Rådet fastsætter. Medlemsstaterne skal i henhold til traktatens artikel 148 gennemføre beskæftigelsespolitikker, der tager hensyn til retningslinjerne for beskæftigelse. Samordningen af medlemsstaternes økonomiske politikker er derfor et spørgsmål af fælles interesse. </w:t>
      </w:r>
    </w:p>
    <w:p>
      <w:pPr>
        <w:pStyle w:val="ManualConsidrant"/>
        <w:rPr>
          <w:noProof/>
        </w:rPr>
      </w:pPr>
      <w:r>
        <w:t>(2)</w:t>
      </w:r>
      <w:r>
        <w:tab/>
      </w:r>
      <w:r>
        <w:rPr>
          <w:noProof/>
        </w:rPr>
        <w:t>Medlemsstaterne skal i henhold til traktatens artikel 175 bl.a. samordne deres økonomiske politikker med henblik på at nå de mål vedrørende økonomisk, social og territorial samhørighed, der er fastlagt i artikel 174.</w:t>
      </w:r>
    </w:p>
    <w:p>
      <w:pPr>
        <w:pStyle w:val="ManualConsidrant"/>
        <w:rPr>
          <w:noProof/>
        </w:rPr>
      </w:pPr>
      <w:r>
        <w:t>(3)</w:t>
      </w:r>
      <w:r>
        <w:tab/>
      </w:r>
      <w:r>
        <w:rPr>
          <w:noProof/>
        </w:rPr>
        <w:t xml:space="preserve">Udbruddet af covid-19-pandemien i starten af 2020 har ændret de økonomiske udsigter år ud i fremtiden i Unionen og i resten af verden. I Unionen er der i forbindelse med krisen opstået nye prioriteter, særlig med fokus på genopretning og resiliens. De kræver en hurtig og koordineret indsats fra Unionen for at håndtere de økonomiske konsekvenser for medlemsstaterne samt for at afbøde de sociale og økonomiske negative følger. Den aktuelle covid-19-pandemi såvel som den tidligere økonomiske og finansielle krise har vist, at udviklingen af sunde og resiliente økonomier og finansielle systemer, der bygger på stærke økonomiske og sociale strukturer, hjælper medlemsstaterne til at reagere mere effektivt på chok og til efterfølgende hurtigere at komme på fode igen. Vækstfremmende reformer og investeringer, der skal afhjælpe økonomiernes strukturelle svagheder og styrke deres resiliens, vil derfor være af afgørende betydning for at bringe økonomierne og </w:t>
      </w:r>
      <w:r>
        <w:rPr>
          <w:noProof/>
        </w:rPr>
        <w:lastRenderedPageBreak/>
        <w:t>samfundene tilbage på rette spor mod en bæredygtig genopretning og afhjælpe økonomiske, sociale og territoriale forskelle i Unionen.</w:t>
      </w:r>
    </w:p>
    <w:p>
      <w:pPr>
        <w:pStyle w:val="ManualConsidrant"/>
        <w:rPr>
          <w:noProof/>
        </w:rPr>
      </w:pPr>
      <w:r>
        <w:t>(4)</w:t>
      </w:r>
      <w:r>
        <w:tab/>
      </w:r>
      <w:r>
        <w:rPr>
          <w:noProof/>
        </w:rPr>
        <w:t xml:space="preserve">På EU-niveau danner det europæiske semester for samordning af de økonomiske politikker rammen for udpegelse af nationale reformprioriteter og overvågning af deres gennemførelse. Medlemsstaterne udvikler selv deres egne nationale flerårige investeringsstrategier til støtte for disse reformprioriteter. Disse strategier fremlægges sammen med de årlige nationale reformprogrammer for således at opridse og samordne de prioriteter, som vil blive støttet med midler fra medlemsstaten og/eller Unionen. De bør også tjene til at anvende EU-finansieringen på en sammenhængende måde og til at maksimere merværdien af den finansielle støtte, der især kommer fra de programmer, som Unionen støtter under struktur- og samhørighedsfondene, og fra andre programmer. </w:t>
      </w:r>
    </w:p>
    <w:p>
      <w:pPr>
        <w:pStyle w:val="ManualConsidrant"/>
        <w:rPr>
          <w:noProof/>
        </w:rPr>
      </w:pPr>
      <w:r>
        <w:t>(5)</w:t>
      </w:r>
      <w:r>
        <w:tab/>
      </w:r>
      <w:r>
        <w:rPr>
          <w:noProof/>
        </w:rPr>
        <w:t>Ved Europa-Parlamentets og Rådets forordning (EU) 2017/825</w:t>
      </w:r>
      <w:r>
        <w:rPr>
          <w:rStyle w:val="FootnoteReference"/>
          <w:noProof/>
          <w:szCs w:val="24"/>
        </w:rPr>
        <w:footnoteReference w:id="16"/>
      </w:r>
      <w:r>
        <w:rPr>
          <w:noProof/>
        </w:rPr>
        <w:t xml:space="preserve"> oprettedes støtteprogrammet for strukturreformer (SRSP) for perioden 2017-2020 med et budget på 142 800 000 EUR. SRSP blev oprettet for at styrke medlemsstaternes kapacitet til at udforme og gennemføre vækstfremmende administrative og strukturelle reformer, bl.a. gennem bistand til en effektiv og produktiv udnyttelse af EU-fondene. Teknisk støtte inden for rammerne af programmet ydes af Kommissionen efter anmodning fra den enkelte medlemsstat og kan omfatte en bred vifte af politikområder. Denne forordning er udformet som en videreførelse af programmet, som er blevet positivt modtaget af medlemsstaterne. </w:t>
      </w:r>
    </w:p>
    <w:p>
      <w:pPr>
        <w:pStyle w:val="ManualConsidrant"/>
        <w:rPr>
          <w:noProof/>
        </w:rPr>
      </w:pPr>
      <w:r>
        <w:t>(6)</w:t>
      </w:r>
      <w:r>
        <w:tab/>
      </w:r>
      <w:r>
        <w:rPr>
          <w:noProof/>
        </w:rPr>
        <w:t xml:space="preserve">Medlemsstaterne har tidligere i stigende grad anvendt teknisk støtte inden for rammerne af SRSP, og der bør derfor med denne forordning oprettes et instrument for teknisk støtte med henblik på fortsat at støtte medlemsstaterne i gennemførelsen af reformer. </w:t>
      </w:r>
    </w:p>
    <w:p>
      <w:pPr>
        <w:pStyle w:val="ManualConsidrant"/>
        <w:rPr>
          <w:noProof/>
        </w:rPr>
      </w:pPr>
      <w:r>
        <w:t>(7)</w:t>
      </w:r>
      <w:r>
        <w:tab/>
      </w:r>
      <w:r>
        <w:rPr>
          <w:noProof/>
        </w:rPr>
        <w:t xml:space="preserve">I overensstemmelse med den europæiske grønne pagt som Europas strategi for vækst og med Unionens forpligtelser til at gennemføre Parisaftalen og nå FN's mål for bæredygtig udvikling vil instrumentet for teknisk støtte bidrage til klimamainstreaming og til at nå det overordnede mål om, at 25 % af udgifterne under EU-budgettet skal understøtte klimamål. De relevante aktioner bør identificeres i forbindelse med instrumentets udarbejdelse og gennemførelse og samt revurderes som led i de relevante evaluerings- og revisionsprocesser. Dette bør også omfatte indsatsen for at tackle bredere miljømæssige og sociale udfordringer i Unionen, herunder beskyttelse af naturkapital og støtte til den cirkulære økonomi, samt være i overensstemmelse med 2030-dagsordenen for bæredygtig udvikling. </w:t>
      </w:r>
    </w:p>
    <w:p>
      <w:pPr>
        <w:pStyle w:val="ManualConsidrant"/>
        <w:rPr>
          <w:noProof/>
        </w:rPr>
      </w:pPr>
      <w:r>
        <w:t>(8)</w:t>
      </w:r>
      <w:r>
        <w:tab/>
      </w:r>
      <w:r>
        <w:rPr>
          <w:noProof/>
        </w:rPr>
        <w:t xml:space="preserve">Det generelle mål med instrumentet for teknisk støtte bør være at fremme Unionens økonomiske, sociale og territoriale samhørighed ved at støtte medlemsstaternes indsats for at gennemføre de reformer, der er nødvendige for at opnå økonomisk og social genopretning, resiliens og konvergens. Til dette formål bør det bidrage til at styrke medlemsstaternes administrative kapacitet til at gennemføre EU-retten i forbindelse med de udfordringer, som institutionerne, statsforvaltningen, den offentlige administration og de økonomiske og sociale sektorer står over for. </w:t>
      </w:r>
    </w:p>
    <w:p>
      <w:pPr>
        <w:pStyle w:val="ManualConsidrant"/>
        <w:rPr>
          <w:noProof/>
        </w:rPr>
      </w:pPr>
      <w:r>
        <w:lastRenderedPageBreak/>
        <w:t>(9)</w:t>
      </w:r>
      <w:r>
        <w:tab/>
      </w:r>
      <w:r>
        <w:rPr>
          <w:noProof/>
        </w:rPr>
        <w:t>De specifikke mål med instrumentet for teknisk støtte børe være at bistå de nationale myndigheder i deres bestræbelser på at udforme, udvikle og gennemføre reformer, herunder ved udveksling af god praksis, hensigtsmæssige procedurer og metoder samt en mere effektiv og produktiv forvaltning af menneskelige ressourcer.</w:t>
      </w:r>
    </w:p>
    <w:p>
      <w:pPr>
        <w:pStyle w:val="ManualConsidrant"/>
        <w:rPr>
          <w:noProof/>
        </w:rPr>
      </w:pPr>
      <w:r>
        <w:t>(10)</w:t>
      </w:r>
      <w:r>
        <w:tab/>
      </w:r>
      <w:r>
        <w:rPr>
          <w:noProof/>
        </w:rPr>
        <w:t xml:space="preserve">For at hjælpe medlemsstaterne med at håndtere reformbehovene på alle de centrale økonomiske og sociale områder bør Kommissionen fortsat yde teknisk støtte efter anmodning fra en medlemsstat inden for en bred vifte af politikområder, herunder områder med relation til offentlig finans- og kapitalforvaltning, institutionelle og administrative reformer, erhvervsklima, finanssektoren, produkt-, tjeneste- og arbejdsmarkederne, uddannelse og oplæring, bæredygtig udvikling, folkesundhed og social velfærd. Der lægges særlig vægt på aktioner, der fremmer grøn og digital omstilling. </w:t>
      </w:r>
    </w:p>
    <w:p>
      <w:pPr>
        <w:pStyle w:val="ManualConsidrant"/>
        <w:rPr>
          <w:noProof/>
        </w:rPr>
      </w:pPr>
      <w:r>
        <w:t>(11)</w:t>
      </w:r>
      <w:r>
        <w:tab/>
      </w:r>
      <w:r>
        <w:rPr>
          <w:noProof/>
        </w:rPr>
        <w:t>Der fastsættes ved denne forordning en finansieringsramme for instrumentet for teknisk støtte, som skal udgøre det primære referencebeløb for Europa-Parlamentet og Rådet under den årlige budgetprocedure, jf. den interinstitutionelle aftale om budgetdisciplin, om samarbejde på budgetområdet og om forsvarlig økonomisk forvaltning</w:t>
      </w:r>
      <w:r>
        <w:rPr>
          <w:rStyle w:val="FootnoteReference"/>
          <w:noProof/>
          <w:szCs w:val="24"/>
        </w:rPr>
        <w:footnoteReference w:id="17"/>
      </w:r>
      <w:r>
        <w:rPr>
          <w:noProof/>
        </w:rPr>
        <w:t xml:space="preserve">. </w:t>
      </w:r>
    </w:p>
    <w:p>
      <w:pPr>
        <w:pStyle w:val="ManualConsidrant"/>
        <w:rPr>
          <w:noProof/>
        </w:rPr>
      </w:pPr>
      <w:r>
        <w:t>(12)</w:t>
      </w:r>
      <w:r>
        <w:tab/>
      </w:r>
      <w:r>
        <w:rPr>
          <w:noProof/>
        </w:rPr>
        <w:t>Med henblik på at tilgodese supplerende behov inden for rammerne af instrumentet for teknisk støtte bør medlemsstaterne have mulighed for til instrumentets budget at overføre midler, som er programmeret i henhold til delt forvaltning under EU-fonde, i overensstemmelse med disses procedure. Overførte midler bør anvendes efter reglerne for dette instrument og bør udelukkende anvendes til gavn for den berørte medlemsstat. Kommissionen bør give den berørte medlemsstat feedback på anvendelsen af de supplerende frivillige bidrag.</w:t>
      </w:r>
    </w:p>
    <w:p>
      <w:pPr>
        <w:pStyle w:val="ManualConsidrant"/>
        <w:rPr>
          <w:noProof/>
        </w:rPr>
      </w:pPr>
      <w:r>
        <w:t>(13)</w:t>
      </w:r>
      <w:r>
        <w:tab/>
      </w:r>
      <w:r>
        <w:rPr>
          <w:noProof/>
        </w:rPr>
        <w:t>Instrumentet for teknisk støtte bør anvendes efter anmodning til støtte for gennemførelsen af reformer på initiativ af medlemsstaterne, reformer i forbindelse med processerne for økonomisk styring eller aktioner vedrørende gennemførelse af EU-retten og reformer i forbindelse med gennemførelsen af økonomiske tilpasningsprogrammer. Det bør også yde teknisk støtte til udarbejdelse og gennemførelse af genopretningsplaner, der skal iværksættes under forordning (EU) nr. YYY/XX.</w:t>
      </w:r>
    </w:p>
    <w:p>
      <w:pPr>
        <w:pStyle w:val="ManualConsidrant"/>
        <w:rPr>
          <w:noProof/>
        </w:rPr>
      </w:pPr>
      <w:r>
        <w:t>(14)</w:t>
      </w:r>
      <w:r>
        <w:tab/>
      </w:r>
      <w:r>
        <w:rPr>
          <w:noProof/>
        </w:rPr>
        <w:t>I overensstemmelse med de regler og den praksis, der allerede gælder for det forrige program, dvs. SRSP, bør der indføres en ubureaukratisk procedure for indgivelse af anmodninger om teknisk støtte. Medlemsstaternes anmodninger bør i det øjemed indgives senest den 31. oktober i et kalenderår.</w:t>
      </w:r>
      <w:r>
        <w:rPr>
          <w:i/>
          <w:noProof/>
          <w:szCs w:val="24"/>
        </w:rPr>
        <w:t xml:space="preserve"> </w:t>
      </w:r>
      <w:r>
        <w:rPr>
          <w:noProof/>
        </w:rPr>
        <w:t>Der bør fastsættes passende kriterier for analyse af de anmodninger, som medlemsstaterne indgiver, under overholdelse af det overordnede princip om ligebehandling, forsvarlig økonomisk forvaltning og gennemsigtighed. Disse kriterier bør tage udgangspunkt i problemernes hastende karakter, alvorsgrad og omfang samt det pågældende støttebehov inden for de politikområder, hvor den tekniske støtte påtænkes.</w:t>
      </w:r>
    </w:p>
    <w:p>
      <w:pPr>
        <w:pStyle w:val="ManualConsidrant"/>
        <w:rPr>
          <w:noProof/>
        </w:rPr>
      </w:pPr>
      <w:r>
        <w:t>(15)</w:t>
      </w:r>
      <w:r>
        <w:tab/>
      </w:r>
      <w:r>
        <w:rPr>
          <w:noProof/>
        </w:rPr>
        <w:t xml:space="preserve">Indholdet af samarbejds- og støtteplanerne med de nærmere oplysninger om foranstaltningerne til levering af teknisk støtte til medlemsstaterne bør også specificeres. I den forbindelse bør der med de påtænkte tekniske støtteforanstaltninger </w:t>
      </w:r>
      <w:r>
        <w:rPr>
          <w:noProof/>
        </w:rPr>
        <w:lastRenderedPageBreak/>
        <w:t xml:space="preserve">og det hermed forbundne anslåede samlede finansielle bidrag tages højde for de aktioner og aktiviteter, der finansieres af EU-fonde eller EU-programmer. </w:t>
      </w:r>
    </w:p>
    <w:p>
      <w:pPr>
        <w:pStyle w:val="ManualConsidrant"/>
        <w:rPr>
          <w:noProof/>
        </w:rPr>
      </w:pPr>
      <w:r>
        <w:t>(16)</w:t>
      </w:r>
      <w:r>
        <w:tab/>
      </w:r>
      <w:r>
        <w:rPr>
          <w:noProof/>
        </w:rPr>
        <w:t xml:space="preserve">Med henblik på ansvarlighed, gennemsigtighed og sikring af synligheden af Unionens indsats bør samarbejds- og støtteplanerne, på visse betingelser, der har til formål at beskytte følsomme oplysninger, forelægges for Europa-Parlamentet og Rådet, og Kommissionen bør iværksætte kommunikationsaktiviteter, hvis det er relevant. </w:t>
      </w:r>
    </w:p>
    <w:p>
      <w:pPr>
        <w:pStyle w:val="ManualConsidrant"/>
        <w:rPr>
          <w:noProof/>
        </w:rPr>
      </w:pPr>
      <w:r>
        <w:t>(17)</w:t>
      </w:r>
      <w:r>
        <w:tab/>
      </w:r>
      <w:r>
        <w:rPr>
          <w:noProof/>
        </w:rPr>
        <w:t xml:space="preserve">Der bør fastsættes bestemmelser om gennemførelsen af instrumentet for teknisk støtte, navnlig forvaltningsmetoder, former for finansiering af de tekniske støtteforanstaltninger og indholdet af arbejdsprogrammerne, som bør vedtages ved gennemførelsesretsakter. Da det har stor betydning at støtte medlemsstaternes bestræbelser på at forfølge og gennemføre reformer, er det nødvendigt at tillade en medfinansieringssats for tilskud på op til 100 % af de støtteberettigede omkostninger. For at muliggøre hurtig tilvejebringelse af teknisk støtte i hastetilfælde bør der fastsættes bestemmelser om vedtagelse af særlige foranstaltninger for en begrænset periode. Med henblik herpå bør et begrænset beløb i budgettet inden for arbejdsprogrammet for instrumentet for teknisk støtte forbeholdes særlige foranstaltninger. </w:t>
      </w:r>
    </w:p>
    <w:p>
      <w:pPr>
        <w:pStyle w:val="ManualConsidrant"/>
        <w:rPr>
          <w:noProof/>
        </w:rPr>
      </w:pPr>
      <w:r>
        <w:t>(18)</w:t>
      </w:r>
      <w:r>
        <w:tab/>
      </w:r>
      <w:r>
        <w:rPr>
          <w:noProof/>
        </w:rPr>
        <w:t>For at sikre en effektiv og sammenhængende tildeling af midler fra Unionens budget og overholdelse af princippet om forsvarlig økonomisk forvaltning bør aktioner under denne forordning være i overensstemmelse med og supplere igangværende EU-programmer, idet dobbeltfinansiering af de samme udgifter bør undgås. Navnlig bør Kommissionen og medlemsstaten i alle faser af processen sikre en effektiv koordination for at sikre konsistens, sammenhæng, komplementaritet og synergi mellem finansieringskilderne, herunder teknisk bistand.</w:t>
      </w:r>
    </w:p>
    <w:p>
      <w:pPr>
        <w:pStyle w:val="ManualConsidrant"/>
        <w:rPr>
          <w:noProof/>
        </w:rPr>
      </w:pPr>
      <w:r>
        <w:t>(19)</w:t>
      </w:r>
      <w:r>
        <w:tab/>
      </w:r>
      <w:r>
        <w:rPr>
          <w:noProof/>
        </w:rPr>
        <w:t xml:space="preserve">I overensstemmelse med punkt 22 og 23 i den interinstitutionelle aftale om bedre lovgivning af 13. april 2016 er der behov for at evaluere instrumentet, som oprettes ved denne forordning, på grundlag af oplysninger, der er tilvejebragt på grundlag af specifikke overvågningskrav, samtidig med at overregulering og administrative byrder undgås, navnlig for medlemsstaterne. Disse krav bør, hvis det er hensigtsmæssigt, omfatte målbare indikatorer, der kan danne grundlag for en evaluering af instrumentets virkninger i praksis. </w:t>
      </w:r>
    </w:p>
    <w:p>
      <w:pPr>
        <w:pStyle w:val="ManualConsidrant"/>
        <w:rPr>
          <w:noProof/>
        </w:rPr>
      </w:pPr>
      <w:r>
        <w:t>(20)</w:t>
      </w:r>
      <w:r>
        <w:tab/>
      </w:r>
      <w:r>
        <w:rPr>
          <w:noProof/>
        </w:rPr>
        <w:t xml:space="preserve">Kommissionen bør forelægge en årlig rapport for Europa-Parlamentet og Rådet om denne forordnings gennemførelse. Der bør foretages en uafhængig midtvejsevaluering af, i hvilket omfang målene for instrumentet, som oprettes ved denne forordning, er blevet opfyldt, hvor produktivt dets ressourcer er blevet anvendt, og hvilken merværdi det har medført. Der bør endvidere foretages en uafhængig efterfølgende evaluering af instrumentets langsigtede virkning. </w:t>
      </w:r>
    </w:p>
    <w:p>
      <w:pPr>
        <w:pStyle w:val="ManualConsidrant"/>
        <w:rPr>
          <w:noProof/>
        </w:rPr>
      </w:pPr>
      <w:r>
        <w:t>(21)</w:t>
      </w:r>
      <w:r>
        <w:tab/>
      </w:r>
      <w:r>
        <w:rPr>
          <w:noProof/>
        </w:rPr>
        <w:t>Der bør udarbejdes arbejdsprogrammer for gennemførelsen af teknisk støtte. For at sikre ensartede betingelser for gennemførelsen af denne forordning bør Kommissionen tillægges gennemførelsesbeføjelser. De horisontale finansielle regler, der er vedtaget af Europa-Parlamentet og Rådet på grundlag af artikel 322 i TEUF, finder anvendelse på denne forordning. Disse regler er fastlagt i Europa-Parlamentets og Rådets forordning (EU, Euratom) 2018/1046 (finansforordningen)</w:t>
      </w:r>
      <w:r>
        <w:rPr>
          <w:rStyle w:val="FootnoteReference"/>
          <w:noProof/>
          <w:szCs w:val="24"/>
        </w:rPr>
        <w:footnoteReference w:id="18"/>
      </w:r>
      <w:r>
        <w:rPr>
          <w:noProof/>
        </w:rPr>
        <w:t xml:space="preserve">, og de regulerer navnlig </w:t>
      </w:r>
      <w:r>
        <w:rPr>
          <w:noProof/>
        </w:rPr>
        <w:lastRenderedPageBreak/>
        <w:t>proceduren for opstilling og gennemførelse af budgettet ved hjælp af tilskud, udbud, priser og indirekte gennemførelse og sikrer kontrol med de finansielle aktørers ansvar. Regler, der vedtages med hjemmel i artikel 322 i TEUF, vedrører også beskyttelsen af Unionens budget i tilfælde af generaliserede mangler i medlemsstaterne for så vidt angår retsstatsprincippet, idet overholdelsen heraf er en væsentlig forudsætning for forsvarlig økonomisk forvaltning og effektiv EU-finansiering.</w:t>
      </w:r>
    </w:p>
    <w:p>
      <w:pPr>
        <w:pStyle w:val="ManualConsidrant"/>
        <w:rPr>
          <w:noProof/>
        </w:rPr>
      </w:pPr>
      <w:r>
        <w:t>(22)</w:t>
      </w:r>
      <w:r>
        <w:tab/>
      </w:r>
      <w:r>
        <w:rPr>
          <w:noProof/>
        </w:rPr>
        <w:t>Unionens finansielle interesser skal beskyttes ved hjælp af forholdsmæssigt afpassede foranstaltninger, herunder ved forebyggelse, påvisning, korrektion og undersøgelse af uregelmæssigheder og svig, inddrivelse af tabte, uberettiget udbetalte eller ukorrekt anvendte midler og alt efter omstændighederne ved anvendelse af administrative sanktioner, jf. finansforordningen, Europa-Parlamentets og Rådets forordning (EU, Euratom) nr. 883/2013</w:t>
      </w:r>
      <w:r>
        <w:rPr>
          <w:rStyle w:val="FootnoteReference"/>
          <w:noProof/>
          <w:szCs w:val="24"/>
        </w:rPr>
        <w:footnoteReference w:id="19"/>
      </w:r>
      <w:r>
        <w:rPr>
          <w:noProof/>
        </w:rPr>
        <w:t>, Rådets forordning (Euratom, EF) nr. 2988/95</w:t>
      </w:r>
      <w:r>
        <w:rPr>
          <w:rStyle w:val="FootnoteReference"/>
          <w:noProof/>
          <w:szCs w:val="24"/>
        </w:rPr>
        <w:footnoteReference w:id="20"/>
      </w:r>
      <w:r>
        <w:rPr>
          <w:noProof/>
        </w:rPr>
        <w:t>, Rådets forordning (Euratom, EF) nr. 2185/96</w:t>
      </w:r>
      <w:r>
        <w:rPr>
          <w:rStyle w:val="FootnoteReference"/>
          <w:noProof/>
          <w:szCs w:val="24"/>
        </w:rPr>
        <w:footnoteReference w:id="21"/>
      </w:r>
      <w:r>
        <w:rPr>
          <w:noProof/>
        </w:rPr>
        <w:t xml:space="preserve"> og Rådets forordning (EU) 2017/1939</w:t>
      </w:r>
      <w:r>
        <w:rPr>
          <w:rStyle w:val="FootnoteReference"/>
          <w:noProof/>
          <w:szCs w:val="24"/>
        </w:rPr>
        <w:footnoteReference w:id="22"/>
      </w:r>
      <w:r>
        <w:rPr>
          <w:noProof/>
        </w:rPr>
        <w:t>. Navnlig kan Det Europæiske Kontor for Bekæmpelse af Svig (OLAF), jf. forordning (EU, Euratom) nr. 883/2013 og forordning (Euratom, EF) nr. 2185/96, foretage administrative undersøgelser, herunder kontrol og inspektion på stedet, for at konstatere, om der foreligger svig, korruption eller andre ulovlige forhold, der skader Unionens finansielle interesser. Den Europæiske Anklagemyndighed (EPPO) kan, jf. forordning (EU) 2017/1939, efterforske og retsforfølge svig og andre strafbare handlinger, der skader Unionens finansielle interesser, som fastsat i Europa-Parlamentets og Rådets direktiv (EU) 2017/1371</w:t>
      </w:r>
      <w:r>
        <w:rPr>
          <w:rStyle w:val="FootnoteReference"/>
          <w:noProof/>
          <w:szCs w:val="24"/>
        </w:rPr>
        <w:footnoteReference w:id="23"/>
      </w:r>
      <w:r>
        <w:rPr>
          <w:noProof/>
        </w:rPr>
        <w:t>. I henhold til finansforordningen skal personer eller enheder, som modtager EU-midler, samarbejde fuldt ud om at beskytte Unionens finansielle interesser, give Kommissionen, OLAF, EPPO og Den Europæiske Revisionsret de fornødne rettigheder og den fornødne adgang samt sikre, at tredjeparter, der er involveret i gennemførelsen af EU-midler, giver Kommissionen, OLAF, EPPO og Den Europæiske Revisionsret tilsvarende rettigheder.</w:t>
      </w:r>
    </w:p>
    <w:p>
      <w:pPr>
        <w:pStyle w:val="ManualConsidrant"/>
        <w:rPr>
          <w:noProof/>
        </w:rPr>
      </w:pPr>
      <w:r>
        <w:t>(23)</w:t>
      </w:r>
      <w:r>
        <w:tab/>
      </w:r>
      <w:r>
        <w:rPr>
          <w:noProof/>
        </w:rPr>
        <w:t>Målet for denne forordning kan ikke i tilstrækkelig grad opfyldes af medlemsstaterne, men kan bedre nås på EU-plan, hvorfor Unionen kan vedtage foranstaltninger i overensstemmelse med nærhedsprincippet, jf. artikel 5 i traktaten om Den Europæiske Union. I overensstemmelse med proportionalitetsprincippet, jf. nævnte artikel, går denne forordning ikke videre, end hvad der er nødvendigt for at nå dette mål.</w:t>
      </w:r>
    </w:p>
    <w:p>
      <w:pPr>
        <w:pStyle w:val="ManualConsidrant"/>
        <w:rPr>
          <w:noProof/>
        </w:rPr>
      </w:pPr>
      <w:r>
        <w:t>(24)</w:t>
      </w:r>
      <w:r>
        <w:tab/>
      </w:r>
      <w:r>
        <w:rPr>
          <w:noProof/>
        </w:rPr>
        <w:t xml:space="preserve">Denne forordning bør dog ikke være til hinder for videreførelse og ændring af støtteforanstaltninger, som Kommissionen har godkendt på grundlag af forordning (EU) 2017/825 eller en anden EU-retsakt, der gælder for denne bistand pr. 31. december 2020. Foranstaltninger, der er godkendt i henhold til forordning (EU) </w:t>
      </w:r>
      <w:r>
        <w:rPr>
          <w:noProof/>
        </w:rPr>
        <w:lastRenderedPageBreak/>
        <w:t>2017/825, bør derfor fortsat være gyldige. Med henblik herpå bør der også fastsættes en overgangsbestemmelse.</w:t>
      </w:r>
    </w:p>
    <w:p>
      <w:pPr>
        <w:pStyle w:val="ManualConsidrant"/>
        <w:rPr>
          <w:noProof/>
        </w:rPr>
      </w:pPr>
      <w:r>
        <w:t>(25)</w:t>
      </w:r>
      <w:r>
        <w:tab/>
      </w:r>
      <w:r>
        <w:rPr>
          <w:noProof/>
        </w:rPr>
        <w:t xml:space="preserve">For at muliggøre en øjeblikkelig anvendelse af de i denne forordning fastsatte foranstaltninger bør denne forordning træde i kraft dagen efter offentliggørelsen i </w:t>
      </w:r>
      <w:r>
        <w:rPr>
          <w:i/>
          <w:noProof/>
        </w:rPr>
        <w:t>Den Europæiske Unions Tidende</w:t>
      </w:r>
      <w:r>
        <w:rPr>
          <w:noProof/>
        </w:rPr>
        <w:t xml:space="preserve"> — </w:t>
      </w:r>
    </w:p>
    <w:p>
      <w:pPr>
        <w:pStyle w:val="Formuledadoption"/>
        <w:rPr>
          <w:noProof/>
        </w:rPr>
      </w:pPr>
      <w:r>
        <w:rPr>
          <w:noProof/>
        </w:rPr>
        <w:t>VEDTAGET DENNE FORORDNING:</w:t>
      </w:r>
    </w:p>
    <w:p>
      <w:pPr>
        <w:pStyle w:val="ChapterTitle"/>
        <w:rPr>
          <w:noProof/>
        </w:rPr>
      </w:pPr>
      <w:r>
        <w:rPr>
          <w:noProof/>
        </w:rPr>
        <w:t xml:space="preserve">KAPITEL I </w:t>
      </w:r>
    </w:p>
    <w:p>
      <w:pPr>
        <w:pStyle w:val="ChapterTitle"/>
        <w:rPr>
          <w:noProof/>
        </w:rPr>
      </w:pPr>
      <w:r>
        <w:rPr>
          <w:noProof/>
        </w:rPr>
        <w:t>Generelle bestemmelser</w:t>
      </w:r>
    </w:p>
    <w:p>
      <w:pPr>
        <w:pStyle w:val="Titrearticle"/>
        <w:rPr>
          <w:noProof/>
        </w:rPr>
      </w:pPr>
      <w:r>
        <w:rPr>
          <w:noProof/>
        </w:rPr>
        <w:t>Artikel 1</w:t>
      </w:r>
      <w:r>
        <w:rPr>
          <w:noProof/>
        </w:rPr>
        <w:br/>
        <w:t>Genstand</w:t>
      </w:r>
    </w:p>
    <w:p>
      <w:pPr>
        <w:spacing w:after="240"/>
        <w:rPr>
          <w:noProof/>
        </w:rPr>
      </w:pPr>
      <w:r>
        <w:rPr>
          <w:noProof/>
          <w:color w:val="000000" w:themeColor="text1"/>
        </w:rPr>
        <w:t xml:space="preserve">Ved denne forordning oprettes </w:t>
      </w:r>
      <w:r>
        <w:rPr>
          <w:noProof/>
        </w:rPr>
        <w:t xml:space="preserve">et instrument for teknisk støtte ("instrumentet"). </w:t>
      </w:r>
    </w:p>
    <w:p>
      <w:pPr>
        <w:spacing w:before="0" w:after="240"/>
        <w:rPr>
          <w:noProof/>
        </w:rPr>
      </w:pPr>
      <w:r>
        <w:rPr>
          <w:noProof/>
        </w:rPr>
        <w:t>Den fastsætter instrumentets mål, budgettet for perioden 2021-2027, de forskellige former for EU-finansiering samt reglerne for ydelsen heraf.</w:t>
      </w:r>
    </w:p>
    <w:p>
      <w:pPr>
        <w:pStyle w:val="Titrearticle"/>
        <w:rPr>
          <w:noProof/>
        </w:rPr>
      </w:pPr>
      <w:r>
        <w:rPr>
          <w:noProof/>
        </w:rPr>
        <w:t>Artikel 2</w:t>
      </w:r>
      <w:r>
        <w:rPr>
          <w:noProof/>
        </w:rPr>
        <w:br/>
        <w:t>Definitioner</w:t>
      </w:r>
    </w:p>
    <w:p>
      <w:pPr>
        <w:spacing w:before="0" w:after="240" w:line="276" w:lineRule="auto"/>
        <w:jc w:val="left"/>
        <w:rPr>
          <w:noProof/>
        </w:rPr>
      </w:pPr>
      <w:r>
        <w:rPr>
          <w:noProof/>
        </w:rPr>
        <w:t>I denne forordning forstås ved:</w:t>
      </w:r>
    </w:p>
    <w:p>
      <w:pPr>
        <w:pStyle w:val="Point1"/>
        <w:rPr>
          <w:noProof/>
        </w:rPr>
      </w:pPr>
      <w:r>
        <w:rPr>
          <w:noProof/>
        </w:rPr>
        <w:t>1)</w:t>
      </w:r>
      <w:r>
        <w:rPr>
          <w:noProof/>
        </w:rPr>
        <w:tab/>
        <w:t>"teknisk støtte": foranstaltninger, der hjælper medlemsstaterne til at gennemføre institutionelle, administrative samt vækst- og resiliensfremmende reformer</w:t>
      </w:r>
    </w:p>
    <w:p>
      <w:pPr>
        <w:pStyle w:val="Point1"/>
        <w:rPr>
          <w:noProof/>
        </w:rPr>
      </w:pPr>
      <w:r>
        <w:rPr>
          <w:noProof/>
        </w:rPr>
        <w:t>2)</w:t>
      </w:r>
      <w:r>
        <w:rPr>
          <w:noProof/>
        </w:rPr>
        <w:tab/>
        <w:t xml:space="preserve">"national myndighed": en eller flere offentlige myndigheder på nationalt, regionalt eller lokalt niveau samt medlemsstatsorganisationer efter betydningen i finansforordningens artikel 2, nr. 42), der samarbejder i overensstemmelse med partnerskabsprincippet inden for medlemsstaternes institutionelle og retlige rammer </w:t>
      </w:r>
    </w:p>
    <w:p>
      <w:pPr>
        <w:pStyle w:val="Point1"/>
        <w:rPr>
          <w:noProof/>
        </w:rPr>
      </w:pPr>
      <w:r>
        <w:rPr>
          <w:noProof/>
        </w:rPr>
        <w:t>3)</w:t>
      </w:r>
      <w:r>
        <w:rPr>
          <w:noProof/>
        </w:rPr>
        <w:tab/>
        <w:t>"EU-fonde": fonde, der er omfattet af Europa-Parlamentets og Rådets forordning (EU) YYY/XX [efterfølgeren til forordningen om fælles bestemmelser]</w:t>
      </w:r>
      <w:r>
        <w:rPr>
          <w:rStyle w:val="FootnoteReference"/>
          <w:noProof/>
        </w:rPr>
        <w:footnoteReference w:id="24"/>
      </w:r>
      <w:r>
        <w:rPr>
          <w:noProof/>
        </w:rPr>
        <w:t xml:space="preserve"> </w:t>
      </w:r>
    </w:p>
    <w:p>
      <w:pPr>
        <w:pStyle w:val="Point1"/>
        <w:rPr>
          <w:noProof/>
        </w:rPr>
      </w:pPr>
      <w:r>
        <w:rPr>
          <w:noProof/>
        </w:rPr>
        <w:t>4)</w:t>
      </w:r>
      <w:r>
        <w:rPr>
          <w:noProof/>
        </w:rPr>
        <w:tab/>
        <w:t>"international organisation": en organisation som omhandlet i finansforordningens artikel 156 og organisationer, der sidestilles med internationale organisationer i henhold til samme artikel.</w:t>
      </w:r>
    </w:p>
    <w:p>
      <w:pPr>
        <w:pStyle w:val="Titrearticle"/>
        <w:rPr>
          <w:noProof/>
        </w:rPr>
      </w:pPr>
      <w:r>
        <w:rPr>
          <w:noProof/>
        </w:rPr>
        <w:t xml:space="preserve">Artikel 3 </w:t>
      </w:r>
      <w:r>
        <w:rPr>
          <w:noProof/>
        </w:rPr>
        <w:br/>
        <w:t>Overordnet mål</w:t>
      </w:r>
    </w:p>
    <w:p>
      <w:pPr>
        <w:rPr>
          <w:noProof/>
        </w:rPr>
      </w:pPr>
      <w:r>
        <w:rPr>
          <w:noProof/>
        </w:rPr>
        <w:t xml:space="preserve">Det overordnede mål med instrumentet er at fremme Unionens økonomiske, sociale og territoriale samhørighed ved at støtte medlemsstaternes indsats for at gennemføre de reformer, der er nødvendige for at opnå økonomisk og social genopretning, resiliens og opadgående økonomisk og social konvergens, samt at støtte medlemsstaternes bestræbelser på at styrke </w:t>
      </w:r>
      <w:r>
        <w:rPr>
          <w:noProof/>
        </w:rPr>
        <w:lastRenderedPageBreak/>
        <w:t xml:space="preserve">deres administrative kapacitet til at gennemføre EU-retten i forbindelse med de udfordringer, som institutioner, statsforvaltninger, offentlige administrationer samt økonomiske og sociale sektorer står over for. </w:t>
      </w:r>
    </w:p>
    <w:p>
      <w:pPr>
        <w:pStyle w:val="Titrearticle"/>
        <w:rPr>
          <w:noProof/>
        </w:rPr>
      </w:pPr>
      <w:r>
        <w:rPr>
          <w:noProof/>
        </w:rPr>
        <w:t>Artikel 4</w:t>
      </w:r>
      <w:r>
        <w:rPr>
          <w:noProof/>
        </w:rPr>
        <w:br/>
        <w:t>Specifikke mål</w:t>
      </w:r>
    </w:p>
    <w:p>
      <w:pPr>
        <w:spacing w:before="0" w:after="200"/>
        <w:rPr>
          <w:noProof/>
        </w:rPr>
      </w:pPr>
      <w:r>
        <w:rPr>
          <w:noProof/>
        </w:rPr>
        <w:t>For at opfylde det overordnede mål som anført i artikel 3 er instrumentets specifikke mål at hjælpe de nationale myndigheder med at forbedre deres kapacitet til at udforme, udvikle og gennemføre reformer, herunder ved udveksling af god praksis, hensigtsmæssige procedurer og metoder samt en mere effektiv og produktiv forvaltning af menneskelige ressourcer. Disse specifikke mål skal forfølges i tæt samarbejde med de berørte medlemsstater.</w:t>
      </w:r>
    </w:p>
    <w:p>
      <w:pPr>
        <w:pStyle w:val="Titrearticle"/>
        <w:rPr>
          <w:noProof/>
        </w:rPr>
      </w:pPr>
      <w:r>
        <w:rPr>
          <w:noProof/>
        </w:rPr>
        <w:t>Artikel 5</w:t>
      </w:r>
      <w:r>
        <w:rPr>
          <w:noProof/>
        </w:rPr>
        <w:br/>
        <w:t>Anvendelsesområde</w:t>
      </w:r>
    </w:p>
    <w:p>
      <w:pPr>
        <w:spacing w:before="0" w:after="200"/>
        <w:rPr>
          <w:noProof/>
        </w:rPr>
      </w:pPr>
      <w:r>
        <w:rPr>
          <w:noProof/>
        </w:rPr>
        <w:t xml:space="preserve">De specifikke mål i artikel 4 skal vedrøre politikområder med relation til samhørighed, konkurrenceevne, uddannelse, produktivitet, forskning og innovation, intelligent, retfærdig, bæredygtig og inklusiv vækst, beskæftigelse og investeringer, med særlig vægt på aktioner, der fremmer grøn og digital omstilling, og navnlig et eller flere af følgende: </w:t>
      </w:r>
    </w:p>
    <w:p>
      <w:pPr>
        <w:pStyle w:val="Point1"/>
        <w:rPr>
          <w:noProof/>
        </w:rPr>
      </w:pPr>
      <w:r>
        <w:rPr>
          <w:noProof/>
        </w:rPr>
        <w:t>a)</w:t>
      </w:r>
      <w:r>
        <w:rPr>
          <w:noProof/>
        </w:rPr>
        <w:tab/>
        <w:t>offentlig finans- og kapitalforvaltning, budgetprocesser, makroøkonomiske rammer, gælds- og likviditetsstyring, udgifts- og skattepolitik, overholdelse af skattereglerne, aggressiv skatteplanlægning, skattesvig og skatteunddragelse samt skatteforvaltning og toldunion</w:t>
      </w:r>
    </w:p>
    <w:p>
      <w:pPr>
        <w:pStyle w:val="Point1"/>
        <w:rPr>
          <w:noProof/>
        </w:rPr>
      </w:pPr>
      <w:r>
        <w:rPr>
          <w:noProof/>
        </w:rPr>
        <w:t>b)</w:t>
      </w:r>
      <w:r>
        <w:rPr>
          <w:noProof/>
        </w:rPr>
        <w:tab/>
        <w:t>institutionelle reformer og effektiv og serviceorienteret offentlig forvaltning og e-forvaltning, herunder, hvis det er hensigtsmæssig, gennem regelforenkling, en velfungerende retsstat, reform af retssystemet og styrkelse af bekæmpelsen af svig, korruption og hvidvaskning af penge</w:t>
      </w:r>
    </w:p>
    <w:p>
      <w:pPr>
        <w:pStyle w:val="Point1"/>
        <w:rPr>
          <w:noProof/>
        </w:rPr>
      </w:pPr>
      <w:r>
        <w:rPr>
          <w:noProof/>
        </w:rPr>
        <w:t>c)</w:t>
      </w:r>
      <w:r>
        <w:rPr>
          <w:noProof/>
        </w:rPr>
        <w:tab/>
        <w:t>erhvervsklimaet, herunder for små og mellemstore virksomheder og socialøkonomiske virksomheder, genindustrialisering, udvikling af den private sektor, produkt- og tjenestemarkederne, investeringer, offentlig deltagelse i virksomheder, privatiseringsprocesser, handel og udenlandske direkte investeringer, konkurrence og offentlige indkøb, bæredygtig sektorudvikling og støtte til forskning og innovation samt digitalisering</w:t>
      </w:r>
    </w:p>
    <w:p>
      <w:pPr>
        <w:pStyle w:val="Point1"/>
        <w:rPr>
          <w:noProof/>
        </w:rPr>
      </w:pPr>
      <w:r>
        <w:rPr>
          <w:noProof/>
        </w:rPr>
        <w:t>d)</w:t>
      </w:r>
      <w:r>
        <w:rPr>
          <w:noProof/>
        </w:rPr>
        <w:tab/>
        <w:t>uddannelse og oplæring, arbejdsmarkedspolitikker, herunder dialogen mellem arbejdsmarkedets parter, med sigte på jobskabelse, opkvalificering og omskoling, særlige digitale færdigheder, mediekompetence, aktivt medborgerskab, bekæmpelse af fattigdom og for stor indkomstulighed, fremme af kønsligestilling, social inklusion, passende og inklusiv(e) socialsikring og sociale velfærdssystemer, folkesundhed og sundhedssystemer, der er tilgængelige og prismæssigt overkommelige, samt samhørigheds-, asyl-, migrations- og grænsepolitik</w:t>
      </w:r>
    </w:p>
    <w:p>
      <w:pPr>
        <w:pStyle w:val="Point1"/>
        <w:rPr>
          <w:noProof/>
        </w:rPr>
      </w:pPr>
      <w:r>
        <w:rPr>
          <w:noProof/>
        </w:rPr>
        <w:t>e)</w:t>
      </w:r>
      <w:r>
        <w:rPr>
          <w:noProof/>
        </w:rPr>
        <w:tab/>
        <w:t xml:space="preserve">politikker for gennemførelse af den digitale og den grønne omstilling, e-forvaltningsløsninger, e-udbud, konnektivitet, dataadgang og -forvaltning, e-læring, anvendelse af kunstig intelligens-baserede løsninger, miljøsøjlen i bæredygtig udvikling og miljøbeskyttelse, klimaindsats, mobilitet, fremme af den cirkulære økonomi, energi- og ressourceproduktivitet, vedvarende energikilder, opnåelse af energidiversificering og sikring af energisikkerhed </w:t>
      </w:r>
      <w:r>
        <w:rPr>
          <w:noProof/>
        </w:rPr>
        <w:lastRenderedPageBreak/>
        <w:t>samt for landbruget beskyttelse af jord og biodiversitet, fiskeri og bæredygtig udvikling af landdistrikterne, og</w:t>
      </w:r>
    </w:p>
    <w:p>
      <w:pPr>
        <w:pStyle w:val="Point1"/>
        <w:rPr>
          <w:noProof/>
        </w:rPr>
      </w:pPr>
      <w:r>
        <w:rPr>
          <w:noProof/>
        </w:rPr>
        <w:t>f)</w:t>
      </w:r>
      <w:r>
        <w:rPr>
          <w:noProof/>
        </w:rPr>
        <w:tab/>
        <w:t>politikker for finanssektoren, herunder fremme af finansiel forståelse, finansiel stabilitet, adgang til finansiering og långivning til realøkonomien samt udarbejdelse, levering og kvalitetsovervågning af data og statistikker.</w:t>
      </w:r>
    </w:p>
    <w:p>
      <w:pPr>
        <w:pStyle w:val="Titrearticle"/>
        <w:rPr>
          <w:noProof/>
        </w:rPr>
      </w:pPr>
      <w:r>
        <w:rPr>
          <w:noProof/>
        </w:rPr>
        <w:t>Artikel 6</w:t>
      </w:r>
      <w:r>
        <w:rPr>
          <w:noProof/>
        </w:rPr>
        <w:br/>
        <w:t>Budget</w:t>
      </w:r>
    </w:p>
    <w:p>
      <w:pPr>
        <w:pStyle w:val="ManualNumPar1"/>
        <w:rPr>
          <w:noProof/>
        </w:rPr>
      </w:pPr>
      <w:r>
        <w:t>1.</w:t>
      </w:r>
      <w:r>
        <w:tab/>
      </w:r>
      <w:r>
        <w:rPr>
          <w:noProof/>
        </w:rPr>
        <w:t>Finansieringsrammen for instrumentets gennemførelse for perioden 2021-2027 fastsættes til 864 406 000 EUR i løbende priser.</w:t>
      </w:r>
    </w:p>
    <w:p>
      <w:pPr>
        <w:pStyle w:val="ManualNumPar1"/>
        <w:rPr>
          <w:noProof/>
        </w:rPr>
      </w:pPr>
      <w:r>
        <w:t>2.</w:t>
      </w:r>
      <w:r>
        <w:tab/>
      </w:r>
      <w:r>
        <w:rPr>
          <w:noProof/>
        </w:rPr>
        <w:t xml:space="preserve">Finansieringsrammen for instrumentet kan også dække udgifter til forberedende aktiviteter samt tilsyns-, kontrol-, revisions- og evalueringsaktiviteter, som er nødvendige for instrumentets forvaltning og for at nå dets mål, herunder navnlig undersøgelser, ekspertmøder og informations- og kommunikationsaktioner, såsom institutionel kommunikation om Unionens politiske prioriteringer, for så vidt de angår denne forordnings mål, udgifter i forbindelse med IT-netværk, der fokuserer på informationsbehandling og -udveksling, herunder institutionelle IT-værktøjer, samt alle andre udgifter til teknisk og administrativ bistand, som Kommissionen afholder i forbindelse med forvaltningen af instrumentet. Udgifterne kan også omfatte omkostninger til andre støtteaktiviteter såsom kvalitetskontrol og overvågning af tekniske støtteprojekter i marken og omkostninger til peerrådgivning og eksperter i forbindelse med evaluering og gennemførelse af strukturreformer. </w:t>
      </w:r>
    </w:p>
    <w:p>
      <w:pPr>
        <w:pStyle w:val="ManualNumPar1"/>
        <w:rPr>
          <w:noProof/>
        </w:rPr>
      </w:pPr>
      <w:r>
        <w:t>3.</w:t>
      </w:r>
      <w:r>
        <w:tab/>
      </w:r>
      <w:r>
        <w:rPr>
          <w:noProof/>
        </w:rPr>
        <w:t>Midler, der er tildelt medlemsstaterne under delt forvaltning, kan på disses anmodning overføres til instrumentet. Kommissionen forvalter disse midler direkte i overensstemmelse med finansforordningens artikel 62, stk. 1, litra a), eller indirekte i overensstemmelse med nævnte artikels litra c). De omhandlede midler anvendes til fordel for den berørte medlemsstat.</w:t>
      </w:r>
    </w:p>
    <w:p>
      <w:pPr>
        <w:pStyle w:val="Text1"/>
        <w:rPr>
          <w:noProof/>
        </w:rPr>
      </w:pPr>
    </w:p>
    <w:p>
      <w:pPr>
        <w:pStyle w:val="ChapterTitle"/>
        <w:rPr>
          <w:noProof/>
        </w:rPr>
      </w:pPr>
      <w:r>
        <w:rPr>
          <w:noProof/>
        </w:rPr>
        <w:t xml:space="preserve">KAPITEL II </w:t>
      </w:r>
    </w:p>
    <w:p>
      <w:pPr>
        <w:pStyle w:val="ChapterTitle"/>
        <w:rPr>
          <w:noProof/>
        </w:rPr>
      </w:pPr>
      <w:r>
        <w:rPr>
          <w:noProof/>
        </w:rPr>
        <w:t>Teknisk støtte</w:t>
      </w:r>
    </w:p>
    <w:p>
      <w:pPr>
        <w:pStyle w:val="Titrearticle"/>
        <w:rPr>
          <w:noProof/>
        </w:rPr>
      </w:pPr>
      <w:r>
        <w:rPr>
          <w:noProof/>
        </w:rPr>
        <w:t xml:space="preserve">Artikel 7 </w:t>
      </w:r>
      <w:r>
        <w:rPr>
          <w:noProof/>
        </w:rPr>
        <w:br/>
        <w:t xml:space="preserve">Aktioner, der er berettiget til teknisk støtte </w:t>
      </w:r>
    </w:p>
    <w:p>
      <w:pPr>
        <w:spacing w:before="0" w:after="240"/>
        <w:rPr>
          <w:noProof/>
        </w:rPr>
      </w:pPr>
      <w:r>
        <w:rPr>
          <w:noProof/>
        </w:rPr>
        <w:t xml:space="preserve">Med henblik på at forfølge de mål, der er fastsat i artikel 3 og 4, skal instrumentet finansiere følgende typer aktioner: </w:t>
      </w:r>
    </w:p>
    <w:p>
      <w:pPr>
        <w:pStyle w:val="Point1"/>
        <w:rPr>
          <w:noProof/>
        </w:rPr>
      </w:pPr>
      <w:r>
        <w:rPr>
          <w:noProof/>
        </w:rPr>
        <w:t>a)</w:t>
      </w:r>
      <w:r>
        <w:rPr>
          <w:noProof/>
        </w:rPr>
        <w:tab/>
        <w:t>ekspertise vedrørende politisk rådgivning, politikomlægning, udformning af reformstrategier og -køreplaner samt lovgivningsmæssige, institutionelle, strukturelle og administrative reformer</w:t>
      </w:r>
    </w:p>
    <w:p>
      <w:pPr>
        <w:pStyle w:val="Point1"/>
        <w:rPr>
          <w:noProof/>
        </w:rPr>
      </w:pPr>
      <w:r>
        <w:rPr>
          <w:noProof/>
        </w:rPr>
        <w:t>b)</w:t>
      </w:r>
      <w:r>
        <w:rPr>
          <w:noProof/>
        </w:rPr>
        <w:tab/>
        <w:t>hjælp fra eksperter, herunder udstationerede eksperter, i en kortere eller længere periode til at udføre opgaver inden for særlige områder eller til at udføre operationelle aktiviteter, om nødvendigt med støtte i form af tolkning, oversættelse og samarbejde, administrativ bistand samt infrastruktur og udstyr</w:t>
      </w:r>
    </w:p>
    <w:p>
      <w:pPr>
        <w:pStyle w:val="Point1"/>
        <w:rPr>
          <w:noProof/>
        </w:rPr>
      </w:pPr>
      <w:r>
        <w:rPr>
          <w:noProof/>
        </w:rPr>
        <w:lastRenderedPageBreak/>
        <w:t>c)</w:t>
      </w:r>
      <w:r>
        <w:rPr>
          <w:noProof/>
        </w:rPr>
        <w:tab/>
        <w:t xml:space="preserve">institutionel, administrativ eller sektorspecifik kapacitetsopbygning og hermed beslægtede støtteaktioner på alle forvaltningsniveauer, herunder eventuelt aktioner, der bidrager til en styrkelse af civilsamfundet, herunder arbejdsmarkedets parter, navnlig: </w:t>
      </w:r>
    </w:p>
    <w:p>
      <w:pPr>
        <w:pStyle w:val="Point2"/>
        <w:rPr>
          <w:noProof/>
        </w:rPr>
      </w:pPr>
      <w:r>
        <w:rPr>
          <w:noProof/>
        </w:rPr>
        <w:t>i)</w:t>
      </w:r>
      <w:r>
        <w:rPr>
          <w:noProof/>
        </w:rPr>
        <w:tab/>
        <w:t>seminarer, konferencer og workshops</w:t>
      </w:r>
    </w:p>
    <w:p>
      <w:pPr>
        <w:pStyle w:val="Point2"/>
        <w:rPr>
          <w:noProof/>
        </w:rPr>
      </w:pPr>
      <w:r>
        <w:rPr>
          <w:noProof/>
        </w:rPr>
        <w:t>ii)</w:t>
      </w:r>
      <w:r>
        <w:rPr>
          <w:noProof/>
        </w:rPr>
        <w:tab/>
        <w:t xml:space="preserve">arbejdsbesøg i relevante medlemsstater eller tredjelande, som giver embedsmændene mulighed for at opnå eller øge deres ekspertise eller viden på relevante områder </w:t>
      </w:r>
    </w:p>
    <w:p>
      <w:pPr>
        <w:pStyle w:val="Point2"/>
        <w:rPr>
          <w:noProof/>
        </w:rPr>
      </w:pPr>
      <w:r>
        <w:rPr>
          <w:noProof/>
        </w:rPr>
        <w:t>iii)</w:t>
      </w:r>
      <w:r>
        <w:rPr>
          <w:noProof/>
        </w:rPr>
        <w:tab/>
        <w:t>uddannelsesaktioner og udvikling af onlinekurser eller andre kurser for at fremme de nødvendige faglige færdigheder og kundskaber med relation til de relevante reformer</w:t>
      </w:r>
    </w:p>
    <w:p>
      <w:pPr>
        <w:pStyle w:val="Point1"/>
        <w:rPr>
          <w:noProof/>
        </w:rPr>
      </w:pPr>
      <w:r>
        <w:rPr>
          <w:noProof/>
        </w:rPr>
        <w:t>d)</w:t>
      </w:r>
      <w:r>
        <w:rPr>
          <w:noProof/>
        </w:rPr>
        <w:tab/>
        <w:t>indsamling af data og statistikker, udvikling af fælles metoder og, hvis det er hensigtsmæssigt, af indikatorer eller benchmarks</w:t>
      </w:r>
    </w:p>
    <w:p>
      <w:pPr>
        <w:pStyle w:val="Point1"/>
        <w:rPr>
          <w:noProof/>
        </w:rPr>
      </w:pPr>
      <w:r>
        <w:rPr>
          <w:noProof/>
        </w:rPr>
        <w:t>e)</w:t>
      </w:r>
      <w:r>
        <w:rPr>
          <w:noProof/>
        </w:rPr>
        <w:tab/>
        <w:t>tilrettelæggelse af lokal operationel støtte på områder som asyl, migration og grænsekontrol</w:t>
      </w:r>
    </w:p>
    <w:p>
      <w:pPr>
        <w:pStyle w:val="Point1"/>
        <w:rPr>
          <w:noProof/>
        </w:rPr>
      </w:pPr>
      <w:r>
        <w:rPr>
          <w:noProof/>
        </w:rPr>
        <w:t>f)</w:t>
      </w:r>
      <w:r>
        <w:rPr>
          <w:noProof/>
        </w:rPr>
        <w:tab/>
        <w:t>IT-kapacitetsopbygning, herunder ekspertise vedrørende udvikling, vedligeholdelse, drift og kvalitetskontrol af de(n) IT-infrastruktur og applikationer, der er nødvendige for at gennemføre de relevante reformer, cybersikkerhed samt ekspertise vedrørende programmer, der retter sig mod digitalisering af offentlige tjenesteydelser</w:t>
      </w:r>
    </w:p>
    <w:p>
      <w:pPr>
        <w:pStyle w:val="Point1"/>
        <w:rPr>
          <w:noProof/>
        </w:rPr>
      </w:pPr>
      <w:r>
        <w:rPr>
          <w:noProof/>
        </w:rPr>
        <w:t>g)</w:t>
      </w:r>
      <w:r>
        <w:rPr>
          <w:noProof/>
        </w:rPr>
        <w:tab/>
        <w:t>undersøgelser, forskning, analyser og rundspørger, evalueringer og konsekvensanalyser samt udvikling og offentliggørelse af vejledninger, rapporter og uddannelsesmateriale</w:t>
      </w:r>
    </w:p>
    <w:p>
      <w:pPr>
        <w:pStyle w:val="Point1"/>
        <w:rPr>
          <w:noProof/>
        </w:rPr>
      </w:pPr>
      <w:r>
        <w:rPr>
          <w:noProof/>
        </w:rPr>
        <w:t>h)</w:t>
      </w:r>
      <w:r>
        <w:rPr>
          <w:noProof/>
        </w:rPr>
        <w:tab/>
        <w:t>kommunikationsprojekter for læring, herunder e-læring, samarbejde, bevidstgørelse, informationsformidling og udveksling af god praksis, tilrettelæggelse af oplysnings- og informationskampagner, mediekampagner og -begivenheder, herunder institutionel kommunikation og, hvis det er hensigtsmæssigt, kommunikation via sociale netværk</w:t>
      </w:r>
    </w:p>
    <w:p>
      <w:pPr>
        <w:pStyle w:val="Point1"/>
        <w:rPr>
          <w:noProof/>
        </w:rPr>
      </w:pPr>
      <w:r>
        <w:rPr>
          <w:noProof/>
        </w:rPr>
        <w:t>i)</w:t>
      </w:r>
      <w:r>
        <w:rPr>
          <w:noProof/>
        </w:rPr>
        <w:tab/>
        <w:t>udarbejdelse og offentliggørelse af materiale til formidling af oplysninger om teknisk støtte, der er ydet inden for rammerne af instrumentet, og resultaterne heraf, herunder ved udvikling, drift og vedligeholdelse af systemer og redskaber, hvortil der bruges informations- og kommunikationsteknologier, og</w:t>
      </w:r>
    </w:p>
    <w:p>
      <w:pPr>
        <w:pStyle w:val="Point1"/>
        <w:rPr>
          <w:noProof/>
        </w:rPr>
      </w:pPr>
      <w:r>
        <w:rPr>
          <w:noProof/>
        </w:rPr>
        <w:t>j)</w:t>
      </w:r>
      <w:r>
        <w:rPr>
          <w:noProof/>
        </w:rPr>
        <w:tab/>
        <w:t>alle andre relevante aktiviteter til støtte for det overordnede og de specifikke mål i artikel 3 og 4.</w:t>
      </w:r>
    </w:p>
    <w:p>
      <w:pPr>
        <w:pStyle w:val="Titrearticle"/>
        <w:rPr>
          <w:noProof/>
        </w:rPr>
      </w:pPr>
      <w:r>
        <w:rPr>
          <w:noProof/>
        </w:rPr>
        <w:t xml:space="preserve">Artikel 8 </w:t>
      </w:r>
      <w:r>
        <w:rPr>
          <w:noProof/>
        </w:rPr>
        <w:br/>
        <w:t>Anmodning om teknisk støtte</w:t>
      </w:r>
    </w:p>
    <w:p>
      <w:pPr>
        <w:pStyle w:val="ManualNumPar1"/>
        <w:rPr>
          <w:noProof/>
        </w:rPr>
      </w:pPr>
      <w:r>
        <w:t>1.</w:t>
      </w:r>
      <w:r>
        <w:tab/>
      </w:r>
      <w:r>
        <w:rPr>
          <w:noProof/>
        </w:rPr>
        <w:t>En medlemsstat, der ønsker at modtage teknisk støtte inden for rammerne af instrumentet, skal indgive en anmodning om teknisk støtte til Kommissionen med angivelse af politikområderne og prioriteterne for støtten inden for anvendelsesområdet som fastsat i artikel 5. En sådan anmodning skal indgives senest den 31. oktober i et kalenderår. Kommissionen kan give vejledning om de vigtigste elementer, som støtteanmodningen skal omfatte.</w:t>
      </w:r>
    </w:p>
    <w:p>
      <w:pPr>
        <w:pStyle w:val="ManualNumPar1"/>
        <w:rPr>
          <w:noProof/>
        </w:rPr>
      </w:pPr>
      <w:r>
        <w:t>2.</w:t>
      </w:r>
      <w:r>
        <w:tab/>
      </w:r>
      <w:r>
        <w:rPr>
          <w:noProof/>
        </w:rPr>
        <w:t>Medlemsstaterne kan indgive en anmodning om teknisk støtte under følgende omstændigheder i forbindelse med:</w:t>
      </w:r>
    </w:p>
    <w:p>
      <w:pPr>
        <w:pStyle w:val="Point1"/>
        <w:rPr>
          <w:noProof/>
        </w:rPr>
      </w:pPr>
      <w:r>
        <w:rPr>
          <w:noProof/>
        </w:rPr>
        <w:lastRenderedPageBreak/>
        <w:t>a)</w:t>
      </w:r>
      <w:r>
        <w:rPr>
          <w:noProof/>
        </w:rPr>
        <w:tab/>
        <w:t>gennemførelse af reformer i medlemsstaterne på eget initiativ, navnlig for at støtte genopretningen [i overensstemmelse med forordning (EU) nr. YYY/XX], opnå bæredygtig økonomisk vækst, jobskabelse og øget resiliens</w:t>
      </w:r>
    </w:p>
    <w:p>
      <w:pPr>
        <w:pStyle w:val="Point1"/>
        <w:rPr>
          <w:noProof/>
        </w:rPr>
      </w:pPr>
      <w:r>
        <w:rPr>
          <w:noProof/>
        </w:rPr>
        <w:t>b)</w:t>
      </w:r>
      <w:r>
        <w:rPr>
          <w:noProof/>
        </w:rPr>
        <w:tab/>
        <w:t>gennemførelse af økonomiske tilpasningsprogrammer i medlemsstater, der modtager finansiel bistand fra Unionen i henhold til eksisterende instrumenter, navnlig i henhold til Europa-Parlamentets og Rådets forordning (EU) nr. 472/2013</w:t>
      </w:r>
      <w:r>
        <w:rPr>
          <w:rStyle w:val="FootnoteReference"/>
          <w:noProof/>
        </w:rPr>
        <w:footnoteReference w:id="25"/>
      </w:r>
      <w:r>
        <w:rPr>
          <w:noProof/>
        </w:rPr>
        <w:t xml:space="preserve"> for medlemsstater, der har euroen som valuta, og Rådets forordning (EF) nr. 332/2002</w:t>
      </w:r>
      <w:r>
        <w:rPr>
          <w:rStyle w:val="FootnoteReference"/>
          <w:noProof/>
        </w:rPr>
        <w:footnoteReference w:id="26"/>
      </w:r>
      <w:r>
        <w:rPr>
          <w:noProof/>
        </w:rPr>
        <w:t xml:space="preserve"> for medlemsstater, der ikke har euroen som valuta</w:t>
      </w:r>
    </w:p>
    <w:p>
      <w:pPr>
        <w:pStyle w:val="Point1"/>
        <w:rPr>
          <w:noProof/>
        </w:rPr>
      </w:pPr>
      <w:r>
        <w:rPr>
          <w:noProof/>
        </w:rPr>
        <w:t>c)</w:t>
      </w:r>
      <w:r>
        <w:rPr>
          <w:noProof/>
        </w:rPr>
        <w:tab/>
        <w:t>gennemførelse af vækstskabende og resiliensfremmende reformer i forbindelse med økonomiske styringsprocesser, navnlig de landespecifikke henstillinger, der udstedes i forbindelse med det europæiske semester, eller aktioner vedrørende gennemførelse af EU-retten</w:t>
      </w:r>
    </w:p>
    <w:p>
      <w:pPr>
        <w:pStyle w:val="Point1"/>
        <w:rPr>
          <w:noProof/>
        </w:rPr>
      </w:pPr>
      <w:r>
        <w:rPr>
          <w:noProof/>
        </w:rPr>
        <w:t>d)</w:t>
      </w:r>
      <w:r>
        <w:rPr>
          <w:noProof/>
        </w:rPr>
        <w:tab/>
        <w:t>udarbejdelse af genopretnings- og resiliensplaner i henhold til forordning (EU) nr. YYY/XX og medlemsstaternes gennemførelse heraf.</w:t>
      </w:r>
    </w:p>
    <w:p>
      <w:pPr>
        <w:pStyle w:val="ManualNumPar1"/>
        <w:rPr>
          <w:noProof/>
        </w:rPr>
      </w:pPr>
      <w:r>
        <w:t>3.</w:t>
      </w:r>
      <w:r>
        <w:tab/>
      </w:r>
      <w:r>
        <w:rPr>
          <w:noProof/>
        </w:rPr>
        <w:t>Under hensyntagen til principperne om gennemsigtighed, ligebehandling og forsvarlig økonomisk forvaltning og efter dialog med medlemsstaten, herunder inden for rammerne af det europæiske semester, gennemgår Kommissionen den i stk. 1 omhandlede støtteanmodning på basis af, hvor hastende, brede og dybe de identificerede problemer er, støttebehovet pr. berørt politikområde, en analyse af socioøkonomiske indikatorer og medlemsstatens generelle administrative kapacitet.</w:t>
      </w:r>
    </w:p>
    <w:p>
      <w:pPr>
        <w:spacing w:before="0" w:after="200"/>
        <w:ind w:left="850"/>
        <w:rPr>
          <w:noProof/>
        </w:rPr>
      </w:pPr>
      <w:r>
        <w:rPr>
          <w:noProof/>
        </w:rPr>
        <w:t xml:space="preserve">På grundlag af denne analyse og under hensyntagen til de eksisterende aktioner og foranstaltninger, der finansieres af EU-fonde eller andre EU-programmer, når Kommissionen til enighed med den pågældende medlemsstat om de prioriterede støtteområder, målene, en vejledende tidsplan og omfanget af den støtte, der skal ydes, samt det skønnede samlede finansielle bidrag til den tekniske støtte, som fastsættes i en samarbejds- og støtteplan. </w:t>
      </w:r>
    </w:p>
    <w:p>
      <w:pPr>
        <w:pStyle w:val="ManualNumPar1"/>
        <w:rPr>
          <w:strike/>
          <w:noProof/>
        </w:rPr>
      </w:pPr>
      <w:r>
        <w:t>4.</w:t>
      </w:r>
      <w:r>
        <w:tab/>
      </w:r>
      <w:r>
        <w:rPr>
          <w:noProof/>
        </w:rPr>
        <w:t>Den i stk. 3 anførte samarbejds- og støtteplan skal, uden inddragelse af anden teknisk støtte, identificere de foranstaltninger, der er knyttet til genopretnings- og resiliensplanerne i medlemsstaterne i henhold til forordning (EU) nr. YYY/XX.</w:t>
      </w:r>
    </w:p>
    <w:p>
      <w:pPr>
        <w:pStyle w:val="Titrearticle"/>
        <w:rPr>
          <w:noProof/>
        </w:rPr>
      </w:pPr>
      <w:r>
        <w:rPr>
          <w:noProof/>
        </w:rPr>
        <w:t xml:space="preserve">Artikel 9 </w:t>
      </w:r>
      <w:r>
        <w:rPr>
          <w:noProof/>
        </w:rPr>
        <w:br/>
        <w:t>Oplysninger til Europa-Parlamentet og Rådet og meddelelse om samarbejds- og støtteplaner</w:t>
      </w:r>
    </w:p>
    <w:p>
      <w:pPr>
        <w:pStyle w:val="ManualNumPar1"/>
        <w:rPr>
          <w:noProof/>
        </w:rPr>
      </w:pPr>
      <w:r>
        <w:t>1.</w:t>
      </w:r>
      <w:r>
        <w:tab/>
      </w:r>
      <w:r>
        <w:rPr>
          <w:noProof/>
        </w:rPr>
        <w:t xml:space="preserve">Kommissionen fremsender, med den støttemodtagende medlemsstats samtykke, samarbejds- og støtteplanen til Europa-Parlamentet og Rådet uden unødig forsinkelse. Den berørte medlemsstat kan afvise at give et sådant samtykke i tilfælde af følsomme eller fortrolige oplysninger, hvis offentliggørelse ville skade medlemsstatens samfundsinteresser. </w:t>
      </w:r>
    </w:p>
    <w:p>
      <w:pPr>
        <w:pStyle w:val="ManualNumPar1"/>
        <w:rPr>
          <w:noProof/>
        </w:rPr>
      </w:pPr>
      <w:r>
        <w:t>2.</w:t>
      </w:r>
      <w:r>
        <w:tab/>
      </w:r>
      <w:r>
        <w:rPr>
          <w:noProof/>
        </w:rPr>
        <w:t xml:space="preserve">Uanset bestemmelserne i stk. 1 videresender Kommissionen samarbejds- og støtteplanen til Europa-Parlamentet og Rådet under følgende omstændigheder: </w:t>
      </w:r>
    </w:p>
    <w:p>
      <w:pPr>
        <w:pStyle w:val="Point1"/>
        <w:rPr>
          <w:noProof/>
        </w:rPr>
      </w:pPr>
      <w:r>
        <w:rPr>
          <w:noProof/>
        </w:rPr>
        <w:lastRenderedPageBreak/>
        <w:t>a)</w:t>
      </w:r>
      <w:r>
        <w:rPr>
          <w:noProof/>
        </w:rPr>
        <w:tab/>
        <w:t>så snart den berørte medlemsstat har bortredigeret alle følsomme eller fortrolige oplysninger, hvis offentliggørelse ville skade medlemsstatens samfundsinteresser</w:t>
      </w:r>
    </w:p>
    <w:p>
      <w:pPr>
        <w:pStyle w:val="Point1"/>
        <w:rPr>
          <w:noProof/>
        </w:rPr>
      </w:pPr>
      <w:r>
        <w:rPr>
          <w:noProof/>
        </w:rPr>
        <w:t>b)</w:t>
      </w:r>
      <w:r>
        <w:rPr>
          <w:noProof/>
        </w:rPr>
        <w:tab/>
        <w:t>efter et rimeligt tidsrum, når offentliggørelsen af de relevante oplysninger ikke vil indvirke negativt på gennemførelsen af støtteforanstaltningerne, og under ingen omstændigheder senere end to måneder efter gennemførelsen af sådanne foranstaltninger i henhold til samarbejds- og støtteplanen.</w:t>
      </w:r>
    </w:p>
    <w:p>
      <w:pPr>
        <w:pStyle w:val="ManualNumPar1"/>
        <w:rPr>
          <w:noProof/>
        </w:rPr>
      </w:pPr>
      <w:r>
        <w:t>3.</w:t>
      </w:r>
      <w:r>
        <w:tab/>
      </w:r>
      <w:r>
        <w:rPr>
          <w:noProof/>
        </w:rPr>
        <w:t>Kommissionen kan deltage i kommunikationsaktiviteter for at sikre synligheden af EU-finansieringen til de støtteforanstaltninger, der påtænkes i samarbejds- og støtteplaner, herunder gennem fælles kommunikationsaktiviteter med de berørte nationale myndigheder.</w:t>
      </w:r>
    </w:p>
    <w:p>
      <w:pPr>
        <w:pStyle w:val="Titrearticle"/>
        <w:rPr>
          <w:noProof/>
        </w:rPr>
      </w:pPr>
      <w:r>
        <w:rPr>
          <w:noProof/>
        </w:rPr>
        <w:t xml:space="preserve">Artikel 10 </w:t>
      </w:r>
      <w:r>
        <w:rPr>
          <w:noProof/>
        </w:rPr>
        <w:br/>
        <w:t>Overførsler af ressourcer til instrumentet</w:t>
      </w:r>
    </w:p>
    <w:p>
      <w:pPr>
        <w:pStyle w:val="ManualNumPar1"/>
        <w:rPr>
          <w:noProof/>
        </w:rPr>
      </w:pPr>
      <w:r>
        <w:t>1.</w:t>
      </w:r>
      <w:r>
        <w:tab/>
      </w:r>
      <w:r>
        <w:rPr>
          <w:noProof/>
        </w:rPr>
        <w:t>Ud over den finansieringsramme, der er fastsat i artikel 6, stk. 1, kan budgettet for teknisk støtte finansieres via frivillige overførsler fra medlemsstaterne foretaget i overensstemmelse med artikel 21 i forordning [efterfølgeren til forordningen om fælles bestemmelser] og i overensstemmelse med proceduren i nævnte artikel, jf. nærværende forordnings artikel 6, stk. 3.</w:t>
      </w:r>
    </w:p>
    <w:p>
      <w:pPr>
        <w:pStyle w:val="ManualNumPar1"/>
        <w:rPr>
          <w:noProof/>
        </w:rPr>
      </w:pPr>
      <w:r>
        <w:t>2.</w:t>
      </w:r>
      <w:r>
        <w:tab/>
      </w:r>
      <w:r>
        <w:rPr>
          <w:noProof/>
        </w:rPr>
        <w:t>En overførsel fra en medlemsstat i overensstemmelse med stk. 1 må udelukkende anvendes i den pågældende medlemsstat.</w:t>
      </w:r>
    </w:p>
    <w:p>
      <w:pPr>
        <w:pStyle w:val="Titrearticle"/>
        <w:rPr>
          <w:noProof/>
        </w:rPr>
      </w:pPr>
      <w:r>
        <w:rPr>
          <w:noProof/>
        </w:rPr>
        <w:t xml:space="preserve">Artikel 11 </w:t>
      </w:r>
      <w:r>
        <w:rPr>
          <w:noProof/>
        </w:rPr>
        <w:br/>
        <w:t>Supplerende finansiering</w:t>
      </w:r>
    </w:p>
    <w:p>
      <w:pPr>
        <w:rPr>
          <w:noProof/>
        </w:rPr>
      </w:pPr>
      <w:r>
        <w:rPr>
          <w:noProof/>
        </w:rPr>
        <w:t>Aktioner, der finansieres via instrumentet, kan modtage støtte fra andre EU-programmer, -instrumenter eller -fonde under Unionens budget, forudsat at sådan støtte ikke dækker de samme udgifter.</w:t>
      </w:r>
    </w:p>
    <w:p>
      <w:pPr>
        <w:pStyle w:val="Titrearticle"/>
        <w:rPr>
          <w:noProof/>
        </w:rPr>
      </w:pPr>
      <w:r>
        <w:rPr>
          <w:noProof/>
        </w:rPr>
        <w:t xml:space="preserve">Artikel 12 </w:t>
      </w:r>
      <w:r>
        <w:rPr>
          <w:noProof/>
        </w:rPr>
        <w:br/>
        <w:t>Gennemførelse af teknisk støtte</w:t>
      </w:r>
    </w:p>
    <w:p>
      <w:pPr>
        <w:pStyle w:val="ManualNumPar1"/>
        <w:rPr>
          <w:noProof/>
        </w:rPr>
      </w:pPr>
      <w:r>
        <w:t>1.</w:t>
      </w:r>
      <w:r>
        <w:tab/>
      </w:r>
      <w:r>
        <w:rPr>
          <w:noProof/>
        </w:rPr>
        <w:t xml:space="preserve">Kommissionen gennemfører instrumentet i overensstemmelse med finansforordningen. </w:t>
      </w:r>
    </w:p>
    <w:p>
      <w:pPr>
        <w:pStyle w:val="ManualNumPar1"/>
        <w:rPr>
          <w:noProof/>
        </w:rPr>
      </w:pPr>
      <w:r>
        <w:t>2.</w:t>
      </w:r>
      <w:r>
        <w:tab/>
      </w:r>
      <w:r>
        <w:rPr>
          <w:noProof/>
        </w:rPr>
        <w:t>Instrumentets foranstaltninger kan gennemføres enten direkte af Kommissionen eller indirekte af andre enheder og personer end medlemsstater i overensstemmelse med finansforordningens artikel XX. Unionens støtte til aktioner i henhold til artikel 7 ydes navnlig i form af:</w:t>
      </w:r>
    </w:p>
    <w:p>
      <w:pPr>
        <w:pStyle w:val="Point1"/>
        <w:rPr>
          <w:noProof/>
        </w:rPr>
      </w:pPr>
      <w:r>
        <w:rPr>
          <w:noProof/>
        </w:rPr>
        <w:t>a)</w:t>
      </w:r>
      <w:r>
        <w:rPr>
          <w:noProof/>
        </w:rPr>
        <w:tab/>
        <w:t>tilskud</w:t>
      </w:r>
    </w:p>
    <w:p>
      <w:pPr>
        <w:pStyle w:val="Point1"/>
        <w:rPr>
          <w:noProof/>
        </w:rPr>
      </w:pPr>
      <w:r>
        <w:rPr>
          <w:noProof/>
        </w:rPr>
        <w:t>b)</w:t>
      </w:r>
      <w:r>
        <w:rPr>
          <w:noProof/>
        </w:rPr>
        <w:tab/>
        <w:t>offentlige indkøbsaftaler</w:t>
      </w:r>
    </w:p>
    <w:p>
      <w:pPr>
        <w:pStyle w:val="Point1"/>
        <w:rPr>
          <w:noProof/>
        </w:rPr>
      </w:pPr>
      <w:r>
        <w:rPr>
          <w:noProof/>
        </w:rPr>
        <w:t>c)</w:t>
      </w:r>
      <w:r>
        <w:rPr>
          <w:noProof/>
        </w:rPr>
        <w:tab/>
        <w:t>godtgørelse af eksterne eksperters udgifter, herunder eksperter fra de nationale, regionale eller lokale myndigheder i medlemsstater, der yder eller modtager støtte</w:t>
      </w:r>
    </w:p>
    <w:p>
      <w:pPr>
        <w:pStyle w:val="Point1"/>
        <w:rPr>
          <w:noProof/>
        </w:rPr>
      </w:pPr>
      <w:r>
        <w:rPr>
          <w:noProof/>
        </w:rPr>
        <w:t>d)</w:t>
      </w:r>
      <w:r>
        <w:rPr>
          <w:noProof/>
        </w:rPr>
        <w:tab/>
        <w:t>bidrag til trustfonde oprettet af internationale organisationer og</w:t>
      </w:r>
    </w:p>
    <w:p>
      <w:pPr>
        <w:pStyle w:val="Point1"/>
        <w:rPr>
          <w:noProof/>
        </w:rPr>
      </w:pPr>
      <w:r>
        <w:rPr>
          <w:noProof/>
        </w:rPr>
        <w:t>e)</w:t>
      </w:r>
      <w:r>
        <w:rPr>
          <w:noProof/>
        </w:rPr>
        <w:tab/>
        <w:t>aktioner, der udføres gennem indirekte forvaltning.</w:t>
      </w:r>
    </w:p>
    <w:p>
      <w:pPr>
        <w:pStyle w:val="ManualNumPar1"/>
        <w:rPr>
          <w:noProof/>
        </w:rPr>
      </w:pPr>
      <w:r>
        <w:lastRenderedPageBreak/>
        <w:t>3.</w:t>
      </w:r>
      <w:r>
        <w:tab/>
      </w:r>
      <w:r>
        <w:rPr>
          <w:noProof/>
        </w:rPr>
        <w:t>Der kan ydes tilskud til medlemsstaternes nationale myndigheder, Den Europæiske Investeringsbank-Gruppe, internationale organisationer, offentlige eller private organer og enheder, som er lovligt etableret i:</w:t>
      </w:r>
    </w:p>
    <w:p>
      <w:pPr>
        <w:pStyle w:val="Point1"/>
        <w:rPr>
          <w:noProof/>
        </w:rPr>
      </w:pPr>
      <w:r>
        <w:rPr>
          <w:noProof/>
        </w:rPr>
        <w:t>a)</w:t>
      </w:r>
      <w:r>
        <w:rPr>
          <w:noProof/>
        </w:rPr>
        <w:tab/>
        <w:t>medlemsstater</w:t>
      </w:r>
    </w:p>
    <w:p>
      <w:pPr>
        <w:pStyle w:val="Point1"/>
        <w:rPr>
          <w:noProof/>
        </w:rPr>
      </w:pPr>
      <w:r>
        <w:rPr>
          <w:noProof/>
        </w:rPr>
        <w:t>b)</w:t>
      </w:r>
      <w:r>
        <w:rPr>
          <w:noProof/>
        </w:rPr>
        <w:tab/>
        <w:t>lande i Den Europæiske Frihandelssammenslutning, der er part i aftalen om Det Europæiske Økonomiske Samarbejdsområde, i overensstemmelse med betingelserne heri.</w:t>
      </w:r>
    </w:p>
    <w:p>
      <w:pPr>
        <w:spacing w:before="0" w:after="200"/>
        <w:ind w:left="130" w:firstLine="720"/>
        <w:rPr>
          <w:noProof/>
        </w:rPr>
      </w:pPr>
      <w:r>
        <w:rPr>
          <w:noProof/>
        </w:rPr>
        <w:t>Samfinansieringssatsen for tilskud er op til 100 % af de støtteberettigede omkostninger.</w:t>
      </w:r>
    </w:p>
    <w:p>
      <w:pPr>
        <w:pStyle w:val="ManualNumPar1"/>
        <w:rPr>
          <w:noProof/>
        </w:rPr>
      </w:pPr>
      <w:r>
        <w:t>4.</w:t>
      </w:r>
      <w:r>
        <w:tab/>
      </w:r>
      <w:r>
        <w:rPr>
          <w:noProof/>
        </w:rPr>
        <w:t>Tekniske støtteforanstaltninger kan ydes i samarbejde med andre medlemsstaters enheder og internationale organisationer.</w:t>
      </w:r>
    </w:p>
    <w:p>
      <w:pPr>
        <w:pStyle w:val="ManualNumPar1"/>
        <w:rPr>
          <w:noProof/>
        </w:rPr>
      </w:pPr>
      <w:r>
        <w:t>5.</w:t>
      </w:r>
      <w:r>
        <w:tab/>
      </w:r>
      <w:r>
        <w:rPr>
          <w:noProof/>
        </w:rPr>
        <w:t xml:space="preserve">Teknisk støtte kan også ydes af individuelle eksperter, der kan indbydes til at bidrage til udvalgte aktiviteter, som organiseres, når dette er nødvendigt for at nå de specifikke mål, der er fastsat i artikel 4. </w:t>
      </w:r>
    </w:p>
    <w:p>
      <w:pPr>
        <w:pStyle w:val="ManualNumPar1"/>
        <w:rPr>
          <w:noProof/>
        </w:rPr>
      </w:pPr>
      <w:r>
        <w:t>6.</w:t>
      </w:r>
      <w:r>
        <w:tab/>
      </w:r>
      <w:r>
        <w:rPr>
          <w:noProof/>
        </w:rPr>
        <w:t>Til gennemførelsen af den tekniske støtte vedtager Kommissionen arbejdsprogrammer ved hjælp af gennemførelsesretsakter og underretter Europa-Parlamentet og Rådet herom.</w:t>
      </w:r>
    </w:p>
    <w:p>
      <w:pPr>
        <w:spacing w:before="0" w:after="200"/>
        <w:ind w:left="850"/>
        <w:rPr>
          <w:noProof/>
        </w:rPr>
      </w:pPr>
      <w:r>
        <w:rPr>
          <w:noProof/>
        </w:rPr>
        <w:t>I arbejdsprogrammerne fastsættes tildelingen vedrørende instrumentet. Desuden angives de foranstaltninger, der er nødvendige for deres gennemførelse i overensstemmelse med det overordnede og de specifikke mål som omhandlet i denne forordnings artikel 3 og 4, kriterierne for udvælgelse og tildeling af tilskud samt alle de elementer, der kræves i henhold til finansforordningen.</w:t>
      </w:r>
    </w:p>
    <w:p>
      <w:pPr>
        <w:pStyle w:val="ManualNumPar1"/>
        <w:rPr>
          <w:noProof/>
        </w:rPr>
      </w:pPr>
      <w:r>
        <w:t>7.</w:t>
      </w:r>
      <w:r>
        <w:tab/>
      </w:r>
      <w:r>
        <w:rPr>
          <w:noProof/>
        </w:rPr>
        <w:t xml:space="preserve">For at sikre en rettidig tildeling af midler skal en begrænset del af arbejdsprogrammet forbeholdes særlige foranstaltninger i tilfælde af uforudsete og behørigt begrundede omstændigheder, som nødvendiggør en øjeblikkelig indsats, f.eks. en alvorlig forstyrrelse i økonomien eller væsentlige omstændigheder med alvorlige konsekvenser for de økonomiske og sociale forhold i en medlemsstat, der ligger uden for dennes kontrol. </w:t>
      </w:r>
    </w:p>
    <w:p>
      <w:pPr>
        <w:spacing w:before="0" w:after="360"/>
        <w:ind w:left="851"/>
        <w:rPr>
          <w:noProof/>
        </w:rPr>
      </w:pPr>
      <w:r>
        <w:rPr>
          <w:noProof/>
        </w:rPr>
        <w:t>Kommissionen kan på anmodning fra en medlemsstat, der ønsker af modtage teknisk støtte, træffe særlige foranstaltninger i overensstemmelse med de mål og aktioner, der er fastsat for instrumentet, for at yde de nationale myndigheder teknisk støtte til at adressere akutte behov. Sådanne særlige foranstaltninger skal være af midlertidig karakter og være tilknyttet de omstændigheder, der er fastsat i artikel 8, stk. 2. De særlige foranstaltninger skal ophøre inden for seks måneder og kan erstattes med tekniske støtteforanstaltninger i overensstemmelse med betingelserne i artikel 8.</w:t>
      </w:r>
    </w:p>
    <w:p>
      <w:pPr>
        <w:rPr>
          <w:noProof/>
        </w:rPr>
      </w:pPr>
    </w:p>
    <w:p>
      <w:pPr>
        <w:pStyle w:val="ChapterTitle"/>
        <w:rPr>
          <w:noProof/>
        </w:rPr>
      </w:pPr>
      <w:r>
        <w:rPr>
          <w:noProof/>
        </w:rPr>
        <w:lastRenderedPageBreak/>
        <w:t xml:space="preserve">KAPITEL III </w:t>
      </w:r>
    </w:p>
    <w:p>
      <w:pPr>
        <w:pStyle w:val="ChapterTitle"/>
        <w:rPr>
          <w:noProof/>
        </w:rPr>
      </w:pPr>
      <w:r>
        <w:rPr>
          <w:noProof/>
        </w:rPr>
        <w:t>Komplementaritet, overvågning og evaluering</w:t>
      </w:r>
    </w:p>
    <w:p>
      <w:pPr>
        <w:pStyle w:val="Titrearticle"/>
        <w:rPr>
          <w:noProof/>
        </w:rPr>
      </w:pPr>
      <w:r>
        <w:rPr>
          <w:noProof/>
        </w:rPr>
        <w:t xml:space="preserve">Artikel 13 </w:t>
      </w:r>
      <w:r>
        <w:rPr>
          <w:noProof/>
        </w:rPr>
        <w:br/>
        <w:t>Samordning og komplementaritet</w:t>
      </w:r>
    </w:p>
    <w:p>
      <w:pPr>
        <w:pStyle w:val="ManualNumPar1"/>
        <w:rPr>
          <w:noProof/>
        </w:rPr>
      </w:pPr>
      <w:r>
        <w:t>1.</w:t>
      </w:r>
      <w:r>
        <w:tab/>
      </w:r>
      <w:r>
        <w:rPr>
          <w:noProof/>
        </w:rPr>
        <w:t>Kommissionen og de berørte medlemsstater skal i en udstrækning, der modsvarer deres respektive ansvarsområder, skabe synergier og sikre en effektiv koordinering mellem instrumentet for teknisk støtte og andre EU-programmer og -instrumenter, navnlig foranstaltninger, der finansieres af EU-fondene. De skal med henblik herpå:</w:t>
      </w:r>
    </w:p>
    <w:p>
      <w:pPr>
        <w:pStyle w:val="Point1"/>
        <w:rPr>
          <w:noProof/>
        </w:rPr>
      </w:pPr>
      <w:r>
        <w:rPr>
          <w:noProof/>
        </w:rPr>
        <w:t>a)</w:t>
      </w:r>
      <w:r>
        <w:rPr>
          <w:noProof/>
        </w:rPr>
        <w:tab/>
        <w:t>sikre komplementaritet, synergi, sammenhæng og konsistens mellem de forskellige instrumenter på EU-plan og nationalt plan og, når det er hensigtsmæssigt, på regionalt plan, navnlig for så vidt angår foranstaltninger, der finansieres af EU-fonde, i både planlægnings- og gennemførelsesfasen</w:t>
      </w:r>
    </w:p>
    <w:p>
      <w:pPr>
        <w:pStyle w:val="Point1"/>
        <w:rPr>
          <w:noProof/>
        </w:rPr>
      </w:pPr>
      <w:r>
        <w:rPr>
          <w:noProof/>
        </w:rPr>
        <w:t>b)</w:t>
      </w:r>
      <w:r>
        <w:rPr>
          <w:noProof/>
        </w:rPr>
        <w:tab/>
        <w:t>optimere koordineringsmekanismerne for at undgå dobbeltarbejde, og</w:t>
      </w:r>
    </w:p>
    <w:p>
      <w:pPr>
        <w:pStyle w:val="Point1"/>
        <w:rPr>
          <w:noProof/>
        </w:rPr>
      </w:pPr>
      <w:r>
        <w:rPr>
          <w:noProof/>
        </w:rPr>
        <w:t>c)</w:t>
      </w:r>
      <w:r>
        <w:rPr>
          <w:noProof/>
        </w:rPr>
        <w:tab/>
        <w:t>sikre et tæt samarbejde mellem dem, der er ansvarlige for gennemførelsen på EU-plan, nationalt plan og, når det er hensigtsmæssigt, på regionalt plan for at skabe sammenhængende og strømlinede støtteaktioner under instrumentet.</w:t>
      </w:r>
    </w:p>
    <w:p>
      <w:pPr>
        <w:pStyle w:val="ManualNumPar1"/>
        <w:rPr>
          <w:noProof/>
        </w:rPr>
      </w:pPr>
      <w:r>
        <w:t>2.</w:t>
      </w:r>
      <w:r>
        <w:tab/>
      </w:r>
      <w:r>
        <w:rPr>
          <w:noProof/>
        </w:rPr>
        <w:t>Kommissionen bestræber sig på at sikre komplementaritet og synergier med den støtte, der ydes af andre relevante internationale organisationer.</w:t>
      </w:r>
    </w:p>
    <w:p>
      <w:pPr>
        <w:pStyle w:val="Titrearticle"/>
        <w:rPr>
          <w:noProof/>
        </w:rPr>
      </w:pPr>
      <w:r>
        <w:rPr>
          <w:noProof/>
        </w:rPr>
        <w:t xml:space="preserve">Artikel 14 </w:t>
      </w:r>
      <w:r>
        <w:rPr>
          <w:noProof/>
        </w:rPr>
        <w:br/>
        <w:t>Overvågning af gennemførelsen</w:t>
      </w:r>
    </w:p>
    <w:p>
      <w:pPr>
        <w:pStyle w:val="ManualNumPar1"/>
        <w:rPr>
          <w:noProof/>
        </w:rPr>
      </w:pPr>
      <w:r>
        <w:t>1.</w:t>
      </w:r>
      <w:r>
        <w:tab/>
      </w:r>
      <w:r>
        <w:rPr>
          <w:noProof/>
        </w:rPr>
        <w:t xml:space="preserve">Kommissionen overvåger gennemførelsen af instrumentet og måler opfyldelsen af det overordnede og de specifikke mål i artikel 3 og 4. Bilag II indeholder indikatorer, som skal bruges til rapportering om fremskridt og til overvågning og evaluering af denne forordning med hensyn til opfyldelsen af det overordnede og de specifikke mål. Overvågningen af gennemførelsen skal være målrettet og stå i rimeligt forhold til de aktiviteter, der gennemføres inden for rammerne af instrumentet. </w:t>
      </w:r>
    </w:p>
    <w:p>
      <w:pPr>
        <w:pStyle w:val="ManualNumPar1"/>
        <w:rPr>
          <w:noProof/>
        </w:rPr>
      </w:pPr>
      <w:r>
        <w:t>2.</w:t>
      </w:r>
      <w:r>
        <w:tab/>
      </w:r>
      <w:r>
        <w:rPr>
          <w:noProof/>
        </w:rPr>
        <w:t>Performancerapporteringssystemet skal sikre, at data til overvågning af instrumentets gennemførelse og resultater indsamles effektivt, produktivt og rettidigt. Til det formål pålægges modtagere af EU-midler rimelige rapporteringskrav.</w:t>
      </w:r>
    </w:p>
    <w:p>
      <w:pPr>
        <w:pStyle w:val="Titrearticle"/>
        <w:rPr>
          <w:noProof/>
        </w:rPr>
      </w:pPr>
      <w:r>
        <w:rPr>
          <w:noProof/>
        </w:rPr>
        <w:t xml:space="preserve">Artikel 15 </w:t>
      </w:r>
      <w:r>
        <w:rPr>
          <w:noProof/>
        </w:rPr>
        <w:br/>
        <w:t>Årsrapport</w:t>
      </w:r>
    </w:p>
    <w:p>
      <w:pPr>
        <w:pStyle w:val="ManualNumPar1"/>
        <w:rPr>
          <w:noProof/>
        </w:rPr>
      </w:pPr>
      <w:r>
        <w:t>1.</w:t>
      </w:r>
      <w:r>
        <w:tab/>
      </w:r>
      <w:r>
        <w:rPr>
          <w:noProof/>
        </w:rPr>
        <w:t xml:space="preserve">Kommissionen forelægger Europa-Parlamentet og Rådet en årsrapport om denne forordnings anvendelse. </w:t>
      </w:r>
    </w:p>
    <w:p>
      <w:pPr>
        <w:pStyle w:val="ManualNumPar1"/>
        <w:rPr>
          <w:noProof/>
        </w:rPr>
      </w:pPr>
      <w:r>
        <w:t>2.</w:t>
      </w:r>
      <w:r>
        <w:tab/>
      </w:r>
      <w:r>
        <w:rPr>
          <w:noProof/>
        </w:rPr>
        <w:t>Årsrapporten skal indeholde oplysninger om:</w:t>
      </w:r>
    </w:p>
    <w:p>
      <w:pPr>
        <w:pStyle w:val="Point1"/>
        <w:rPr>
          <w:noProof/>
        </w:rPr>
      </w:pPr>
      <w:r>
        <w:rPr>
          <w:noProof/>
        </w:rPr>
        <w:t>a)</w:t>
      </w:r>
      <w:r>
        <w:rPr>
          <w:noProof/>
        </w:rPr>
        <w:tab/>
      </w:r>
      <w:r>
        <w:rPr>
          <w:noProof/>
        </w:rPr>
        <w:tab/>
        <w:t>støtteanmodninger, der indgives af medlemsstater i henhold til artikel 8, stk. 1</w:t>
      </w:r>
    </w:p>
    <w:p>
      <w:pPr>
        <w:pStyle w:val="Point1"/>
        <w:rPr>
          <w:noProof/>
        </w:rPr>
      </w:pPr>
      <w:r>
        <w:rPr>
          <w:noProof/>
        </w:rPr>
        <w:t>b)</w:t>
      </w:r>
      <w:r>
        <w:rPr>
          <w:noProof/>
        </w:rPr>
        <w:tab/>
        <w:t>analysen af anvendelsen af de i artikel 8, stk. 2, omhandlede kriterier, som anvendes til at analysere støtteanmodninger, der indgives af medlemsstater</w:t>
      </w:r>
    </w:p>
    <w:p>
      <w:pPr>
        <w:pStyle w:val="Point1"/>
        <w:rPr>
          <w:noProof/>
        </w:rPr>
      </w:pPr>
      <w:r>
        <w:rPr>
          <w:noProof/>
        </w:rPr>
        <w:t>c)</w:t>
      </w:r>
      <w:r>
        <w:rPr>
          <w:noProof/>
        </w:rPr>
        <w:tab/>
        <w:t xml:space="preserve">samarbejds- og støtteplaner som omhandlet i artikel 8, stk. 3 </w:t>
      </w:r>
    </w:p>
    <w:p>
      <w:pPr>
        <w:pStyle w:val="Point1"/>
        <w:rPr>
          <w:noProof/>
        </w:rPr>
      </w:pPr>
      <w:r>
        <w:rPr>
          <w:noProof/>
        </w:rPr>
        <w:t>d)</w:t>
      </w:r>
      <w:r>
        <w:rPr>
          <w:noProof/>
        </w:rPr>
        <w:tab/>
        <w:t>særlige foranstaltninger, der træffes i medfør af artikel 12, stk. 7, og</w:t>
      </w:r>
    </w:p>
    <w:p>
      <w:pPr>
        <w:pStyle w:val="Point1"/>
        <w:rPr>
          <w:noProof/>
        </w:rPr>
      </w:pPr>
      <w:r>
        <w:rPr>
          <w:noProof/>
        </w:rPr>
        <w:lastRenderedPageBreak/>
        <w:t>e)</w:t>
      </w:r>
      <w:r>
        <w:rPr>
          <w:noProof/>
        </w:rPr>
        <w:tab/>
        <w:t>gennemførelse af støtteforanstaltninger.</w:t>
      </w:r>
      <w:r>
        <w:rPr>
          <w:strike/>
          <w:noProof/>
        </w:rPr>
        <w:t xml:space="preserve"> </w:t>
      </w:r>
    </w:p>
    <w:p>
      <w:pPr>
        <w:pStyle w:val="Titrearticle"/>
        <w:rPr>
          <w:noProof/>
        </w:rPr>
      </w:pPr>
      <w:r>
        <w:rPr>
          <w:noProof/>
        </w:rPr>
        <w:t xml:space="preserve">Artikel 16 </w:t>
      </w:r>
      <w:r>
        <w:rPr>
          <w:noProof/>
        </w:rPr>
        <w:br/>
        <w:t>Midtvejsevaluering og efterfølgende evaluering</w:t>
      </w:r>
    </w:p>
    <w:p>
      <w:pPr>
        <w:pStyle w:val="ManualNumPar1"/>
        <w:rPr>
          <w:noProof/>
        </w:rPr>
      </w:pPr>
      <w:r>
        <w:t>1.</w:t>
      </w:r>
      <w:r>
        <w:tab/>
      </w:r>
      <w:r>
        <w:rPr>
          <w:noProof/>
        </w:rPr>
        <w:t xml:space="preserve">Kommissionen forelægger fire år efter denne forordnings ikrafttræden Europa-Parlamentet, Rådet, Det Europæiske Økonomiske og Sociale Udvalg og Regionsudvalget en uafhængig midtvejsevalueringsrapport om denne forordnings anvendelse. Kommissionen forelægger også disse institutioner en uafhængig efterfølgende evalueringsrapport senest tre år efter udløbet af den i artikel 1 fastsatte periode. </w:t>
      </w:r>
    </w:p>
    <w:p>
      <w:pPr>
        <w:pStyle w:val="ManualNumPar1"/>
        <w:rPr>
          <w:noProof/>
        </w:rPr>
      </w:pPr>
      <w:r>
        <w:t>2.</w:t>
      </w:r>
      <w:r>
        <w:tab/>
      </w:r>
      <w:r>
        <w:rPr>
          <w:noProof/>
        </w:rPr>
        <w:t>Midtvejsevalueringsrapporten skal navnlig vurdere, i hvilket omfang instrumentets mål er nået, jf. artikel 3 og 4, hvor produktivt ressourcerne er blevet anvendt, og hvilken europæiske merværdi der er opnået. Den skal også indeholde overvejelser om den fortsatte relevans af alle mål og aktioner.</w:t>
      </w:r>
    </w:p>
    <w:p>
      <w:pPr>
        <w:pStyle w:val="ManualNumPar1"/>
        <w:rPr>
          <w:noProof/>
        </w:rPr>
      </w:pPr>
      <w:r>
        <w:t>3.</w:t>
      </w:r>
      <w:r>
        <w:tab/>
      </w:r>
      <w:r>
        <w:rPr>
          <w:noProof/>
        </w:rPr>
        <w:t>Den efterfølgende evalueringsrapport skal bestå af en samlet vurdering af forordningens anvendelse og indeholde oplysninger om virkningerne på lang sigt.</w:t>
      </w:r>
    </w:p>
    <w:p>
      <w:pPr>
        <w:pStyle w:val="Text1"/>
        <w:rPr>
          <w:noProof/>
        </w:rPr>
      </w:pPr>
    </w:p>
    <w:p>
      <w:pPr>
        <w:pStyle w:val="ChapterTitle"/>
        <w:rPr>
          <w:noProof/>
        </w:rPr>
      </w:pPr>
      <w:r>
        <w:rPr>
          <w:noProof/>
        </w:rPr>
        <w:t xml:space="preserve">KAPITEL IV </w:t>
      </w:r>
    </w:p>
    <w:p>
      <w:pPr>
        <w:pStyle w:val="ChapterTitle"/>
        <w:rPr>
          <w:noProof/>
        </w:rPr>
      </w:pPr>
      <w:r>
        <w:rPr>
          <w:noProof/>
        </w:rPr>
        <w:t>Overgangsbestemmelser og afsluttende bestemmelser</w:t>
      </w:r>
    </w:p>
    <w:p>
      <w:pPr>
        <w:pStyle w:val="Titrearticle"/>
        <w:rPr>
          <w:noProof/>
        </w:rPr>
      </w:pPr>
      <w:r>
        <w:rPr>
          <w:noProof/>
        </w:rPr>
        <w:t xml:space="preserve">Artikel 17 </w:t>
      </w:r>
      <w:r>
        <w:rPr>
          <w:noProof/>
        </w:rPr>
        <w:br/>
        <w:t>Information, kommunikation og offentlig omtale</w:t>
      </w:r>
    </w:p>
    <w:p>
      <w:pPr>
        <w:pStyle w:val="ManualNumPar1"/>
        <w:rPr>
          <w:noProof/>
        </w:rPr>
      </w:pPr>
      <w:r>
        <w:t>1.</w:t>
      </w:r>
      <w:r>
        <w:tab/>
      </w:r>
      <w:r>
        <w:rPr>
          <w:noProof/>
        </w:rPr>
        <w:t>Modtagere af EU-midler skal anerkende finansieringens oprindelse og sikre synligheden heraf, navnlig ved promovering af aktionerne og disses resultater, gennem sammenhængende, virkningsfulde og forholdsmæssigt afpassede målrettede oplysningertil forskellige modtagergrupper, herunder medierne og offentligheden.</w:t>
      </w:r>
    </w:p>
    <w:p>
      <w:pPr>
        <w:pStyle w:val="ManualNumPar1"/>
        <w:rPr>
          <w:noProof/>
        </w:rPr>
      </w:pPr>
      <w:r>
        <w:t>2.</w:t>
      </w:r>
      <w:r>
        <w:tab/>
      </w:r>
      <w:r>
        <w:rPr>
          <w:noProof/>
        </w:rPr>
        <w:t>Kommissionen gennemfører informations- og kommunikationsaktioner vedrørende instrumentet samt dets aktioner og resultater. De finansielle midler, der afsættes til instrumentet, skal også bidrage til den institutionelle formidling af Unionens politiske prioriteter, for så vidt som de vedrører målene i artikel 3 og 4.</w:t>
      </w:r>
    </w:p>
    <w:p>
      <w:pPr>
        <w:pStyle w:val="Titrearticle"/>
        <w:rPr>
          <w:noProof/>
        </w:rPr>
      </w:pPr>
      <w:r>
        <w:rPr>
          <w:noProof/>
        </w:rPr>
        <w:t xml:space="preserve">Artikel 18 </w:t>
      </w:r>
      <w:r>
        <w:rPr>
          <w:noProof/>
        </w:rPr>
        <w:br/>
        <w:t>Overgangsbestemmelse</w:t>
      </w:r>
    </w:p>
    <w:p>
      <w:pPr>
        <w:pStyle w:val="ManualNumPar1"/>
        <w:rPr>
          <w:noProof/>
        </w:rPr>
      </w:pPr>
      <w:r>
        <w:t>1.</w:t>
      </w:r>
      <w:r>
        <w:tab/>
      </w:r>
      <w:r>
        <w:rPr>
          <w:noProof/>
        </w:rPr>
        <w:t xml:space="preserve">Tekniske støtteaktioner og -aktiviteter, der er påbegyndt senest den 31. december 2020 i henhold til forordning (EU) 2017/825, er fortsat omfattet af nævnte forordning, indtil de er gennemført. </w:t>
      </w:r>
    </w:p>
    <w:p>
      <w:pPr>
        <w:pStyle w:val="ManualNumPar1"/>
        <w:rPr>
          <w:noProof/>
        </w:rPr>
      </w:pPr>
      <w:r>
        <w:t>2.</w:t>
      </w:r>
      <w:r>
        <w:tab/>
      </w:r>
      <w:r>
        <w:rPr>
          <w:noProof/>
        </w:rPr>
        <w:t>Finansieringsrammen, der er fastsat i artikel 6, stk. 1, kan også omfatte udgifter til teknisk og administrativ bistand, herunder overvågning, kommunikation og evaluering, som kræves i henhold til forordning (EU) 2017/825, og som ikke er gennemført pr. 31. december 2020.</w:t>
      </w:r>
    </w:p>
    <w:p>
      <w:pPr>
        <w:pStyle w:val="ManualNumPar1"/>
        <w:rPr>
          <w:noProof/>
        </w:rPr>
      </w:pPr>
      <w:r>
        <w:t>3.</w:t>
      </w:r>
      <w:r>
        <w:tab/>
      </w:r>
      <w:r>
        <w:rPr>
          <w:noProof/>
        </w:rPr>
        <w:t>Om nødvendigt kan der opføres bevillinger på budgettet ud over 2020 til dækning af udgifter i medfør af artikel 6, stk. 2, vedrørende forvaltning af aktioner, som ikke er afsluttet senest den 31. december 2020.</w:t>
      </w:r>
    </w:p>
    <w:p>
      <w:pPr>
        <w:pStyle w:val="Titrearticle"/>
        <w:rPr>
          <w:noProof/>
        </w:rPr>
      </w:pPr>
      <w:r>
        <w:rPr>
          <w:noProof/>
        </w:rPr>
        <w:lastRenderedPageBreak/>
        <w:t xml:space="preserve">Artikel 19 </w:t>
      </w:r>
      <w:r>
        <w:rPr>
          <w:noProof/>
        </w:rPr>
        <w:br/>
        <w:t>Ikrafttræden</w:t>
      </w:r>
    </w:p>
    <w:p>
      <w:pPr>
        <w:rPr>
          <w:noProof/>
        </w:rPr>
      </w:pPr>
      <w:r>
        <w:rPr>
          <w:noProof/>
        </w:rPr>
        <w:t xml:space="preserve">Denne forordning træder i kraft dagen efter offentliggørelsen i </w:t>
      </w:r>
      <w:r>
        <w:rPr>
          <w:i/>
          <w:noProof/>
        </w:rPr>
        <w:t>Den Europæiske Unions Tidende</w:t>
      </w:r>
      <w:r>
        <w:rPr>
          <w:noProof/>
        </w:rPr>
        <w:t>.</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Formanden</w:t>
      </w:r>
      <w:r>
        <w:rPr>
          <w:noProof/>
        </w:rPr>
        <w:tab/>
        <w:t>Formanden</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FINANSIERINGSOVERSIGT</w:t>
      </w:r>
    </w:p>
    <w:p>
      <w:pPr>
        <w:pStyle w:val="ManualHeading1"/>
        <w:rPr>
          <w:noProof/>
        </w:rPr>
      </w:pPr>
      <w:r>
        <w:rPr>
          <w:noProof/>
        </w:rPr>
        <w:t>1.</w:t>
      </w:r>
      <w:r>
        <w:rPr>
          <w:noProof/>
        </w:rPr>
        <w:tab/>
        <w:t xml:space="preserve">FORSLAGETS/INITIATIVETS RAMME </w:t>
      </w:r>
    </w:p>
    <w:p>
      <w:pPr>
        <w:pStyle w:val="ManualHeading2"/>
        <w:rPr>
          <w:b w:val="0"/>
          <w:noProof/>
        </w:rPr>
      </w:pPr>
      <w:r>
        <w:rPr>
          <w:noProof/>
        </w:rPr>
        <w:tab/>
      </w:r>
      <w:r>
        <w:rPr>
          <w:b w:val="0"/>
          <w:noProof/>
        </w:rPr>
        <w:t>1.1.</w:t>
      </w:r>
      <w:r>
        <w:rPr>
          <w:noProof/>
        </w:rPr>
        <w:tab/>
      </w:r>
      <w:r>
        <w:rPr>
          <w:b w:val="0"/>
          <w:noProof/>
        </w:rPr>
        <w:t xml:space="preserve">Forslagets/initiativets betegnelse </w:t>
      </w:r>
    </w:p>
    <w:p>
      <w:pPr>
        <w:pStyle w:val="ManualHeading2"/>
        <w:rPr>
          <w:b w:val="0"/>
          <w:noProof/>
        </w:rPr>
      </w:pPr>
      <w:r>
        <w:rPr>
          <w:noProof/>
        </w:rPr>
        <w:tab/>
      </w:r>
      <w:r>
        <w:rPr>
          <w:b w:val="0"/>
          <w:noProof/>
        </w:rPr>
        <w:t>1.2.</w:t>
      </w:r>
      <w:r>
        <w:rPr>
          <w:noProof/>
        </w:rPr>
        <w:tab/>
      </w:r>
      <w:r>
        <w:rPr>
          <w:b w:val="0"/>
          <w:noProof/>
        </w:rPr>
        <w:t>Berørt(e) politikområde(r) inden for ABM/ABB-strukturen</w:t>
      </w:r>
    </w:p>
    <w:p>
      <w:pPr>
        <w:pStyle w:val="ManualHeading2"/>
        <w:rPr>
          <w:b w:val="0"/>
          <w:noProof/>
        </w:rPr>
      </w:pPr>
      <w:r>
        <w:rPr>
          <w:noProof/>
        </w:rPr>
        <w:tab/>
      </w:r>
      <w:r>
        <w:rPr>
          <w:b w:val="0"/>
          <w:noProof/>
        </w:rPr>
        <w:t>1.3.</w:t>
      </w:r>
      <w:r>
        <w:rPr>
          <w:noProof/>
        </w:rPr>
        <w:tab/>
      </w:r>
      <w:r>
        <w:rPr>
          <w:b w:val="0"/>
          <w:noProof/>
        </w:rPr>
        <w:t xml:space="preserve">Forslagets/initiativets art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Forslagets/initiativets begrundelse </w:t>
      </w:r>
    </w:p>
    <w:p>
      <w:pPr>
        <w:pStyle w:val="ManualHeading2"/>
        <w:rPr>
          <w:b w:val="0"/>
          <w:noProof/>
        </w:rPr>
      </w:pPr>
      <w:r>
        <w:rPr>
          <w:noProof/>
        </w:rPr>
        <w:tab/>
      </w:r>
      <w:r>
        <w:rPr>
          <w:b w:val="0"/>
          <w:noProof/>
        </w:rPr>
        <w:t>1.6.</w:t>
      </w:r>
      <w:r>
        <w:rPr>
          <w:noProof/>
        </w:rPr>
        <w:tab/>
      </w:r>
      <w:r>
        <w:rPr>
          <w:b w:val="0"/>
          <w:noProof/>
        </w:rPr>
        <w:t xml:space="preserve">Varighed og finansielle virkninger </w:t>
      </w:r>
    </w:p>
    <w:p>
      <w:pPr>
        <w:pStyle w:val="ManualHeading2"/>
        <w:rPr>
          <w:b w:val="0"/>
          <w:noProof/>
        </w:rPr>
      </w:pPr>
      <w:r>
        <w:rPr>
          <w:noProof/>
        </w:rPr>
        <w:tab/>
      </w:r>
      <w:r>
        <w:rPr>
          <w:b w:val="0"/>
          <w:noProof/>
        </w:rPr>
        <w:t>1.7.</w:t>
      </w:r>
      <w:r>
        <w:rPr>
          <w:noProof/>
        </w:rPr>
        <w:tab/>
      </w:r>
      <w:r>
        <w:rPr>
          <w:b w:val="0"/>
          <w:noProof/>
        </w:rPr>
        <w:t xml:space="preserve">Påtænkt(e) forvaltningsmetode(r) </w:t>
      </w:r>
    </w:p>
    <w:p>
      <w:pPr>
        <w:pStyle w:val="ManualHeading1"/>
        <w:rPr>
          <w:noProof/>
        </w:rPr>
      </w:pPr>
      <w:r>
        <w:rPr>
          <w:noProof/>
        </w:rPr>
        <w:t>2.</w:t>
      </w:r>
      <w:r>
        <w:rPr>
          <w:noProof/>
        </w:rPr>
        <w:tab/>
        <w:t xml:space="preserve">FORVALTNINGSFORANSTALTNINGER </w:t>
      </w:r>
    </w:p>
    <w:p>
      <w:pPr>
        <w:pStyle w:val="ManualHeading2"/>
        <w:rPr>
          <w:b w:val="0"/>
          <w:noProof/>
        </w:rPr>
      </w:pPr>
      <w:r>
        <w:rPr>
          <w:noProof/>
        </w:rPr>
        <w:tab/>
      </w:r>
      <w:r>
        <w:rPr>
          <w:b w:val="0"/>
          <w:noProof/>
        </w:rPr>
        <w:t>2.1.</w:t>
      </w:r>
      <w:r>
        <w:rPr>
          <w:noProof/>
        </w:rPr>
        <w:tab/>
      </w:r>
      <w:r>
        <w:rPr>
          <w:b w:val="0"/>
          <w:noProof/>
        </w:rPr>
        <w:t xml:space="preserve">Bestemmelser om kontrol og rapportering </w:t>
      </w:r>
    </w:p>
    <w:p>
      <w:pPr>
        <w:pStyle w:val="ManualHeading2"/>
        <w:rPr>
          <w:b w:val="0"/>
          <w:noProof/>
        </w:rPr>
      </w:pPr>
      <w:r>
        <w:rPr>
          <w:noProof/>
        </w:rPr>
        <w:tab/>
      </w:r>
      <w:r>
        <w:rPr>
          <w:b w:val="0"/>
          <w:noProof/>
        </w:rPr>
        <w:t>2.2.</w:t>
      </w:r>
      <w:r>
        <w:rPr>
          <w:noProof/>
        </w:rPr>
        <w:tab/>
      </w:r>
      <w:r>
        <w:rPr>
          <w:b w:val="0"/>
          <w:noProof/>
        </w:rPr>
        <w:t xml:space="preserve">Forvaltnings- og kontrolsystem </w:t>
      </w:r>
    </w:p>
    <w:p>
      <w:pPr>
        <w:pStyle w:val="ManualHeading2"/>
        <w:rPr>
          <w:b w:val="0"/>
          <w:noProof/>
        </w:rPr>
      </w:pPr>
      <w:r>
        <w:rPr>
          <w:noProof/>
        </w:rPr>
        <w:tab/>
      </w:r>
      <w:r>
        <w:rPr>
          <w:b w:val="0"/>
          <w:noProof/>
        </w:rPr>
        <w:t>2.3.</w:t>
      </w:r>
      <w:r>
        <w:rPr>
          <w:noProof/>
        </w:rPr>
        <w:tab/>
      </w:r>
      <w:r>
        <w:rPr>
          <w:b w:val="0"/>
          <w:noProof/>
        </w:rPr>
        <w:t xml:space="preserve">Foranstaltninger til forebyggelse af svig og uregelmæssigheder </w:t>
      </w:r>
    </w:p>
    <w:p>
      <w:pPr>
        <w:pStyle w:val="ManualHeading1"/>
        <w:rPr>
          <w:noProof/>
        </w:rPr>
      </w:pPr>
      <w:r>
        <w:rPr>
          <w:noProof/>
        </w:rPr>
        <w:t>3.</w:t>
      </w:r>
      <w:r>
        <w:rPr>
          <w:noProof/>
        </w:rPr>
        <w:tab/>
        <w:t xml:space="preserve">FORSLAGETS/INITIATIVETS ANSLÅEDE FINANSIELLE VIRKNINGER </w:t>
      </w:r>
    </w:p>
    <w:p>
      <w:pPr>
        <w:pStyle w:val="ManualHeading2"/>
        <w:rPr>
          <w:b w:val="0"/>
          <w:noProof/>
        </w:rPr>
      </w:pPr>
      <w:r>
        <w:rPr>
          <w:noProof/>
        </w:rPr>
        <w:tab/>
      </w:r>
      <w:r>
        <w:rPr>
          <w:b w:val="0"/>
          <w:noProof/>
        </w:rPr>
        <w:t>3.1.</w:t>
      </w:r>
      <w:r>
        <w:rPr>
          <w:noProof/>
        </w:rPr>
        <w:tab/>
      </w:r>
      <w:r>
        <w:rPr>
          <w:b w:val="0"/>
          <w:noProof/>
        </w:rPr>
        <w:t xml:space="preserve">Berørt(e) udgiftspost(er) på budgettet og udgiftsområde(r) i den flerårige finansielle ramme </w:t>
      </w:r>
    </w:p>
    <w:p>
      <w:pPr>
        <w:pStyle w:val="ManualHeading2"/>
        <w:rPr>
          <w:noProof/>
        </w:rPr>
      </w:pPr>
      <w:r>
        <w:rPr>
          <w:noProof/>
        </w:rPr>
        <w:tab/>
      </w:r>
      <w:r>
        <w:rPr>
          <w:b w:val="0"/>
          <w:noProof/>
        </w:rPr>
        <w:t>3.2.</w:t>
      </w:r>
      <w:r>
        <w:rPr>
          <w:noProof/>
        </w:rPr>
        <w:tab/>
      </w:r>
      <w:r>
        <w:rPr>
          <w:b w:val="0"/>
          <w:noProof/>
        </w:rPr>
        <w:t>Anslåede virkninger for udgifterne</w:t>
      </w:r>
      <w:r>
        <w:rPr>
          <w:noProof/>
        </w:rPr>
        <w:t xml:space="preserve"> </w:t>
      </w:r>
    </w:p>
    <w:p>
      <w:pPr>
        <w:pStyle w:val="ManualHeading3"/>
        <w:rPr>
          <w:noProof/>
        </w:rPr>
      </w:pPr>
      <w:r>
        <w:rPr>
          <w:noProof/>
        </w:rPr>
        <w:tab/>
        <w:t>3.2.1.</w:t>
      </w:r>
      <w:r>
        <w:rPr>
          <w:noProof/>
        </w:rPr>
        <w:tab/>
        <w:t xml:space="preserve">Sammenfatning af de anslåede virkninger for udgifterne </w:t>
      </w:r>
    </w:p>
    <w:p>
      <w:pPr>
        <w:pStyle w:val="ManualHeading3"/>
        <w:rPr>
          <w:noProof/>
        </w:rPr>
      </w:pPr>
      <w:r>
        <w:rPr>
          <w:noProof/>
        </w:rPr>
        <w:tab/>
        <w:t>3.2.2.</w:t>
      </w:r>
      <w:r>
        <w:rPr>
          <w:noProof/>
        </w:rPr>
        <w:tab/>
        <w:t xml:space="preserve">Anslåede virkninger for aktionsbevillingerne </w:t>
      </w:r>
    </w:p>
    <w:p>
      <w:pPr>
        <w:pStyle w:val="ManualHeading3"/>
        <w:rPr>
          <w:noProof/>
        </w:rPr>
      </w:pPr>
      <w:r>
        <w:rPr>
          <w:noProof/>
        </w:rPr>
        <w:tab/>
        <w:t>3.2.3.</w:t>
      </w:r>
      <w:r>
        <w:rPr>
          <w:noProof/>
        </w:rPr>
        <w:tab/>
        <w:t>Anslåede virkninger for administrationsbevillingerne</w:t>
      </w:r>
    </w:p>
    <w:p>
      <w:pPr>
        <w:pStyle w:val="ManualHeading3"/>
        <w:rPr>
          <w:noProof/>
        </w:rPr>
      </w:pPr>
      <w:r>
        <w:rPr>
          <w:noProof/>
        </w:rPr>
        <w:tab/>
        <w:t>3.2.4.</w:t>
      </w:r>
      <w:r>
        <w:rPr>
          <w:noProof/>
        </w:rPr>
        <w:tab/>
        <w:t>Forenelighed med indeværende flerårige finansielle ramme</w:t>
      </w:r>
    </w:p>
    <w:p>
      <w:pPr>
        <w:pStyle w:val="ManualHeading3"/>
        <w:rPr>
          <w:noProof/>
        </w:rPr>
      </w:pPr>
      <w:r>
        <w:rPr>
          <w:noProof/>
        </w:rPr>
        <w:tab/>
        <w:t>3.2.5.</w:t>
      </w:r>
      <w:r>
        <w:rPr>
          <w:noProof/>
        </w:rPr>
        <w:tab/>
        <w:t xml:space="preserve">Tredjemands bidrag til finansieringen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Anslåede virkninger for indtægterne</w:t>
      </w:r>
    </w:p>
    <w:p>
      <w:pPr>
        <w:jc w:val="center"/>
        <w:rPr>
          <w:noProof/>
        </w:rPr>
      </w:pPr>
      <w:r>
        <w:rPr>
          <w:b/>
          <w:noProof/>
          <w:u w:val="single"/>
        </w:rPr>
        <w:t>FINANSIERINGSOVERSIGT</w:t>
      </w:r>
    </w:p>
    <w:p>
      <w:pPr>
        <w:pStyle w:val="ManualHeading1"/>
        <w:rPr>
          <w:noProof/>
        </w:rPr>
      </w:pPr>
      <w:r>
        <w:t>1.</w:t>
      </w:r>
      <w:r>
        <w:tab/>
      </w:r>
      <w:r>
        <w:rPr>
          <w:noProof/>
        </w:rPr>
        <w:t xml:space="preserve">FORSLAGETS/INITIATIVETS RAMME </w:t>
      </w:r>
    </w:p>
    <w:p>
      <w:pPr>
        <w:pStyle w:val="ManualHeading2"/>
        <w:rPr>
          <w:noProof/>
        </w:rPr>
      </w:pPr>
      <w:r>
        <w:t>1.1.</w:t>
      </w:r>
      <w:r>
        <w:tab/>
      </w:r>
      <w:r>
        <w:rPr>
          <w:noProof/>
        </w:rPr>
        <w:t xml:space="preserve">Forslagets/initiativets betegnelse </w:t>
      </w:r>
    </w:p>
    <w:p>
      <w:pPr>
        <w:pStyle w:val="Text1"/>
        <w:pBdr>
          <w:top w:val="single" w:sz="4" w:space="1" w:color="auto"/>
          <w:left w:val="single" w:sz="4" w:space="4" w:color="auto"/>
          <w:bottom w:val="single" w:sz="4" w:space="1" w:color="auto"/>
          <w:right w:val="single" w:sz="4" w:space="4" w:color="auto"/>
        </w:pBdr>
        <w:rPr>
          <w:noProof/>
        </w:rPr>
      </w:pPr>
      <w:r>
        <w:rPr>
          <w:noProof/>
        </w:rPr>
        <w:t>Forslag til Europa-Parlamentets og Rådets forordning om oprettelse af et instrument for teknisk støtte</w:t>
      </w:r>
    </w:p>
    <w:p>
      <w:pPr>
        <w:pStyle w:val="ManualHeading2"/>
        <w:rPr>
          <w:noProof/>
          <w:szCs w:val="24"/>
        </w:rPr>
      </w:pPr>
      <w:r>
        <w:t>1.2.</w:t>
      </w:r>
      <w:r>
        <w:tab/>
      </w:r>
      <w:r>
        <w:rPr>
          <w:noProof/>
        </w:rPr>
        <w:t>Berørt(e) politikområde(r) inden for ABM/ABB-strukturen</w:t>
      </w:r>
      <w:r>
        <w:rPr>
          <w:rStyle w:val="FootnoteReference"/>
          <w:noProof/>
        </w:rPr>
        <w:footnoteReference w:id="27"/>
      </w:r>
      <w:r>
        <w:rPr>
          <w:i/>
          <w:noProof/>
        </w:rPr>
        <w:t xml:space="preserve"> </w:t>
      </w:r>
    </w:p>
    <w:p>
      <w:pPr>
        <w:pStyle w:val="Text1"/>
        <w:pBdr>
          <w:top w:val="single" w:sz="4" w:space="1" w:color="auto"/>
          <w:left w:val="single" w:sz="4" w:space="4" w:color="auto"/>
          <w:bottom w:val="single" w:sz="4" w:space="0" w:color="auto"/>
          <w:right w:val="single" w:sz="4" w:space="4" w:color="auto"/>
        </w:pBdr>
        <w:rPr>
          <w:noProof/>
        </w:rPr>
      </w:pPr>
      <w:r>
        <w:rPr>
          <w:noProof/>
        </w:rPr>
        <w:t xml:space="preserve">Samhørighed </w:t>
      </w:r>
    </w:p>
    <w:p>
      <w:pPr>
        <w:pStyle w:val="Text1"/>
        <w:pBdr>
          <w:top w:val="single" w:sz="4" w:space="1" w:color="auto"/>
          <w:left w:val="single" w:sz="4" w:space="4" w:color="auto"/>
          <w:bottom w:val="single" w:sz="4" w:space="0" w:color="auto"/>
          <w:right w:val="single" w:sz="4" w:space="4" w:color="auto"/>
        </w:pBdr>
        <w:rPr>
          <w:noProof/>
        </w:rPr>
      </w:pPr>
      <w:r>
        <w:rPr>
          <w:noProof/>
        </w:rPr>
        <w:t>Økonomi og finans</w:t>
      </w:r>
    </w:p>
    <w:p>
      <w:pPr>
        <w:pStyle w:val="ManualHeading2"/>
        <w:rPr>
          <w:bCs/>
          <w:noProof/>
          <w:szCs w:val="24"/>
        </w:rPr>
      </w:pPr>
      <w:r>
        <w:t>1.3.</w:t>
      </w:r>
      <w:r>
        <w:tab/>
      </w:r>
      <w:r>
        <w:rPr>
          <w:noProof/>
        </w:rPr>
        <w:t xml:space="preserve">Forslagets/initiativets art </w:t>
      </w:r>
    </w:p>
    <w:p>
      <w:pPr>
        <w:pStyle w:val="Text1"/>
        <w:rPr>
          <w:b/>
          <w:noProof/>
          <w:sz w:val="22"/>
        </w:rPr>
      </w:pPr>
      <w:r>
        <w:rPr>
          <w:noProof/>
          <w:sz w:val="22"/>
        </w:rPr>
        <w:sym w:font="Wingdings" w:char="F0A8"/>
      </w:r>
      <w:r>
        <w:rPr>
          <w:b/>
          <w:i/>
          <w:noProof/>
          <w:sz w:val="22"/>
        </w:rPr>
        <w:t xml:space="preserve"> </w:t>
      </w:r>
      <w:r>
        <w:rPr>
          <w:noProof/>
        </w:rPr>
        <w:t xml:space="preserve">Forslaget/initiativet vedrører </w:t>
      </w:r>
      <w:r>
        <w:rPr>
          <w:b/>
          <w:noProof/>
        </w:rPr>
        <w:t>en ny foranstaltning</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Forslaget/initiativet vedrører </w:t>
      </w:r>
      <w:r>
        <w:rPr>
          <w:b/>
          <w:noProof/>
        </w:rPr>
        <w:t>en ny foranstaltning som opfølgning på et pilotprojekt/en forberedende foranstaltning</w:t>
      </w:r>
      <w:r>
        <w:rPr>
          <w:rStyle w:val="FootnoteReference"/>
          <w:b/>
          <w:noProof/>
        </w:rPr>
        <w:footnoteReference w:id="28"/>
      </w:r>
      <w:r>
        <w:rPr>
          <w:noProof/>
          <w:sz w:val="22"/>
        </w:rPr>
        <w:t xml:space="preserve"> </w:t>
      </w:r>
    </w:p>
    <w:p>
      <w:pPr>
        <w:pStyle w:val="Text1"/>
        <w:rPr>
          <w:noProof/>
          <w:sz w:val="22"/>
        </w:rPr>
      </w:pPr>
      <w:r>
        <w:rPr>
          <w:noProof/>
        </w:rPr>
        <w:sym w:font="Wingdings" w:char="F0FC"/>
      </w:r>
      <w:r>
        <w:rPr>
          <w:i/>
          <w:noProof/>
          <w:sz w:val="22"/>
        </w:rPr>
        <w:t xml:space="preserve"> </w:t>
      </w:r>
      <w:r>
        <w:rPr>
          <w:noProof/>
        </w:rPr>
        <w:t xml:space="preserve">Forslaget/initiativet vedrører </w:t>
      </w:r>
      <w:r>
        <w:rPr>
          <w:b/>
          <w:noProof/>
        </w:rPr>
        <w:t>en forlængelse af en eksisterende foranstaltning</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Forslaget/initiativet vedrører </w:t>
      </w:r>
      <w:r>
        <w:rPr>
          <w:b/>
          <w:noProof/>
        </w:rPr>
        <w:t>en omlægning af en foranstaltning til en ny foranstaltning</w:t>
      </w:r>
      <w:r>
        <w:rPr>
          <w:noProof/>
        </w:rPr>
        <w:t xml:space="preserve"> </w:t>
      </w:r>
    </w:p>
    <w:p>
      <w:pPr>
        <w:pStyle w:val="ManualHeading2"/>
        <w:rPr>
          <w:bCs/>
          <w:noProof/>
          <w:szCs w:val="24"/>
        </w:rPr>
      </w:pPr>
      <w:r>
        <w:t>1.4.</w:t>
      </w:r>
      <w:r>
        <w:tab/>
      </w:r>
      <w:r>
        <w:rPr>
          <w:noProof/>
        </w:rPr>
        <w:t>Mål</w:t>
      </w:r>
    </w:p>
    <w:p>
      <w:pPr>
        <w:pStyle w:val="ManualHeading3"/>
        <w:rPr>
          <w:noProof/>
        </w:rPr>
      </w:pPr>
      <w:r>
        <w:t>1.4.1.</w:t>
      </w:r>
      <w:r>
        <w:tab/>
      </w:r>
      <w:r>
        <w:rPr>
          <w:noProof/>
        </w:rPr>
        <w:t xml:space="preserve">Det eller de af Kommissionens flerårige strategiske mål, som forslaget/initiativet vedrører </w:t>
      </w:r>
    </w:p>
    <w:p>
      <w:pPr>
        <w:pStyle w:val="Text1"/>
        <w:pBdr>
          <w:top w:val="single" w:sz="4" w:space="1" w:color="auto"/>
          <w:left w:val="single" w:sz="4" w:space="4" w:color="auto"/>
          <w:bottom w:val="single" w:sz="4" w:space="1" w:color="auto"/>
          <w:right w:val="single" w:sz="4" w:space="4" w:color="auto"/>
        </w:pBdr>
        <w:rPr>
          <w:rFonts w:eastAsiaTheme="majorEastAsia"/>
          <w:bCs/>
          <w:i/>
          <w:noProof/>
        </w:rPr>
      </w:pPr>
      <w:r>
        <w:rPr>
          <w:noProof/>
        </w:rPr>
        <w:t xml:space="preserve">Målet med instrumentet er at fremme Unionens økonomiske, sociale og territoriale samhørighed ved at støtte medlemsstaternes indsats for at gennemføre de reformer, der er nødvendige for at opnå økonomisk og social genopretning, resiliens og konvergens, og støtte medlemsstaternes bestræbelser på at styrke deres administrative kapacitet til at gennemføre EU-retten i forbindelse med de udfordringer, som institutioner, statsforvaltninger, offentlige administrationer samt økonomiske og sociale sektorer står over for. </w:t>
      </w:r>
    </w:p>
    <w:p>
      <w:pPr>
        <w:pStyle w:val="ManualHeading3"/>
        <w:rPr>
          <w:bCs/>
          <w:noProof/>
          <w:szCs w:val="24"/>
        </w:rPr>
      </w:pPr>
      <w:r>
        <w:t>1.4.2.</w:t>
      </w:r>
      <w:r>
        <w:tab/>
      </w:r>
      <w:r>
        <w:rPr>
          <w:noProof/>
        </w:rPr>
        <w:t xml:space="preserve">Specifikke mål og berørte ABM/ABB-aktiviteter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Specifikt mål nr.</w:t>
      </w:r>
    </w:p>
    <w:p>
      <w:pPr>
        <w:pStyle w:val="Text1"/>
        <w:pBdr>
          <w:top w:val="single" w:sz="4" w:space="1" w:color="auto"/>
          <w:left w:val="single" w:sz="4" w:space="4" w:color="auto"/>
          <w:bottom w:val="single" w:sz="4" w:space="1" w:color="auto"/>
          <w:right w:val="single" w:sz="4" w:space="4" w:color="auto"/>
        </w:pBdr>
        <w:rPr>
          <w:noProof/>
        </w:rPr>
      </w:pPr>
      <w:r>
        <w:rPr>
          <w:noProof/>
        </w:rPr>
        <w:t>Instrumentet for teknisk støtte vil efter anmodning fra medlemsstaterne bistå de nationale myndigheder i deres bestræbelser på at forbedre deres kapacitet til at udforme, udvikle og gennemføre reformer, herunder ved udveksling af god praksis, hensigtsmæssige procedurer og metoder samt en mere effektiv og produktiv forvaltning af menneskelige ressourcer.</w:t>
      </w:r>
      <w:r>
        <w:rPr>
          <w:noProof/>
          <w:u w:val="single"/>
        </w:rPr>
        <w:t xml:space="preserve"> </w:t>
      </w:r>
    </w:p>
    <w:p>
      <w:pPr>
        <w:pStyle w:val="ManualHeading3"/>
        <w:rPr>
          <w:bCs/>
          <w:noProof/>
          <w:szCs w:val="24"/>
        </w:rPr>
      </w:pPr>
      <w:r>
        <w:rPr>
          <w:noProof/>
        </w:rPr>
        <w:br w:type="page"/>
      </w:r>
      <w:r>
        <w:t>1.4.3.</w:t>
      </w:r>
      <w:r>
        <w:tab/>
      </w:r>
      <w:r>
        <w:rPr>
          <w:noProof/>
        </w:rPr>
        <w:t>Forventede resultater og virkninger</w:t>
      </w:r>
    </w:p>
    <w:p>
      <w:pPr>
        <w:pStyle w:val="Text1"/>
        <w:rPr>
          <w:i/>
          <w:noProof/>
          <w:sz w:val="20"/>
        </w:rPr>
      </w:pPr>
      <w:r>
        <w:rPr>
          <w:i/>
          <w:noProof/>
          <w:sz w:val="20"/>
        </w:rPr>
        <w:t>Angiv, hvilke virkninger forslaget/initiativet forventes at få for modtagerne/målgruppen.</w:t>
      </w:r>
    </w:p>
    <w:p>
      <w:pPr>
        <w:pStyle w:val="Text1"/>
        <w:pBdr>
          <w:top w:val="single" w:sz="4" w:space="1" w:color="auto"/>
          <w:left w:val="single" w:sz="4" w:space="4" w:color="auto"/>
          <w:bottom w:val="single" w:sz="4" w:space="1" w:color="auto"/>
          <w:right w:val="single" w:sz="4" w:space="4" w:color="auto"/>
        </w:pBdr>
        <w:rPr>
          <w:noProof/>
        </w:rPr>
      </w:pPr>
      <w:r>
        <w:rPr>
          <w:noProof/>
        </w:rPr>
        <w:t>Teknisk støtte bør resultere i øget administrativ kapacitet i medlemsstaterne i forbindelse med deres gennemførelse af prioriterede reformer med henblik på at opnå økonomisk og social genopretning, resiliens og konvergens og deres gennemførelse af EU-retten på de relevante politikområder, hvor der (på anmodning) ydes en sådan støtte, nemlig offentlig finans- og kapitalforvaltning budgetproceduren, gældsforvaltning og forvaltning af indtægter, bekæmpelse af skatteunddragelse, institutionelle reformer, offentlig forvaltning og e-forvaltning, erhvervsklima, uddannelse og oplæring, sundhed, arbejdsmarkedet og gennemførelse af den digitale og den grønne omstilling og politikkerne for den finansielle sektor.</w:t>
      </w:r>
    </w:p>
    <w:p>
      <w:pPr>
        <w:pStyle w:val="ManualHeading3"/>
        <w:rPr>
          <w:bCs/>
          <w:noProof/>
          <w:szCs w:val="24"/>
        </w:rPr>
      </w:pPr>
      <w:r>
        <w:t>1.4.4.</w:t>
      </w:r>
      <w:r>
        <w:tab/>
      </w:r>
      <w:r>
        <w:rPr>
          <w:noProof/>
        </w:rPr>
        <w:t xml:space="preserve">Virknings- og resultatindikatorer </w:t>
      </w:r>
    </w:p>
    <w:p>
      <w:pPr>
        <w:pStyle w:val="Text1"/>
        <w:rPr>
          <w:i/>
          <w:noProof/>
          <w:sz w:val="20"/>
        </w:rPr>
      </w:pPr>
      <w:r>
        <w:rPr>
          <w:i/>
          <w:noProof/>
          <w:sz w:val="20"/>
        </w:rPr>
        <w:t>Angiv indikatorerne til kontrol af forslagets/initiativets gennemførelse.</w:t>
      </w:r>
    </w:p>
    <w:p>
      <w:pPr>
        <w:pStyle w:val="Text1"/>
        <w:pBdr>
          <w:top w:val="single" w:sz="4" w:space="1" w:color="auto"/>
          <w:left w:val="single" w:sz="4" w:space="4" w:color="auto"/>
          <w:bottom w:val="single" w:sz="4" w:space="1" w:color="auto"/>
          <w:right w:val="single" w:sz="4" w:space="4" w:color="auto"/>
        </w:pBdr>
        <w:rPr>
          <w:noProof/>
        </w:rPr>
      </w:pPr>
      <w:r>
        <w:rPr>
          <w:noProof/>
        </w:rPr>
        <w:t>Resultatindikatorerne vil blive brugt til at måle resultatet af de tekniske støtteaktiviteter, der udføres, f.eks. vedtagelse af en strategi, vedtagelse af ny lovgivning/retsakt eller ændring af (d)en eksisterende, vedtagelse af (nye) procedurer og aktioner til fremme af gennemførelsen af reformer.</w:t>
      </w:r>
    </w:p>
    <w:p>
      <w:pPr>
        <w:pStyle w:val="Text1"/>
        <w:pBdr>
          <w:top w:val="single" w:sz="4" w:space="1" w:color="auto"/>
          <w:left w:val="single" w:sz="4" w:space="4" w:color="auto"/>
          <w:bottom w:val="single" w:sz="4" w:space="1" w:color="auto"/>
          <w:right w:val="single" w:sz="4" w:space="4" w:color="auto"/>
        </w:pBdr>
        <w:rPr>
          <w:noProof/>
        </w:rPr>
      </w:pPr>
      <w:r>
        <w:rPr>
          <w:noProof/>
        </w:rPr>
        <w:t>Effektindikatorerne vil blive brugt til at måle de mål, der er fastsat i samarbejds- og støtteplanerne, som bl.a. er opnået som følge af den tekniske støtte, der er modtaget.</w:t>
      </w:r>
    </w:p>
    <w:p>
      <w:pPr>
        <w:pStyle w:val="ManualHeading2"/>
        <w:rPr>
          <w:bCs/>
          <w:noProof/>
          <w:szCs w:val="24"/>
        </w:rPr>
      </w:pPr>
      <w:r>
        <w:t>1.5.</w:t>
      </w:r>
      <w:r>
        <w:tab/>
      </w:r>
      <w:r>
        <w:rPr>
          <w:noProof/>
        </w:rPr>
        <w:t xml:space="preserve">Forslagets/initiativets begrundelse </w:t>
      </w:r>
    </w:p>
    <w:p>
      <w:pPr>
        <w:pStyle w:val="ManualHeading3"/>
        <w:rPr>
          <w:noProof/>
        </w:rPr>
      </w:pPr>
      <w:r>
        <w:t>1.5.1.</w:t>
      </w:r>
      <w:r>
        <w:tab/>
      </w:r>
      <w:r>
        <w:rPr>
          <w:noProof/>
        </w:rPr>
        <w:t xml:space="preserve">Behov, der skal opfyldes på kort eller lang sigt </w:t>
      </w:r>
    </w:p>
    <w:p>
      <w:pPr>
        <w:pStyle w:val="Text1"/>
        <w:pBdr>
          <w:top w:val="single" w:sz="4" w:space="1" w:color="auto"/>
          <w:left w:val="single" w:sz="4" w:space="4" w:color="auto"/>
          <w:bottom w:val="single" w:sz="4" w:space="1" w:color="auto"/>
          <w:right w:val="single" w:sz="4" w:space="4" w:color="auto"/>
        </w:pBdr>
        <w:rPr>
          <w:noProof/>
        </w:rPr>
      </w:pPr>
      <w:r>
        <w:rPr>
          <w:noProof/>
        </w:rPr>
        <w:t>Strukturreformer er varige ændringer af en økonomis struktur eller af den institutionelle og lovgivningsmæssige ramme, inden for hvilken erhvervslivet og befolkningen opererer. Hvis strukturreformerne er velvalgte og gennemføres korrekt, kan de støtte strategisk planlægning med henblik på økonomisk og social genopretning, resiliens og konvergens mellem medlemsstaterne. Dette forventes at ville få en solid genopretning på rette spor og fremme bæredygtig vækst i medlemsstaterne.</w:t>
      </w:r>
    </w:p>
    <w:p>
      <w:pPr>
        <w:pStyle w:val="Text1"/>
        <w:pBdr>
          <w:top w:val="single" w:sz="4" w:space="1" w:color="auto"/>
          <w:left w:val="single" w:sz="4" w:space="4" w:color="auto"/>
          <w:bottom w:val="single" w:sz="4" w:space="1" w:color="auto"/>
          <w:right w:val="single" w:sz="4" w:space="4" w:color="auto"/>
        </w:pBdr>
        <w:rPr>
          <w:rFonts w:eastAsiaTheme="majorEastAsia"/>
          <w:bCs/>
          <w:i/>
          <w:noProof/>
        </w:rPr>
      </w:pPr>
      <w:r>
        <w:rPr>
          <w:noProof/>
        </w:rPr>
        <w:t>Instrumentet for teknisk støtte har således til formål at støtte medlemsstaternes regeringer og andre myndigheder, efter anmodning fra disse, i deres bestræbelser på at udforme og gennemføre genopretningsfremmende strukturreformer. Formålet med instrumentet er at bidrage til det overordnede mål om at styrke samhørighed og økonomisk og social genopretning, resiliens og konvergens.</w:t>
      </w:r>
    </w:p>
    <w:p>
      <w:pPr>
        <w:pStyle w:val="ManualHeading3"/>
        <w:rPr>
          <w:bCs/>
          <w:noProof/>
          <w:szCs w:val="24"/>
        </w:rPr>
      </w:pPr>
      <w:r>
        <w:t>1.5.2.</w:t>
      </w:r>
      <w:r>
        <w:tab/>
      </w:r>
      <w:r>
        <w:rPr>
          <w:noProof/>
        </w:rPr>
        <w:t>Merværdien ved en indsats fra EU's side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Begrundelse for en indsats på EU-plan (forudgående) </w:t>
      </w:r>
    </w:p>
    <w:p>
      <w:pPr>
        <w:pStyle w:val="Text1"/>
        <w:pBdr>
          <w:top w:val="single" w:sz="4" w:space="1" w:color="auto"/>
          <w:left w:val="single" w:sz="4" w:space="4" w:color="auto"/>
          <w:bottom w:val="single" w:sz="4" w:space="1" w:color="auto"/>
          <w:right w:val="single" w:sz="4" w:space="4" w:color="auto"/>
        </w:pBdr>
        <w:rPr>
          <w:rFonts w:eastAsia="Arial Unicode MS"/>
          <w:noProof/>
        </w:rPr>
      </w:pPr>
      <w:r>
        <w:rPr>
          <w:noProof/>
        </w:rPr>
        <w:t>På baggrund af covid-19-udbruddet gør behovet for en strategisk genopretningsplan det nødvendigt fortsat at ledsage medlemsstaternes reformindsats med omfattende teknisk støtte for at styrke deres administrative kapacitet til at forberede og gennemføre de reformer, der vil fremme resiliens og understøtte genopretningen i dens sociale og økonomiens dimensioner.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I denne forbindelse giver det merværdi med et instrument på EU-plan, som vil sætte fokus på tilvejebringelse af skræddersyet ekspertise til gavn for alle medlemsstater, der anmoder om praktisk støtte. En sådan merværdi konkretiseres yderligere i den nødvendige institutionelle og administrative kapacitet til at gennemføre reformer og sikre, at medlemsstaterne er i stand til at få genopretningen på rette spor. </w:t>
      </w:r>
    </w:p>
    <w:p>
      <w:pPr>
        <w:pStyle w:val="Text1"/>
        <w:pBdr>
          <w:top w:val="single" w:sz="4" w:space="1" w:color="auto"/>
          <w:left w:val="single" w:sz="4" w:space="4" w:color="auto"/>
          <w:bottom w:val="single" w:sz="4" w:space="1" w:color="auto"/>
          <w:right w:val="single" w:sz="4" w:space="4" w:color="auto"/>
        </w:pBdr>
        <w:rPr>
          <w:noProof/>
        </w:rPr>
      </w:pPr>
      <w:r>
        <w:rPr>
          <w:noProof/>
        </w:rPr>
        <w:t>Desuden vil det tekniske støtteinstrument fremme gensidig tillid og yderligere samarbejde mellem medlemsstaterne og Kommissionen i deres fælles front over for de samfundsmæssige virkninger af covid-19-krisen.</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Forventet merværdi på EU-plan (ex post)</w:t>
      </w:r>
    </w:p>
    <w:p>
      <w:pPr>
        <w:pStyle w:val="Text1"/>
        <w:pBdr>
          <w:top w:val="single" w:sz="4" w:space="1" w:color="auto"/>
          <w:left w:val="single" w:sz="4" w:space="4" w:color="auto"/>
          <w:bottom w:val="single" w:sz="4" w:space="1" w:color="auto"/>
          <w:right w:val="single" w:sz="4" w:space="4" w:color="auto"/>
        </w:pBdr>
        <w:rPr>
          <w:noProof/>
          <w:u w:val="single"/>
        </w:rPr>
      </w:pPr>
      <w:r>
        <w:rPr>
          <w:noProof/>
        </w:rPr>
        <w:t>Mens gennemførelsen af strukturreformer i medlemsstaterne fortsat er en national kompetence, har de økonomiske og samfundsmæssige konsekvenser af den nuværende covid-19-krise understreget de stærke forbindelser mellem medlemsstaternes økonomier. Reformbestræbelserne for at understøtte genopretningen efter denne krise kan derfor ikke være et rent nationalt anliggende. Den økonomipolitiske samordning af genopretningen efter denne krise vil blive drøftet i forbindelse med det europæiske semester. Instrumentet for teknisk støtte vil sigte mod at ledsage de nationale myndigheder i de anmodende medlemsstater i alle faser eller på de specifikke trin i reformprocessen, herunder ved at yde yderligere støtte til gennemførelsen af reformer inden for rammerne af det europæiske semester. Det vil således bidrage til medlemsstaternes resiliens, konvergens samt økonomiske og sociale genopretning. Det vil derfor ikke alene have virkning på det rent nationale niveau, men vil også have positive afsmittende virkninger for Unionens genopretning som helhed.</w:t>
      </w:r>
    </w:p>
    <w:p>
      <w:pPr>
        <w:pStyle w:val="ManualHeading3"/>
        <w:rPr>
          <w:bCs/>
          <w:noProof/>
          <w:szCs w:val="24"/>
        </w:rPr>
      </w:pPr>
      <w:r>
        <w:t>1.5.3.</w:t>
      </w:r>
      <w:r>
        <w:tab/>
      </w:r>
      <w:r>
        <w:rPr>
          <w:noProof/>
        </w:rPr>
        <w:t>Erfaringer fra lignende foranstaltninger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Instrumentet for teknisk støtte er en videreførelse af det eksisterende støtteprogram for strukturreformer (SRSP) for perioden 2017-2020, som trådte i kraft den 20. maj 2017. </w:t>
      </w:r>
    </w:p>
    <w:p>
      <w:pPr>
        <w:pStyle w:val="Text1"/>
        <w:pBdr>
          <w:top w:val="single" w:sz="4" w:space="1" w:color="auto"/>
          <w:left w:val="single" w:sz="4" w:space="4" w:color="auto"/>
          <w:bottom w:val="single" w:sz="4" w:space="1" w:color="auto"/>
          <w:right w:val="single" w:sz="4" w:space="4" w:color="auto"/>
        </w:pBdr>
        <w:rPr>
          <w:noProof/>
        </w:rPr>
      </w:pPr>
      <w:r>
        <w:rPr>
          <w:noProof/>
        </w:rPr>
        <w:t>Der blev i et arbejdsdokument fra Kommissionens tjenestegrene, der ledsagede den uafhængige midtvejsevalueringsrapport af SRSP, som snart vil blive vedtaget af Kommissionen, foretaget en gennemgang af SRSP's resultater i forhold til evalueringskriterierne relevans, effektivitet, produktivitet, sammenhæng og EU-merværdi, og der blev draget en række erfaringer: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 SRSP's udformning er helt på linje med medlemsstaternes faktiske behov og fungerer som et passende instrument til at støtte medlemsstaterne i deres indsats for at styrke deres administrative og institutionelle kapacitet </w:t>
      </w:r>
    </w:p>
    <w:p>
      <w:pPr>
        <w:pStyle w:val="Text1"/>
        <w:pBdr>
          <w:top w:val="single" w:sz="4" w:space="1" w:color="auto"/>
          <w:left w:val="single" w:sz="4" w:space="4" w:color="auto"/>
          <w:bottom w:val="single" w:sz="4" w:space="1" w:color="auto"/>
          <w:right w:val="single" w:sz="4" w:space="4" w:color="auto"/>
        </w:pBdr>
        <w:rPr>
          <w:noProof/>
        </w:rPr>
      </w:pPr>
      <w:r>
        <w:rPr>
          <w:noProof/>
        </w:rPr>
        <w:t>- den høje grad af fleksibilitet og den omstændighed, at der ikke er noget krav om samfinansiering, gør det muligt at omsætte medlemsstaternes behov til gennemførlige foranstaltninger med realistiske tidsplaner og opfylde medlemsstatens forventninger.</w:t>
      </w:r>
    </w:p>
    <w:p>
      <w:pPr>
        <w:pStyle w:val="Text1"/>
        <w:pBdr>
          <w:top w:val="single" w:sz="4" w:space="1" w:color="auto"/>
          <w:left w:val="single" w:sz="4" w:space="4" w:color="auto"/>
          <w:bottom w:val="single" w:sz="4" w:space="1" w:color="auto"/>
          <w:right w:val="single" w:sz="4" w:space="4" w:color="auto"/>
        </w:pBdr>
        <w:rPr>
          <w:noProof/>
        </w:rPr>
      </w:pPr>
      <w:r>
        <w:rPr>
          <w:noProof/>
        </w:rPr>
        <w:t>- udveksling af god praksis mellem medlemsstaterne blev også evalueret som noget, der har en betydelig merværdi. Desuden er SRSP godt integreret i EU's økonomiske styringsproces</w:t>
      </w:r>
    </w:p>
    <w:p>
      <w:pPr>
        <w:pStyle w:val="Text1"/>
        <w:pBdr>
          <w:top w:val="single" w:sz="4" w:space="1" w:color="auto"/>
          <w:left w:val="single" w:sz="4" w:space="4" w:color="auto"/>
          <w:bottom w:val="single" w:sz="4" w:space="1" w:color="auto"/>
          <w:right w:val="single" w:sz="4" w:space="4" w:color="auto"/>
        </w:pBdr>
        <w:rPr>
          <w:noProof/>
        </w:rPr>
      </w:pPr>
      <w:r>
        <w:rPr>
          <w:noProof/>
        </w:rPr>
        <w:t>- de årlige cyklusser i SRSP og det europæiske semester komplementerer hinanden på passende vis, hvilket muliggør en omfattende og koordineret tilgang til strukturreformer i medlemsstaterne</w:t>
      </w:r>
    </w:p>
    <w:p>
      <w:pPr>
        <w:pStyle w:val="Text1"/>
        <w:pBdr>
          <w:top w:val="single" w:sz="4" w:space="1" w:color="auto"/>
          <w:left w:val="single" w:sz="4" w:space="4" w:color="auto"/>
          <w:bottom w:val="single" w:sz="4" w:space="1" w:color="auto"/>
          <w:right w:val="single" w:sz="4" w:space="4" w:color="auto"/>
        </w:pBdr>
        <w:rPr>
          <w:noProof/>
        </w:rPr>
      </w:pPr>
      <w:r>
        <w:rPr>
          <w:noProof/>
        </w:rPr>
        <w:t>- en høj grad af engagement fra alle interesserede parter, et højt niveau af ekspertise hos udbyderne af teknisk støtte og gunstige politiske omstændigheder betragtes som faktorer, der har en positiv indflydelse på SRSP's projektresultater, og</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manglende samarbejde mellem interesserede parter og skiftende eller usikre politiske omstændigheder anses for at have negativ indflydelse på gennemførelsen af tekniske støtteprojekter.</w:t>
      </w:r>
    </w:p>
    <w:p>
      <w:pPr>
        <w:pStyle w:val="ManualHeading3"/>
        <w:rPr>
          <w:bCs/>
          <w:noProof/>
          <w:szCs w:val="24"/>
        </w:rPr>
      </w:pPr>
      <w:r>
        <w:t>1.5.4.</w:t>
      </w:r>
      <w:r>
        <w:tab/>
      </w:r>
      <w:r>
        <w:rPr>
          <w:noProof/>
        </w:rPr>
        <w:t>Sammenhæng med andre relevante instrumenter og eventuel synergivirkning</w:t>
      </w:r>
    </w:p>
    <w:p>
      <w:pPr>
        <w:pStyle w:val="Text1"/>
        <w:pBdr>
          <w:top w:val="single" w:sz="4" w:space="1" w:color="auto"/>
          <w:left w:val="single" w:sz="4" w:space="4" w:color="auto"/>
          <w:bottom w:val="single" w:sz="4" w:space="1" w:color="auto"/>
          <w:right w:val="single" w:sz="4" w:space="4" w:color="auto"/>
        </w:pBdr>
        <w:rPr>
          <w:noProof/>
        </w:rPr>
      </w:pPr>
      <w:r>
        <w:rPr>
          <w:noProof/>
        </w:rPr>
        <w:t>Forslaget er i overensstemmelse med og sikrer komplementaritet og synergier med andre EU-politikker.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Forslaget om en genopretnings- og resiliensfacilitet har til formål at yde finansiel støtte til offentlige investeringer og reformer. Instrumentet for teknisk støtte vil skabe synergier med genopretnings- og resiliensfaciliteten ved at støtte udarbejdelsen og gennemførelsen af planerne og støtte reformer heraf under deres udarbejdelse og gennemførelse. Instrumentet for teknisk støtte er foreneligt med den tekniske bistand, der er til rådighed under samhørighedspolitikken, da denne tekniske bistand har streng fokus på at hjælpe de berørte parter med at opbygge kapacitet til at forvalte EU-fonde og fremme gennemførelsen af projekter, der samfinansieres via EU-fonde. Det knudepunkt for teknisk bistand, der er til rådighed under InvestEU, er ligeledes primært rettet mod forberedelse af store (private) investeringsprojekter og ikke mod strukturreformer. Derimod sigter instrumentet for teknisk støtte mod at yde støtte til langsigtede strukturreformer.  </w:t>
      </w:r>
    </w:p>
    <w:p>
      <w:pPr>
        <w:pStyle w:val="ManualHeading2"/>
        <w:rPr>
          <w:bCs/>
          <w:noProof/>
          <w:szCs w:val="24"/>
        </w:rPr>
      </w:pPr>
      <w:r>
        <w:rPr>
          <w:noProof/>
        </w:rPr>
        <w:br w:type="page"/>
      </w:r>
      <w:r>
        <w:t>1.6.</w:t>
      </w:r>
      <w:r>
        <w:tab/>
      </w:r>
      <w:r>
        <w:rPr>
          <w:noProof/>
        </w:rPr>
        <w:t xml:space="preserve">Varighed og finansielle virkninger </w:t>
      </w:r>
    </w:p>
    <w:p>
      <w:pPr>
        <w:pStyle w:val="Text1"/>
        <w:rPr>
          <w:noProof/>
        </w:rPr>
      </w:pPr>
      <w:r>
        <w:rPr>
          <w:noProof/>
        </w:rPr>
        <w:sym w:font="Wingdings" w:char="F0A8"/>
      </w:r>
      <w:r>
        <w:rPr>
          <w:b/>
          <w:i/>
          <w:noProof/>
        </w:rPr>
        <w:t xml:space="preserve"> </w:t>
      </w:r>
      <w:r>
        <w:rPr>
          <w:noProof/>
        </w:rPr>
        <w:t xml:space="preserve">Forslag/initiativ af </w:t>
      </w:r>
      <w:r>
        <w:rPr>
          <w:b/>
          <w:noProof/>
        </w:rPr>
        <w:t xml:space="preserve">begrænset varighed </w:t>
      </w:r>
    </w:p>
    <w:p>
      <w:pPr>
        <w:pStyle w:val="ListDash2"/>
        <w:rPr>
          <w:noProof/>
        </w:rPr>
      </w:pPr>
      <w:r>
        <w:rPr>
          <w:noProof/>
        </w:rPr>
        <w:sym w:font="Wingdings" w:char="F0A8"/>
      </w:r>
      <w:r>
        <w:rPr>
          <w:noProof/>
        </w:rPr>
        <w:tab/>
        <w:t xml:space="preserve">Forslag/initiativ gældende fra YYYY til YYYY </w:t>
      </w:r>
    </w:p>
    <w:p>
      <w:pPr>
        <w:pStyle w:val="ListDash2"/>
        <w:rPr>
          <w:noProof/>
        </w:rPr>
      </w:pPr>
      <w:r>
        <w:rPr>
          <w:noProof/>
        </w:rPr>
        <w:sym w:font="Wingdings" w:char="F0FC"/>
      </w:r>
      <w:r>
        <w:rPr>
          <w:noProof/>
        </w:rPr>
        <w:t xml:space="preserve">Finansielle virkninger fra 2021 til 2027 </w:t>
      </w:r>
    </w:p>
    <w:p>
      <w:pPr>
        <w:pStyle w:val="Text1"/>
        <w:rPr>
          <w:noProof/>
        </w:rPr>
      </w:pPr>
      <w:r>
        <w:rPr>
          <w:noProof/>
        </w:rPr>
        <w:sym w:font="Wingdings" w:char="F0A8"/>
      </w:r>
      <w:r>
        <w:rPr>
          <w:b/>
          <w:i/>
          <w:noProof/>
        </w:rPr>
        <w:t xml:space="preserve"> </w:t>
      </w:r>
      <w:r>
        <w:rPr>
          <w:noProof/>
        </w:rPr>
        <w:t xml:space="preserve">Forslag/initiativ af </w:t>
      </w:r>
      <w:r>
        <w:rPr>
          <w:b/>
          <w:noProof/>
        </w:rPr>
        <w:t>ubegrænset varighed</w:t>
      </w:r>
    </w:p>
    <w:p>
      <w:pPr>
        <w:pStyle w:val="ListDash1"/>
        <w:rPr>
          <w:noProof/>
        </w:rPr>
      </w:pPr>
      <w:r>
        <w:rPr>
          <w:noProof/>
        </w:rPr>
        <w:t>Iværksættelse med en indkøringsperiode fra YYYY til YYYY</w:t>
      </w:r>
    </w:p>
    <w:p>
      <w:pPr>
        <w:pStyle w:val="ListDash1"/>
        <w:rPr>
          <w:noProof/>
        </w:rPr>
      </w:pPr>
      <w:r>
        <w:rPr>
          <w:noProof/>
        </w:rPr>
        <w:t>derefter gennemførelse i fuldt omfang.</w:t>
      </w:r>
    </w:p>
    <w:p>
      <w:pPr>
        <w:pStyle w:val="ManualHeading2"/>
        <w:rPr>
          <w:bCs/>
          <w:noProof/>
          <w:szCs w:val="24"/>
        </w:rPr>
      </w:pPr>
      <w:r>
        <w:t>1.7.</w:t>
      </w:r>
      <w:r>
        <w:tab/>
      </w:r>
      <w:r>
        <w:rPr>
          <w:noProof/>
        </w:rPr>
        <w:t>Påtænkt(e) forvaltningsmetode(r)</w:t>
      </w:r>
      <w:r>
        <w:rPr>
          <w:rStyle w:val="FootnoteReference"/>
          <w:noProof/>
        </w:rPr>
        <w:footnoteReference w:id="29"/>
      </w:r>
      <w:r>
        <w:rPr>
          <w:rStyle w:val="FootnoteReference"/>
          <w:noProof/>
        </w:rPr>
        <w:t xml:space="preserve">  </w:t>
      </w:r>
    </w:p>
    <w:p>
      <w:pPr>
        <w:pStyle w:val="Text1"/>
        <w:rPr>
          <w:noProof/>
        </w:rPr>
      </w:pPr>
      <w:r>
        <w:rPr>
          <w:i/>
          <w:noProof/>
        </w:rPr>
        <w:t xml:space="preserve"> </w:t>
      </w:r>
      <w:r>
        <w:rPr>
          <w:noProof/>
        </w:rPr>
        <w:sym w:font="Wingdings" w:char="F0FC"/>
      </w:r>
      <w:r>
        <w:rPr>
          <w:i/>
          <w:noProof/>
        </w:rPr>
        <w:t xml:space="preserve"> </w:t>
      </w:r>
      <w:r>
        <w:rPr>
          <w:b/>
          <w:noProof/>
        </w:rPr>
        <w:t>Direkte forvaltning</w:t>
      </w:r>
      <w:r>
        <w:rPr>
          <w:noProof/>
        </w:rPr>
        <w:t xml:space="preserve"> ved Kommissionen</w:t>
      </w:r>
    </w:p>
    <w:p>
      <w:pPr>
        <w:pStyle w:val="ListDash2"/>
        <w:rPr>
          <w:rFonts w:cs="EUAlbertina"/>
          <w:noProof/>
        </w:rPr>
      </w:pPr>
      <w:r>
        <w:rPr>
          <w:noProof/>
        </w:rPr>
        <w:sym w:font="Wingdings" w:char="F0FC"/>
      </w:r>
      <w:r>
        <w:rPr>
          <w:i/>
          <w:noProof/>
        </w:rPr>
        <w:t xml:space="preserve"> </w:t>
      </w:r>
      <w:r>
        <w:rPr>
          <w:noProof/>
        </w:rPr>
        <w:t xml:space="preserve">i dens tjenestegrene, herunder ved dens personale i EU's delegationer </w:t>
      </w:r>
    </w:p>
    <w:p>
      <w:pPr>
        <w:pStyle w:val="ListDash2"/>
        <w:rPr>
          <w:noProof/>
        </w:rPr>
      </w:pPr>
      <w:r>
        <w:rPr>
          <w:noProof/>
        </w:rPr>
        <w:sym w:font="Wingdings" w:char="F0A8"/>
      </w:r>
      <w:r>
        <w:rPr>
          <w:noProof/>
        </w:rPr>
        <w:tab/>
        <w:t xml:space="preserve">i gennemførelsesorganer </w:t>
      </w:r>
    </w:p>
    <w:p>
      <w:pPr>
        <w:pStyle w:val="Text1"/>
        <w:rPr>
          <w:noProof/>
        </w:rPr>
      </w:pPr>
      <w:r>
        <w:rPr>
          <w:noProof/>
        </w:rPr>
        <w:sym w:font="Wingdings" w:char="F0A8"/>
      </w:r>
      <w:r>
        <w:rPr>
          <w:b/>
          <w:i/>
          <w:noProof/>
        </w:rPr>
        <w:t xml:space="preserve"> </w:t>
      </w:r>
      <w:r>
        <w:rPr>
          <w:b/>
          <w:noProof/>
        </w:rPr>
        <w:t>Delt forvaltning</w:t>
      </w:r>
      <w:r>
        <w:rPr>
          <w:noProof/>
        </w:rPr>
        <w:t xml:space="preserve"> i samarbejde med medlemsstaterne </w:t>
      </w:r>
    </w:p>
    <w:p>
      <w:pPr>
        <w:pStyle w:val="Text1"/>
        <w:rPr>
          <w:noProof/>
        </w:rPr>
      </w:pPr>
      <w:r>
        <w:rPr>
          <w:noProof/>
        </w:rPr>
        <w:sym w:font="Wingdings" w:char="F0FC"/>
      </w:r>
      <w:r>
        <w:rPr>
          <w:i/>
          <w:noProof/>
        </w:rPr>
        <w:t xml:space="preserve"> </w:t>
      </w:r>
      <w:r>
        <w:rPr>
          <w:b/>
          <w:noProof/>
        </w:rPr>
        <w:t>Indirekte forvaltning</w:t>
      </w:r>
      <w:r>
        <w:rPr>
          <w:noProof/>
        </w:rPr>
        <w:t xml:space="preserve"> ved at overlade budgetgennemførelsesopgaver til:</w:t>
      </w:r>
    </w:p>
    <w:p>
      <w:pPr>
        <w:pStyle w:val="ListDash2"/>
        <w:rPr>
          <w:noProof/>
        </w:rPr>
      </w:pPr>
      <w:r>
        <w:rPr>
          <w:noProof/>
        </w:rPr>
        <w:sym w:font="Wingdings" w:char="F0A8"/>
      </w:r>
      <w:r>
        <w:rPr>
          <w:noProof/>
        </w:rPr>
        <w:t xml:space="preserve"> tredjelande eller organer, som tredjelande har udpeget</w:t>
      </w:r>
    </w:p>
    <w:p>
      <w:pPr>
        <w:pStyle w:val="ListDash2"/>
        <w:rPr>
          <w:noProof/>
        </w:rPr>
      </w:pPr>
      <w:r>
        <w:rPr>
          <w:noProof/>
        </w:rPr>
        <w:sym w:font="Wingdings" w:char="F0FC"/>
      </w:r>
      <w:r>
        <w:rPr>
          <w:i/>
          <w:noProof/>
        </w:rPr>
        <w:t xml:space="preserve"> </w:t>
      </w:r>
      <w:r>
        <w:rPr>
          <w:noProof/>
        </w:rPr>
        <w:t>internationale organisationer og deres organer (angives nærmere)</w:t>
      </w:r>
    </w:p>
    <w:p>
      <w:pPr>
        <w:pStyle w:val="ListDash2"/>
        <w:rPr>
          <w:noProof/>
        </w:rPr>
      </w:pPr>
      <w:r>
        <w:rPr>
          <w:noProof/>
        </w:rPr>
        <w:sym w:font="Wingdings" w:char="F0FC"/>
      </w:r>
      <w:r>
        <w:rPr>
          <w:i/>
          <w:noProof/>
        </w:rPr>
        <w:t xml:space="preserve"> </w:t>
      </w:r>
      <w:r>
        <w:rPr>
          <w:noProof/>
        </w:rPr>
        <w:t>Den Europæiske Investeringsbank og Den Europæiske Investeringsfond</w:t>
      </w:r>
    </w:p>
    <w:p>
      <w:pPr>
        <w:pStyle w:val="ListDash2"/>
        <w:rPr>
          <w:noProof/>
        </w:rPr>
      </w:pPr>
      <w:r>
        <w:rPr>
          <w:noProof/>
        </w:rPr>
        <w:sym w:font="Wingdings" w:char="F0A8"/>
      </w:r>
      <w:r>
        <w:rPr>
          <w:noProof/>
        </w:rPr>
        <w:t xml:space="preserve"> de organer, der er omhandlet i finansforordningens artikel 208 og 209</w:t>
      </w:r>
    </w:p>
    <w:p>
      <w:pPr>
        <w:pStyle w:val="ListDash2"/>
        <w:rPr>
          <w:noProof/>
        </w:rPr>
      </w:pPr>
      <w:r>
        <w:rPr>
          <w:noProof/>
        </w:rPr>
        <w:sym w:font="Wingdings" w:char="F0FC"/>
      </w:r>
      <w:r>
        <w:rPr>
          <w:i/>
          <w:noProof/>
        </w:rPr>
        <w:t xml:space="preserve"> </w:t>
      </w:r>
      <w:r>
        <w:rPr>
          <w:noProof/>
        </w:rPr>
        <w:t>offentligretlige organer</w:t>
      </w:r>
    </w:p>
    <w:p>
      <w:pPr>
        <w:pStyle w:val="ListDash2"/>
        <w:rPr>
          <w:noProof/>
        </w:rPr>
      </w:pPr>
      <w:r>
        <w:rPr>
          <w:noProof/>
        </w:rPr>
        <w:sym w:font="Wingdings" w:char="F0FC"/>
      </w:r>
      <w:r>
        <w:rPr>
          <w:i/>
          <w:noProof/>
        </w:rPr>
        <w:t xml:space="preserve"> </w:t>
      </w:r>
      <w:r>
        <w:rPr>
          <w:noProof/>
        </w:rPr>
        <w:t>privatretlige organer, der har fået overdraget samfundsopgaver, forudsat at de stiller tilstrækkelige finansielle garantier</w:t>
      </w:r>
    </w:p>
    <w:p>
      <w:pPr>
        <w:pStyle w:val="ListDash2"/>
        <w:rPr>
          <w:noProof/>
        </w:rPr>
      </w:pPr>
      <w:r>
        <w:rPr>
          <w:noProof/>
        </w:rPr>
        <w:sym w:font="Wingdings" w:char="F0A8"/>
      </w:r>
      <w:r>
        <w:rPr>
          <w:noProof/>
        </w:rPr>
        <w:t xml:space="preserve"> privatretlige organer, undergivet lovgivningen i en medlemsstat, som har fået overdraget gennemførelsen af et offentlig-privat partnerskab, og som stiller tilstrækkelige finansielle garantier</w:t>
      </w:r>
    </w:p>
    <w:p>
      <w:pPr>
        <w:pStyle w:val="ListDash2"/>
        <w:rPr>
          <w:noProof/>
        </w:rPr>
      </w:pPr>
      <w:r>
        <w:rPr>
          <w:noProof/>
        </w:rPr>
        <w:sym w:font="Wingdings" w:char="F0A8"/>
      </w:r>
      <w:r>
        <w:rPr>
          <w:noProof/>
        </w:rPr>
        <w:t xml:space="preserve"> personer, der har fået overdraget gennemførelsen af specifikke aktioner i den fælles udenrigs- og sikkerhedspolitik i henhold til afsnit V i traktaten om Den Europæiske Union, og som er udpeget i den relevante basisretsakt</w:t>
      </w:r>
    </w:p>
    <w:p>
      <w:pPr>
        <w:pStyle w:val="ListDash2"/>
        <w:rPr>
          <w:i/>
          <w:noProof/>
          <w:sz w:val="18"/>
          <w:u w:val="single"/>
        </w:rPr>
      </w:pPr>
      <w:r>
        <w:rPr>
          <w:i/>
          <w:noProof/>
          <w:sz w:val="18"/>
        </w:rPr>
        <w:t>Hvis der angives flere forvaltningsmetoder, gives der en nærmere forklaring i afsnittet "Bemærkninger".</w:t>
      </w:r>
    </w:p>
    <w:p>
      <w:pPr>
        <w:rPr>
          <w:noProof/>
        </w:rPr>
      </w:pPr>
      <w:r>
        <w:rPr>
          <w:noProof/>
        </w:rPr>
        <w:t xml:space="preserve">Bemærkninger </w:t>
      </w:r>
    </w:p>
    <w:p>
      <w:pPr>
        <w:pBdr>
          <w:top w:val="single" w:sz="4" w:space="1" w:color="auto"/>
          <w:left w:val="single" w:sz="4" w:space="4" w:color="auto"/>
          <w:bottom w:val="single" w:sz="4" w:space="1" w:color="auto"/>
          <w:right w:val="single" w:sz="4" w:space="4" w:color="auto"/>
        </w:pBdr>
        <w:rPr>
          <w:noProof/>
        </w:rPr>
      </w:pPr>
      <w:r>
        <w:rPr>
          <w:noProof/>
        </w:rPr>
        <w:t>Ikke relevant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FORVALTNINGSFORANSTALTNINGER </w:t>
      </w:r>
    </w:p>
    <w:p>
      <w:pPr>
        <w:pStyle w:val="ManualHeading2"/>
        <w:rPr>
          <w:noProof/>
        </w:rPr>
      </w:pPr>
      <w:r>
        <w:t>2.1.</w:t>
      </w:r>
      <w:r>
        <w:tab/>
      </w:r>
      <w:r>
        <w:rPr>
          <w:noProof/>
        </w:rPr>
        <w:t xml:space="preserve">Bestemmelser om kontrol og rapportering </w:t>
      </w:r>
    </w:p>
    <w:p>
      <w:pPr>
        <w:pStyle w:val="Text1"/>
        <w:rPr>
          <w:i/>
          <w:noProof/>
          <w:sz w:val="20"/>
          <w:u w:val="single"/>
        </w:rPr>
      </w:pPr>
      <w:r>
        <w:rPr>
          <w:i/>
          <w:noProof/>
          <w:sz w:val="20"/>
        </w:rPr>
        <w:t>Angiv hyppighed og betingelser.</w:t>
      </w:r>
    </w:p>
    <w:p>
      <w:pPr>
        <w:pStyle w:val="Text1"/>
        <w:pBdr>
          <w:top w:val="single" w:sz="4" w:space="1" w:color="auto"/>
          <w:left w:val="single" w:sz="4" w:space="4" w:color="auto"/>
          <w:bottom w:val="single" w:sz="4" w:space="1" w:color="auto"/>
          <w:right w:val="single" w:sz="4" w:space="4" w:color="auto"/>
        </w:pBdr>
        <w:rPr>
          <w:noProof/>
        </w:rPr>
      </w:pPr>
      <w:r>
        <w:rPr>
          <w:noProof/>
        </w:rPr>
        <w:t>Forslaget indeholder kontrol- og evalueringsforpligtelser. Opfyldelsen af de specifikke mål vil blive overvåget på grundlag af indikatorerne i forslaget; Kommissionen vil hvert år aflægge rapport til Europa-Parlamentet og Rådet om gennemførelsen af forordningen.</w:t>
      </w:r>
    </w:p>
    <w:p>
      <w:pPr>
        <w:pStyle w:val="Text1"/>
        <w:pBdr>
          <w:top w:val="single" w:sz="4" w:space="1" w:color="auto"/>
          <w:left w:val="single" w:sz="4" w:space="4" w:color="auto"/>
          <w:bottom w:val="single" w:sz="4" w:space="1" w:color="auto"/>
          <w:right w:val="single" w:sz="4" w:space="4" w:color="auto"/>
        </w:pBdr>
        <w:rPr>
          <w:noProof/>
        </w:rPr>
      </w:pPr>
      <w:r>
        <w:rPr>
          <w:noProof/>
        </w:rPr>
        <w:t>Kommissionen vil forelægge Europa-Parlamentet og Rådet en foreløbig evalueringsrapport og en efterfølgende evalueringsrapport.</w:t>
      </w:r>
    </w:p>
    <w:p>
      <w:pPr>
        <w:pStyle w:val="Text1"/>
        <w:pBdr>
          <w:top w:val="single" w:sz="4" w:space="1" w:color="auto"/>
          <w:left w:val="single" w:sz="4" w:space="4" w:color="auto"/>
          <w:bottom w:val="single" w:sz="4" w:space="1" w:color="auto"/>
          <w:right w:val="single" w:sz="4" w:space="4" w:color="auto"/>
        </w:pBdr>
        <w:rPr>
          <w:noProof/>
        </w:rPr>
      </w:pPr>
      <w:r>
        <w:rPr>
          <w:noProof/>
        </w:rPr>
        <w:t>Midtvejsevalueringsrapporten vil indeholde oplysninger om opfyldelsen af forordningens mål samt om dens effektivitet, produktivitet, relevans, sammenhæng og EU-merværdi. Den vil også se på, om alle målene og aktionerne stadig er relevante. Den efterfølgende evalueringsrapport vil bestå af en samlet vurdering af forordningen og indeholde oplysninger om dets virkninger på lang sigt.</w:t>
      </w:r>
    </w:p>
    <w:p>
      <w:pPr>
        <w:pStyle w:val="ManualHeading2"/>
        <w:rPr>
          <w:bCs/>
          <w:noProof/>
          <w:szCs w:val="24"/>
        </w:rPr>
      </w:pPr>
      <w:r>
        <w:t>2.2.</w:t>
      </w:r>
      <w:r>
        <w:tab/>
      </w:r>
      <w:r>
        <w:rPr>
          <w:noProof/>
        </w:rPr>
        <w:t xml:space="preserve">Forvaltnings- og kontrolsystem </w:t>
      </w:r>
    </w:p>
    <w:p>
      <w:pPr>
        <w:pStyle w:val="ManualHeading3"/>
        <w:rPr>
          <w:noProof/>
        </w:rPr>
      </w:pPr>
      <w:r>
        <w:t>2.2.1.</w:t>
      </w:r>
      <w:r>
        <w:tab/>
      </w:r>
      <w:r>
        <w:rPr>
          <w:noProof/>
        </w:rPr>
        <w:t xml:space="preserve">Konstaterede risici </w:t>
      </w:r>
    </w:p>
    <w:p>
      <w:pPr>
        <w:pStyle w:val="Text1"/>
        <w:pBdr>
          <w:top w:val="single" w:sz="4" w:space="1" w:color="auto"/>
          <w:left w:val="single" w:sz="4" w:space="4" w:color="auto"/>
          <w:bottom w:val="single" w:sz="4" w:space="1" w:color="auto"/>
          <w:right w:val="single" w:sz="4" w:space="4" w:color="auto"/>
        </w:pBdr>
        <w:rPr>
          <w:noProof/>
        </w:rPr>
      </w:pPr>
      <w:r>
        <w:rPr>
          <w:noProof/>
        </w:rPr>
        <w:t>De risici, der vedrører udvælgelsen af partnere (f.eks. internationale finansielle institutioner (IFI'er) og støttemodtagere), kontraktindgåelsesfasen (omsættelse af Kommissionens krav i kontraktlig dokumentation), overvågning og finansielle transaktioner (manglende overholdelse af processer foreskrevet af Kommissionen) og resultatmåling (manglende opfyldelse af foruddefinerede mål/målsætninger).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foranstaltninger, der vil blive iværksat for at afbøde risiciene, er følgende: </w:t>
      </w:r>
    </w:p>
    <w:p>
      <w:pPr>
        <w:pStyle w:val="Text1"/>
        <w:pBdr>
          <w:top w:val="single" w:sz="4" w:space="1" w:color="auto"/>
          <w:left w:val="single" w:sz="4" w:space="4" w:color="auto"/>
          <w:bottom w:val="single" w:sz="4" w:space="1" w:color="auto"/>
          <w:right w:val="single" w:sz="4" w:space="4" w:color="auto"/>
        </w:pBdr>
        <w:jc w:val="left"/>
        <w:rPr>
          <w:rFonts w:eastAsiaTheme="majorEastAsia"/>
          <w:bCs/>
          <w:i/>
          <w:noProof/>
        </w:rPr>
      </w:pPr>
      <w:r>
        <w:rPr>
          <w:noProof/>
        </w:rPr>
        <w:t>- at følge den fastsatte evalueringsprocedure, før der træffes afgørelse om tildeling</w:t>
      </w:r>
    </w:p>
    <w:p>
      <w:pPr>
        <w:pStyle w:val="Text1"/>
        <w:pBdr>
          <w:top w:val="single" w:sz="4" w:space="1" w:color="auto"/>
          <w:left w:val="single" w:sz="4" w:space="4" w:color="auto"/>
          <w:bottom w:val="single" w:sz="4" w:space="1" w:color="auto"/>
          <w:right w:val="single" w:sz="4" w:space="4" w:color="auto"/>
        </w:pBdr>
        <w:jc w:val="left"/>
        <w:rPr>
          <w:rFonts w:eastAsiaTheme="majorEastAsia"/>
          <w:bCs/>
          <w:i/>
          <w:noProof/>
        </w:rPr>
      </w:pPr>
      <w:r>
        <w:rPr>
          <w:noProof/>
        </w:rPr>
        <w:t xml:space="preserve">- forudgående kontrol foretaget af programmets forvaltningstjeneste og finansiel kontrol foretaget af finanstjenesten </w:t>
      </w:r>
    </w:p>
    <w:p>
      <w:pPr>
        <w:pStyle w:val="Text1"/>
        <w:pBdr>
          <w:top w:val="single" w:sz="4" w:space="1" w:color="auto"/>
          <w:left w:val="single" w:sz="4" w:space="4" w:color="auto"/>
          <w:bottom w:val="single" w:sz="4" w:space="1" w:color="auto"/>
          <w:right w:val="single" w:sz="4" w:space="4" w:color="auto"/>
        </w:pBdr>
        <w:jc w:val="left"/>
        <w:rPr>
          <w:rFonts w:eastAsiaTheme="majorEastAsia"/>
          <w:bCs/>
          <w:i/>
          <w:noProof/>
        </w:rPr>
      </w:pPr>
      <w:r>
        <w:rPr>
          <w:noProof/>
        </w:rPr>
        <w:t>- hierarkisk validering af transaktioner gennem de relevante kredsløb</w:t>
      </w:r>
    </w:p>
    <w:p>
      <w:pPr>
        <w:pStyle w:val="Text1"/>
        <w:pBdr>
          <w:top w:val="single" w:sz="4" w:space="1" w:color="auto"/>
          <w:left w:val="single" w:sz="4" w:space="4" w:color="auto"/>
          <w:bottom w:val="single" w:sz="4" w:space="1" w:color="auto"/>
          <w:right w:val="single" w:sz="4" w:space="4" w:color="auto"/>
        </w:pBdr>
        <w:jc w:val="left"/>
        <w:rPr>
          <w:rFonts w:eastAsiaTheme="majorEastAsia"/>
          <w:bCs/>
          <w:i/>
          <w:noProof/>
        </w:rPr>
      </w:pPr>
      <w:r>
        <w:rPr>
          <w:noProof/>
        </w:rPr>
        <w:t>- forudgående vurdering (søjlevurdering) for bemyndiget enhed og</w:t>
      </w:r>
    </w:p>
    <w:p>
      <w:pPr>
        <w:pStyle w:val="Text1"/>
        <w:pBdr>
          <w:top w:val="single" w:sz="4" w:space="1" w:color="auto"/>
          <w:left w:val="single" w:sz="4" w:space="4" w:color="auto"/>
          <w:bottom w:val="single" w:sz="4" w:space="1" w:color="auto"/>
          <w:right w:val="single" w:sz="4" w:space="4" w:color="auto"/>
        </w:pBdr>
        <w:jc w:val="left"/>
        <w:rPr>
          <w:rFonts w:eastAsiaTheme="majorEastAsia"/>
          <w:bCs/>
          <w:i/>
          <w:noProof/>
        </w:rPr>
      </w:pPr>
      <w:r>
        <w:rPr>
          <w:noProof/>
        </w:rPr>
        <w:t>- efterfølgende kontrol for at afhjælpe systemiske svagheder ved forudgående kontroller og bidrage til korrektioner for uretmæssigt udbetalte beløb.</w:t>
      </w:r>
    </w:p>
    <w:p>
      <w:pPr>
        <w:pStyle w:val="ManualHeading3"/>
        <w:rPr>
          <w:bCs/>
          <w:noProof/>
          <w:szCs w:val="24"/>
        </w:rPr>
      </w:pPr>
      <w:r>
        <w:t>2.2.2.</w:t>
      </w:r>
      <w:r>
        <w:tab/>
      </w:r>
      <w:r>
        <w:rPr>
          <w:noProof/>
        </w:rPr>
        <w:t>Oplysninger om det interne kontrolsystem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Instrumentet kan gennemføres enten direkte af Kommissionen eller indirekte, jf. finansforordningens artikel 62, stk. 1, litra c). Instrumentet bygger på erfaringerne med SRSP, som har været underlagt direkte og indirekte forvaltning, hvor den administrative enkelthed har vist sig at være et positivt element. For at sikre kontinuitet og bevare sammenhængen inden for rammen er direkte forvaltning (og, når det er relevant, indirekte forvaltning) den bedste løsning. Hvis det er hensigtsmæssigt i lyset af politikmålene og under hensyntagen til kontrolmålene, vil der også blive anvendt indirekte forvaltning med internationale organisationer. Kontrolstrategien anses for passende og afbalanceret med hensyn til at imødegå den traditionelle risiko ved direkte eller indirekte forvaltning af (indkøb og tilskud og bidragsaftaler som beskrevet i punkt 2.2.1). </w:t>
      </w:r>
    </w:p>
    <w:p>
      <w:pPr>
        <w:pStyle w:val="ManualHeading3"/>
        <w:rPr>
          <w:noProof/>
        </w:rPr>
      </w:pPr>
      <w:r>
        <w:t>2.2.3.</w:t>
      </w:r>
      <w:r>
        <w:tab/>
      </w:r>
      <w:r>
        <w:rPr>
          <w:noProof/>
        </w:rPr>
        <w:t xml:space="preserve">Anslåede omkostninger og fordele ved kontrollen samt forventet fejlrisiko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Baseret på de seneste oplysninger (tilgængelige i forvaltningsplanen og den årlige aktivitetsrapport for Strukturreformtjenesten (SRSS) for 2018 (nu GD REFORM)) viser vurderingen af omkostningseffektiviteten, at kontroludgifterne udgør under 5 %.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Personaleudgifterne er beregnet på grundlag af skøn baseret på en analyse af organisationsplan og stillingsbeskrivelser, samtidig med at de eksterne omkostninger til kontrol er baseret på værdien af de respektive kontrakter og hertil hørende betalinger. </w:t>
      </w:r>
    </w:p>
    <w:p>
      <w:pPr>
        <w:pStyle w:val="Text1"/>
        <w:pBdr>
          <w:top w:val="single" w:sz="4" w:space="1" w:color="auto"/>
          <w:left w:val="single" w:sz="4" w:space="4" w:color="auto"/>
          <w:bottom w:val="single" w:sz="4" w:space="1" w:color="auto"/>
          <w:right w:val="single" w:sz="4" w:space="4" w:color="auto"/>
        </w:pBdr>
        <w:rPr>
          <w:rFonts w:eastAsiaTheme="majorEastAsia"/>
          <w:bCs/>
          <w:i/>
          <w:noProof/>
        </w:rPr>
      </w:pPr>
      <w:r>
        <w:rPr>
          <w:noProof/>
        </w:rPr>
        <w:t>I betragtning af de forvaltningsmetoder, der foreslås, risikovurderingen og den foreslåede begrænsning af risici, forventes fejlraten at ville være lav.</w:t>
      </w:r>
    </w:p>
    <w:p>
      <w:pPr>
        <w:pStyle w:val="ManualHeading2"/>
        <w:rPr>
          <w:bCs/>
          <w:noProof/>
          <w:szCs w:val="24"/>
        </w:rPr>
      </w:pPr>
      <w:r>
        <w:t>2.3.</w:t>
      </w:r>
      <w:r>
        <w:tab/>
      </w:r>
      <w:r>
        <w:rPr>
          <w:noProof/>
        </w:rPr>
        <w:t xml:space="preserve">Foranstaltninger til forebyggelse af svig og uregelmæssigheder </w:t>
      </w:r>
    </w:p>
    <w:p>
      <w:pPr>
        <w:pStyle w:val="Text1"/>
        <w:rPr>
          <w:i/>
          <w:noProof/>
          <w:sz w:val="20"/>
        </w:rPr>
      </w:pPr>
      <w:r>
        <w:rPr>
          <w:i/>
          <w:noProof/>
          <w:sz w:val="20"/>
        </w:rPr>
        <w:t>Angiv eksisterende eller påtænkte forebyggelses- og beskyttelsesforanstaltninger.</w:t>
      </w:r>
    </w:p>
    <w:p>
      <w:pPr>
        <w:pStyle w:val="Text1"/>
        <w:pBdr>
          <w:top w:val="single" w:sz="4" w:space="1" w:color="auto"/>
          <w:left w:val="single" w:sz="4" w:space="4" w:color="auto"/>
          <w:bottom w:val="single" w:sz="4" w:space="1" w:color="auto"/>
          <w:right w:val="single" w:sz="4" w:space="4" w:color="auto"/>
        </w:pBdr>
        <w:rPr>
          <w:noProof/>
        </w:rPr>
      </w:pPr>
      <w:r>
        <w:rPr>
          <w:noProof/>
        </w:rPr>
        <w:t>Der er truffet forskellige foranstaltninger i forbindelse med instrumentet for at forebygge svig og uregelmæssigheder.</w:t>
      </w:r>
    </w:p>
    <w:p>
      <w:pPr>
        <w:pStyle w:val="Text1"/>
        <w:pBdr>
          <w:top w:val="single" w:sz="4" w:space="1" w:color="auto"/>
          <w:left w:val="single" w:sz="4" w:space="4" w:color="auto"/>
          <w:bottom w:val="single" w:sz="4" w:space="1" w:color="auto"/>
          <w:right w:val="single" w:sz="4" w:space="4" w:color="auto"/>
        </w:pBdr>
        <w:rPr>
          <w:noProof/>
        </w:rPr>
      </w:pPr>
      <w:r>
        <w:rPr>
          <w:noProof/>
        </w:rPr>
        <w:t xml:space="preserve">I overensstemmelse med Kommissionens strategi for bekæmpelse af svig, der dækker hele udgiftscyklussen, vil GD REFORM iværksætte en særlig handlingsplan for bekæmpelse af svig i forbindelse med disse udgifter, under hensyntagen til proportionalitetsprincippet og cost-benefit for de foranstaltninger, der skal gennemføres. Dette vil i stort omfang være baseret på de erfaringer, der er opnået ved GD REFORM's anvendelse af den nuværende strategi til bekæmpelse af svig. </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Der vil blive anvendt passende interne kontrolprocedurer på alle niveauer i forvaltningen, og de vil blive udformet, så de giver en rimelig sikkerhed for, at følgende mål opfyldes: effektivitet, produktivitet og sparsommelighed i forbindelse med transaktionerne, pålidelig rapportering, beskyttelse af aktiver og oplysninger, tilfredsstillende styring af risiciene i forbindelse med de underliggende transaktioners lovlighed og formelle rigtighed samt forebyggelse, afsløring, korrektion og opfølgning af svig og uregelmæssigheder. </w:t>
      </w:r>
    </w:p>
    <w:p>
      <w:pPr>
        <w:pStyle w:val="Text1"/>
        <w:pBdr>
          <w:top w:val="single" w:sz="4" w:space="1" w:color="auto"/>
          <w:left w:val="single" w:sz="4" w:space="4" w:color="auto"/>
          <w:bottom w:val="single" w:sz="4" w:space="1" w:color="auto"/>
          <w:right w:val="single" w:sz="4" w:space="4" w:color="auto"/>
        </w:pBdr>
        <w:rPr>
          <w:rFonts w:eastAsiaTheme="majorEastAsia"/>
          <w:b/>
          <w:bCs/>
          <w:noProof/>
          <w:szCs w:val="26"/>
        </w:rPr>
      </w:pPr>
      <w:r>
        <w:rPr>
          <w:noProof/>
        </w:rPr>
        <w:t xml:space="preserve">Handlingsplanen for bekæmpelse af svig vil indeholde en beskrivelse af systemet med forudgående og efterfølgende kontrol, som er baseret på et system med advarselsindikatorer, og præcisere, hvilke procedurer personalet skal følges, hvis der opdages svig eller uregelmæssigheder. Den vil også indeholde oplysninger om samarbejdet med OLAF.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FORSLAGETS/INITIATIVETS ANSLÅEDE FINANSIELLE VIRKNINGER </w:t>
      </w:r>
    </w:p>
    <w:p>
      <w:pPr>
        <w:pStyle w:val="ManualHeading2"/>
        <w:rPr>
          <w:noProof/>
        </w:rPr>
      </w:pPr>
      <w:r>
        <w:t>3.1.</w:t>
      </w:r>
      <w:r>
        <w:tab/>
      </w:r>
      <w:r>
        <w:rPr>
          <w:noProof/>
        </w:rPr>
        <w:t xml:space="preserve">Berørt(e) udgiftspost(er) på budgettet og udgiftsområde(r) i den flerårige finansielle ramme </w:t>
      </w:r>
    </w:p>
    <w:p>
      <w:pPr>
        <w:pStyle w:val="ListBullet1"/>
        <w:rPr>
          <w:noProof/>
        </w:rPr>
      </w:pPr>
      <w:r>
        <w:rPr>
          <w:noProof/>
        </w:rPr>
        <w:t xml:space="preserve">Eksisterende udgiftsposter på budgettet </w:t>
      </w:r>
    </w:p>
    <w:p>
      <w:pPr>
        <w:pStyle w:val="Text1"/>
        <w:rPr>
          <w:noProof/>
        </w:rPr>
      </w:pPr>
      <w:r>
        <w:rPr>
          <w:noProof/>
          <w:u w:val="single"/>
        </w:rPr>
        <w:t>I samme rækkefølge</w:t>
      </w:r>
      <w:r>
        <w:rPr>
          <w:noProof/>
        </w:rPr>
        <w:t xml:space="preserve"> som udgiftsområderne i den flerårige finansielle ramme og budgetposterne.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Udgifts</w:t>
            </w:r>
            <w:r>
              <w:rPr>
                <w:noProof/>
                <w:sz w:val="18"/>
              </w:rPr>
              <w:softHyphen/>
              <w:t>område i den flerårige finansielle ramme</w:t>
            </w:r>
          </w:p>
        </w:tc>
        <w:tc>
          <w:tcPr>
            <w:tcW w:w="3960" w:type="dxa"/>
            <w:vAlign w:val="center"/>
          </w:tcPr>
          <w:p>
            <w:pPr>
              <w:spacing w:before="60" w:after="60"/>
              <w:jc w:val="center"/>
              <w:rPr>
                <w:noProof/>
                <w:sz w:val="22"/>
              </w:rPr>
            </w:pPr>
            <w:r>
              <w:rPr>
                <w:noProof/>
                <w:sz w:val="20"/>
              </w:rPr>
              <w:t>Budgetpost</w:t>
            </w:r>
          </w:p>
        </w:tc>
        <w:tc>
          <w:tcPr>
            <w:tcW w:w="1080" w:type="dxa"/>
            <w:vAlign w:val="center"/>
          </w:tcPr>
          <w:p>
            <w:pPr>
              <w:spacing w:before="60" w:after="60"/>
              <w:jc w:val="center"/>
              <w:rPr>
                <w:noProof/>
                <w:sz w:val="22"/>
              </w:rPr>
            </w:pPr>
            <w:r>
              <w:rPr>
                <w:noProof/>
                <w:sz w:val="18"/>
              </w:rPr>
              <w:t>Udgifternes</w:t>
            </w:r>
            <w:r>
              <w:rPr>
                <w:noProof/>
              </w:rPr>
              <w:t xml:space="preserve"> </w:t>
            </w:r>
            <w:r>
              <w:rPr>
                <w:noProof/>
              </w:rPr>
              <w:br/>
            </w:r>
            <w:r>
              <w:rPr>
                <w:noProof/>
                <w:sz w:val="18"/>
              </w:rPr>
              <w:t>art</w:t>
            </w:r>
          </w:p>
        </w:tc>
        <w:tc>
          <w:tcPr>
            <w:tcW w:w="4440" w:type="dxa"/>
            <w:gridSpan w:val="4"/>
            <w:vAlign w:val="center"/>
          </w:tcPr>
          <w:p>
            <w:pPr>
              <w:spacing w:before="60" w:after="60"/>
              <w:jc w:val="center"/>
              <w:rPr>
                <w:noProof/>
                <w:sz w:val="22"/>
              </w:rPr>
            </w:pPr>
            <w:r>
              <w:rPr>
                <w:noProof/>
                <w:sz w:val="20"/>
              </w:rPr>
              <w:t xml:space="preserve">Bidrag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Nummer</w:t>
            </w:r>
            <w:r>
              <w:rPr>
                <w:noProof/>
              </w:rPr>
              <w:t xml:space="preserve"> </w:t>
            </w:r>
            <w:r>
              <w:rPr>
                <w:noProof/>
              </w:rPr>
              <w:br/>
            </w:r>
            <w:r>
              <w:rPr>
                <w:noProof/>
                <w:sz w:val="20"/>
              </w:rPr>
              <w:t>Udgiftsområde 2: Samhørighed og værdier</w:t>
            </w:r>
          </w:p>
        </w:tc>
        <w:tc>
          <w:tcPr>
            <w:tcW w:w="1080" w:type="dxa"/>
            <w:vAlign w:val="center"/>
          </w:tcPr>
          <w:p>
            <w:pPr>
              <w:jc w:val="center"/>
              <w:rPr>
                <w:noProof/>
                <w:sz w:val="22"/>
              </w:rPr>
            </w:pPr>
            <w:r>
              <w:rPr>
                <w:noProof/>
                <w:sz w:val="18"/>
              </w:rPr>
              <w:t>OB/IOB</w:t>
            </w:r>
            <w:r>
              <w:rPr>
                <w:rStyle w:val="FootnoteReference"/>
                <w:noProof/>
                <w:sz w:val="18"/>
              </w:rPr>
              <w:footnoteReference w:id="30"/>
            </w:r>
          </w:p>
        </w:tc>
        <w:tc>
          <w:tcPr>
            <w:tcW w:w="956" w:type="dxa"/>
            <w:vAlign w:val="center"/>
          </w:tcPr>
          <w:p>
            <w:pPr>
              <w:jc w:val="center"/>
              <w:rPr>
                <w:noProof/>
                <w:sz w:val="22"/>
              </w:rPr>
            </w:pPr>
            <w:r>
              <w:rPr>
                <w:noProof/>
                <w:sz w:val="18"/>
              </w:rPr>
              <w:t>fra EFTA</w:t>
            </w:r>
            <w:r>
              <w:rPr>
                <w:noProof/>
                <w:sz w:val="18"/>
              </w:rPr>
              <w:softHyphen/>
              <w:t>lande</w:t>
            </w:r>
            <w:r>
              <w:rPr>
                <w:rStyle w:val="FootnoteReference"/>
                <w:noProof/>
                <w:sz w:val="18"/>
              </w:rPr>
              <w:footnoteReference w:id="31"/>
            </w:r>
          </w:p>
          <w:p>
            <w:pPr>
              <w:spacing w:before="0" w:after="0"/>
              <w:jc w:val="center"/>
              <w:rPr>
                <w:b/>
                <w:noProof/>
                <w:sz w:val="18"/>
              </w:rPr>
            </w:pPr>
          </w:p>
        </w:tc>
        <w:tc>
          <w:tcPr>
            <w:tcW w:w="1080" w:type="dxa"/>
            <w:vAlign w:val="center"/>
          </w:tcPr>
          <w:p>
            <w:pPr>
              <w:jc w:val="center"/>
              <w:rPr>
                <w:noProof/>
                <w:sz w:val="22"/>
              </w:rPr>
            </w:pPr>
            <w:r>
              <w:rPr>
                <w:noProof/>
                <w:sz w:val="18"/>
              </w:rPr>
              <w:t>fra kandidat</w:t>
            </w:r>
            <w:r>
              <w:rPr>
                <w:noProof/>
                <w:sz w:val="18"/>
              </w:rPr>
              <w:softHyphen/>
              <w:t>lande</w:t>
            </w:r>
            <w:r>
              <w:rPr>
                <w:rStyle w:val="FootnoteReference"/>
                <w:noProof/>
                <w:sz w:val="18"/>
              </w:rPr>
              <w:footnoteReference w:id="32"/>
            </w:r>
          </w:p>
          <w:p>
            <w:pPr>
              <w:spacing w:before="0" w:after="0"/>
              <w:jc w:val="center"/>
              <w:rPr>
                <w:noProof/>
                <w:sz w:val="18"/>
              </w:rPr>
            </w:pPr>
          </w:p>
        </w:tc>
        <w:tc>
          <w:tcPr>
            <w:tcW w:w="956" w:type="dxa"/>
            <w:vAlign w:val="center"/>
          </w:tcPr>
          <w:p>
            <w:pPr>
              <w:jc w:val="center"/>
              <w:rPr>
                <w:noProof/>
                <w:sz w:val="18"/>
              </w:rPr>
            </w:pPr>
            <w:r>
              <w:rPr>
                <w:noProof/>
                <w:sz w:val="18"/>
              </w:rPr>
              <w:t>fra tredje</w:t>
            </w:r>
            <w:r>
              <w:rPr>
                <w:noProof/>
                <w:sz w:val="18"/>
              </w:rPr>
              <w:softHyphen/>
              <w:t>lande</w:t>
            </w:r>
          </w:p>
        </w:tc>
        <w:tc>
          <w:tcPr>
            <w:tcW w:w="1448" w:type="dxa"/>
            <w:vAlign w:val="center"/>
          </w:tcPr>
          <w:p>
            <w:pPr>
              <w:jc w:val="center"/>
              <w:rPr>
                <w:noProof/>
                <w:sz w:val="22"/>
              </w:rPr>
            </w:pPr>
            <w:r>
              <w:rPr>
                <w:noProof/>
                <w:sz w:val="16"/>
              </w:rPr>
              <w:t>iht. finans</w:t>
            </w:r>
            <w:r>
              <w:rPr>
                <w:noProof/>
                <w:sz w:val="16"/>
              </w:rPr>
              <w:softHyphen/>
              <w:t>forord</w:t>
            </w:r>
            <w:r>
              <w:rPr>
                <w:noProof/>
                <w:sz w:val="16"/>
              </w:rPr>
              <w:softHyphen/>
              <w:t xml:space="preserve">ningens artikel 21, stk. 2, litra b) </w:t>
            </w:r>
          </w:p>
        </w:tc>
      </w:tr>
      <w:tr>
        <w:tc>
          <w:tcPr>
            <w:tcW w:w="1080" w:type="dxa"/>
            <w:vAlign w:val="center"/>
          </w:tcPr>
          <w:p>
            <w:pPr>
              <w:jc w:val="center"/>
              <w:rPr>
                <w:noProof/>
                <w:color w:val="0000FF"/>
                <w:sz w:val="22"/>
              </w:rPr>
            </w:pPr>
            <w:r>
              <w:rPr>
                <w:noProof/>
                <w:color w:val="0000FF"/>
                <w:sz w:val="22"/>
              </w:rPr>
              <w:t>2</w:t>
            </w:r>
          </w:p>
        </w:tc>
        <w:tc>
          <w:tcPr>
            <w:tcW w:w="3960" w:type="dxa"/>
            <w:vAlign w:val="center"/>
          </w:tcPr>
          <w:p>
            <w:pPr>
              <w:spacing w:before="60"/>
              <w:rPr>
                <w:noProof/>
                <w:sz w:val="22"/>
              </w:rPr>
            </w:pPr>
            <w:r>
              <w:t xml:space="preserve"> </w:t>
            </w:r>
            <w:r>
              <w:rPr>
                <w:noProof/>
                <w:color w:val="0000FF"/>
                <w:sz w:val="22"/>
              </w:rPr>
              <w:t>06.01 04 01 (Udgifter til støttefunktioner i forbindelse med instrumentet for teknisk støtte — TSI)</w:t>
            </w:r>
          </w:p>
        </w:tc>
        <w:tc>
          <w:tcPr>
            <w:tcW w:w="1080" w:type="dxa"/>
            <w:vAlign w:val="center"/>
          </w:tcPr>
          <w:p>
            <w:pPr>
              <w:jc w:val="center"/>
              <w:rPr>
                <w:noProof/>
                <w:color w:val="0000FF"/>
                <w:sz w:val="22"/>
              </w:rPr>
            </w:pPr>
            <w:r>
              <w:rPr>
                <w:noProof/>
                <w:sz w:val="22"/>
              </w:rPr>
              <w:t>OB/IOB</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r>
        <w:tc>
          <w:tcPr>
            <w:tcW w:w="1080" w:type="dxa"/>
            <w:vAlign w:val="center"/>
          </w:tcPr>
          <w:p>
            <w:pPr>
              <w:jc w:val="center"/>
              <w:rPr>
                <w:noProof/>
                <w:color w:val="0000FF"/>
                <w:sz w:val="22"/>
              </w:rPr>
            </w:pPr>
            <w:r>
              <w:rPr>
                <w:noProof/>
                <w:color w:val="0000FF"/>
                <w:sz w:val="22"/>
              </w:rPr>
              <w:t>2</w:t>
            </w:r>
          </w:p>
        </w:tc>
        <w:tc>
          <w:tcPr>
            <w:tcW w:w="3960" w:type="dxa"/>
            <w:vAlign w:val="center"/>
          </w:tcPr>
          <w:p>
            <w:pPr>
              <w:spacing w:before="60"/>
            </w:pPr>
            <w:r>
              <w:t>06.02.02 (TSI – operationel teknisk støtte)</w:t>
            </w:r>
          </w:p>
        </w:tc>
        <w:tc>
          <w:tcPr>
            <w:tcW w:w="1080" w:type="dxa"/>
            <w:vAlign w:val="center"/>
          </w:tcPr>
          <w:p>
            <w:pPr>
              <w:jc w:val="center"/>
              <w:rPr>
                <w:noProof/>
                <w:sz w:val="22"/>
              </w:rPr>
            </w:pPr>
            <w:r>
              <w:rPr>
                <w:noProof/>
                <w:sz w:val="22"/>
              </w:rPr>
              <w:t>IOB</w:t>
            </w:r>
          </w:p>
        </w:tc>
        <w:tc>
          <w:tcPr>
            <w:tcW w:w="956" w:type="dxa"/>
            <w:vAlign w:val="center"/>
          </w:tcPr>
          <w:p>
            <w:pPr>
              <w:jc w:val="center"/>
              <w:rPr>
                <w:noProof/>
                <w:sz w:val="22"/>
              </w:rPr>
            </w:pPr>
            <w:r>
              <w:rPr>
                <w:noProof/>
                <w:sz w:val="22"/>
              </w:rPr>
              <w:t>NEJ</w:t>
            </w:r>
          </w:p>
        </w:tc>
        <w:tc>
          <w:tcPr>
            <w:tcW w:w="1080" w:type="dxa"/>
            <w:vAlign w:val="center"/>
          </w:tcPr>
          <w:p>
            <w:pPr>
              <w:jc w:val="center"/>
              <w:rPr>
                <w:noProof/>
                <w:sz w:val="22"/>
              </w:rPr>
            </w:pPr>
            <w:r>
              <w:rPr>
                <w:noProof/>
                <w:sz w:val="22"/>
              </w:rPr>
              <w:t>NEJ</w:t>
            </w:r>
          </w:p>
        </w:tc>
        <w:tc>
          <w:tcPr>
            <w:tcW w:w="956" w:type="dxa"/>
            <w:vAlign w:val="center"/>
          </w:tcPr>
          <w:p>
            <w:pPr>
              <w:jc w:val="center"/>
              <w:rPr>
                <w:noProof/>
                <w:sz w:val="22"/>
              </w:rPr>
            </w:pPr>
            <w:r>
              <w:rPr>
                <w:noProof/>
                <w:sz w:val="22"/>
              </w:rPr>
              <w:t>NEJ</w:t>
            </w:r>
          </w:p>
        </w:tc>
        <w:tc>
          <w:tcPr>
            <w:tcW w:w="1448" w:type="dxa"/>
            <w:vAlign w:val="center"/>
          </w:tcPr>
          <w:p>
            <w:pPr>
              <w:jc w:val="center"/>
              <w:rPr>
                <w:noProof/>
                <w:sz w:val="22"/>
              </w:rPr>
            </w:pPr>
            <w:r>
              <w:rPr>
                <w:noProof/>
                <w:sz w:val="22"/>
              </w:rPr>
              <w:t>NEJ</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Anslåede virkninger for udgifterne </w:t>
      </w:r>
    </w:p>
    <w:p>
      <w:pPr>
        <w:pStyle w:val="ManualHeading3"/>
        <w:rPr>
          <w:noProof/>
          <w:u w:val="single"/>
        </w:rPr>
      </w:pPr>
      <w:r>
        <w:t>3.2.1.</w:t>
      </w:r>
      <w:r>
        <w:tab/>
      </w:r>
      <w:r>
        <w:rPr>
          <w:noProof/>
        </w:rPr>
        <w:t xml:space="preserve">Sammenfatning af de anslåede virkninger for udgifterne </w:t>
      </w:r>
    </w:p>
    <w:p>
      <w:pPr>
        <w:jc w:val="right"/>
        <w:rPr>
          <w:noProof/>
          <w:sz w:val="20"/>
        </w:rPr>
      </w:pPr>
      <w:r>
        <w:rPr>
          <w:noProof/>
          <w:sz w:val="20"/>
        </w:rPr>
        <w:t>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Udgifts</w:t>
            </w:r>
            <w:r>
              <w:rPr>
                <w:b/>
                <w:noProof/>
                <w:sz w:val="22"/>
              </w:rPr>
              <w:softHyphen/>
              <w:t xml:space="preserve">område i den flerårige finansielle ramme </w:t>
            </w:r>
          </w:p>
        </w:tc>
        <w:tc>
          <w:tcPr>
            <w:tcW w:w="1080" w:type="dxa"/>
            <w:vAlign w:val="center"/>
          </w:tcPr>
          <w:p>
            <w:pPr>
              <w:spacing w:before="60" w:after="60"/>
              <w:jc w:val="center"/>
              <w:rPr>
                <w:noProof/>
                <w:sz w:val="22"/>
              </w:rPr>
            </w:pPr>
            <w:r>
              <w:rPr>
                <w:noProof/>
                <w:sz w:val="22"/>
              </w:rPr>
              <w:t>2</w:t>
            </w:r>
          </w:p>
        </w:tc>
        <w:tc>
          <w:tcPr>
            <w:tcW w:w="7817" w:type="dxa"/>
            <w:vAlign w:val="center"/>
          </w:tcPr>
          <w:p>
            <w:pPr>
              <w:spacing w:before="60" w:after="60"/>
              <w:rPr>
                <w:noProof/>
                <w:sz w:val="22"/>
              </w:rPr>
            </w:pPr>
            <w:r>
              <w:rPr>
                <w:noProof/>
                <w:sz w:val="22"/>
              </w:rPr>
              <w:t>Samhørighed og værdier</w:t>
            </w:r>
          </w:p>
        </w:tc>
      </w:tr>
    </w:tbl>
    <w:p>
      <w:pPr>
        <w:rPr>
          <w:noProof/>
          <w:sz w:val="16"/>
        </w:rPr>
      </w:pPr>
    </w:p>
    <w:tbl>
      <w:tblPr>
        <w:tblW w:w="148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6"/>
        <w:gridCol w:w="1438"/>
        <w:gridCol w:w="120"/>
        <w:gridCol w:w="533"/>
        <w:gridCol w:w="867"/>
        <w:gridCol w:w="867"/>
        <w:gridCol w:w="867"/>
        <w:gridCol w:w="867"/>
        <w:gridCol w:w="898"/>
        <w:gridCol w:w="898"/>
        <w:gridCol w:w="898"/>
        <w:gridCol w:w="898"/>
        <w:gridCol w:w="1775"/>
      </w:tblGrid>
      <w:tr>
        <w:trPr>
          <w:trHeight w:val="720"/>
        </w:trPr>
        <w:tc>
          <w:tcPr>
            <w:tcW w:w="3956" w:type="dxa"/>
            <w:vAlign w:val="center"/>
          </w:tcPr>
          <w:p>
            <w:pPr>
              <w:spacing w:before="0" w:after="200" w:line="276" w:lineRule="auto"/>
              <w:jc w:val="center"/>
              <w:rPr>
                <w:noProof/>
                <w:sz w:val="22"/>
              </w:rPr>
            </w:pPr>
            <w:r>
              <w:rPr>
                <w:noProof/>
                <w:sz w:val="22"/>
              </w:rPr>
              <w:t>GD REFORM</w:t>
            </w:r>
          </w:p>
        </w:tc>
        <w:tc>
          <w:tcPr>
            <w:tcW w:w="1558" w:type="dxa"/>
            <w:gridSpan w:val="2"/>
          </w:tcPr>
          <w:p>
            <w:pPr>
              <w:spacing w:before="0" w:after="200" w:line="276" w:lineRule="auto"/>
              <w:jc w:val="left"/>
              <w:rPr>
                <w:noProof/>
                <w:sz w:val="20"/>
              </w:rPr>
            </w:pPr>
          </w:p>
        </w:tc>
        <w:tc>
          <w:tcPr>
            <w:tcW w:w="533" w:type="dxa"/>
          </w:tcPr>
          <w:p>
            <w:pPr>
              <w:spacing w:before="0" w:after="200" w:line="276" w:lineRule="auto"/>
              <w:jc w:val="center"/>
              <w:rPr>
                <w:noProof/>
                <w:sz w:val="20"/>
              </w:rPr>
            </w:pPr>
          </w:p>
        </w:tc>
        <w:tc>
          <w:tcPr>
            <w:tcW w:w="867" w:type="dxa"/>
            <w:vAlign w:val="center"/>
          </w:tcPr>
          <w:p>
            <w:pPr>
              <w:spacing w:before="0" w:after="200" w:line="276" w:lineRule="auto"/>
              <w:jc w:val="center"/>
              <w:rPr>
                <w:noProof/>
                <w:sz w:val="20"/>
              </w:rPr>
            </w:pPr>
            <w:r>
              <w:rPr>
                <w:noProof/>
                <w:sz w:val="20"/>
              </w:rPr>
              <w:t>År</w:t>
            </w:r>
            <w:r>
              <w:rPr>
                <w:noProof/>
              </w:rPr>
              <w:t xml:space="preserve"> </w:t>
            </w:r>
            <w:r>
              <w:rPr>
                <w:noProof/>
              </w:rPr>
              <w:br/>
            </w:r>
            <w:r>
              <w:rPr>
                <w:b/>
                <w:noProof/>
                <w:sz w:val="20"/>
              </w:rPr>
              <w:t>2021</w:t>
            </w:r>
          </w:p>
        </w:tc>
        <w:tc>
          <w:tcPr>
            <w:tcW w:w="867" w:type="dxa"/>
            <w:vAlign w:val="center"/>
          </w:tcPr>
          <w:p>
            <w:pPr>
              <w:spacing w:before="0" w:after="200" w:line="276" w:lineRule="auto"/>
              <w:jc w:val="center"/>
              <w:rPr>
                <w:noProof/>
                <w:sz w:val="20"/>
              </w:rPr>
            </w:pPr>
            <w:r>
              <w:rPr>
                <w:noProof/>
                <w:sz w:val="20"/>
              </w:rPr>
              <w:t>År</w:t>
            </w:r>
            <w:r>
              <w:rPr>
                <w:noProof/>
              </w:rPr>
              <w:t xml:space="preserve"> </w:t>
            </w:r>
            <w:r>
              <w:rPr>
                <w:noProof/>
              </w:rPr>
              <w:br/>
            </w:r>
            <w:r>
              <w:rPr>
                <w:b/>
                <w:noProof/>
                <w:sz w:val="20"/>
              </w:rPr>
              <w:t>2022</w:t>
            </w:r>
          </w:p>
        </w:tc>
        <w:tc>
          <w:tcPr>
            <w:tcW w:w="867" w:type="dxa"/>
            <w:vAlign w:val="center"/>
          </w:tcPr>
          <w:p>
            <w:pPr>
              <w:spacing w:before="0" w:after="200" w:line="276" w:lineRule="auto"/>
              <w:jc w:val="center"/>
              <w:rPr>
                <w:noProof/>
                <w:sz w:val="20"/>
              </w:rPr>
            </w:pPr>
            <w:r>
              <w:rPr>
                <w:noProof/>
                <w:sz w:val="20"/>
              </w:rPr>
              <w:t>År</w:t>
            </w:r>
            <w:r>
              <w:rPr>
                <w:noProof/>
              </w:rPr>
              <w:t xml:space="preserve"> </w:t>
            </w:r>
            <w:r>
              <w:rPr>
                <w:noProof/>
              </w:rPr>
              <w:br/>
            </w:r>
            <w:r>
              <w:rPr>
                <w:b/>
                <w:noProof/>
                <w:sz w:val="20"/>
              </w:rPr>
              <w:t>2023</w:t>
            </w:r>
          </w:p>
        </w:tc>
        <w:tc>
          <w:tcPr>
            <w:tcW w:w="867" w:type="dxa"/>
            <w:vAlign w:val="center"/>
          </w:tcPr>
          <w:p>
            <w:pPr>
              <w:spacing w:before="0" w:after="200" w:line="276" w:lineRule="auto"/>
              <w:jc w:val="center"/>
              <w:rPr>
                <w:noProof/>
                <w:sz w:val="20"/>
              </w:rPr>
            </w:pPr>
            <w:r>
              <w:rPr>
                <w:noProof/>
                <w:sz w:val="20"/>
              </w:rPr>
              <w:t>År</w:t>
            </w:r>
            <w:r>
              <w:rPr>
                <w:noProof/>
              </w:rPr>
              <w:t xml:space="preserve"> </w:t>
            </w:r>
            <w:r>
              <w:rPr>
                <w:noProof/>
              </w:rPr>
              <w:br/>
            </w:r>
            <w:r>
              <w:rPr>
                <w:b/>
                <w:noProof/>
                <w:sz w:val="20"/>
              </w:rPr>
              <w:t>2024</w:t>
            </w:r>
          </w:p>
        </w:tc>
        <w:tc>
          <w:tcPr>
            <w:tcW w:w="898" w:type="dxa"/>
          </w:tcPr>
          <w:p>
            <w:pPr>
              <w:spacing w:before="0" w:after="200" w:line="276" w:lineRule="auto"/>
              <w:jc w:val="center"/>
              <w:rPr>
                <w:noProof/>
                <w:sz w:val="18"/>
              </w:rPr>
            </w:pPr>
            <w:r>
              <w:rPr>
                <w:noProof/>
                <w:sz w:val="20"/>
              </w:rPr>
              <w:t>År</w:t>
            </w:r>
            <w:r>
              <w:rPr>
                <w:noProof/>
              </w:rPr>
              <w:t xml:space="preserve"> </w:t>
            </w:r>
            <w:r>
              <w:rPr>
                <w:noProof/>
              </w:rPr>
              <w:br/>
            </w:r>
            <w:r>
              <w:rPr>
                <w:b/>
                <w:noProof/>
                <w:sz w:val="20"/>
              </w:rPr>
              <w:t>2025</w:t>
            </w:r>
          </w:p>
        </w:tc>
        <w:tc>
          <w:tcPr>
            <w:tcW w:w="898" w:type="dxa"/>
          </w:tcPr>
          <w:p>
            <w:pPr>
              <w:spacing w:before="0" w:after="200" w:line="276" w:lineRule="auto"/>
              <w:jc w:val="center"/>
              <w:rPr>
                <w:noProof/>
                <w:sz w:val="18"/>
              </w:rPr>
            </w:pPr>
            <w:r>
              <w:rPr>
                <w:noProof/>
                <w:sz w:val="20"/>
              </w:rPr>
              <w:t>År</w:t>
            </w:r>
            <w:r>
              <w:rPr>
                <w:noProof/>
              </w:rPr>
              <w:t xml:space="preserve"> </w:t>
            </w:r>
            <w:r>
              <w:rPr>
                <w:noProof/>
              </w:rPr>
              <w:br/>
            </w:r>
            <w:r>
              <w:rPr>
                <w:b/>
                <w:noProof/>
                <w:sz w:val="20"/>
              </w:rPr>
              <w:t>2026</w:t>
            </w:r>
          </w:p>
        </w:tc>
        <w:tc>
          <w:tcPr>
            <w:tcW w:w="898" w:type="dxa"/>
          </w:tcPr>
          <w:p>
            <w:pPr>
              <w:spacing w:before="0" w:after="200" w:line="276" w:lineRule="auto"/>
              <w:jc w:val="center"/>
              <w:rPr>
                <w:noProof/>
                <w:sz w:val="18"/>
              </w:rPr>
            </w:pPr>
            <w:r>
              <w:rPr>
                <w:noProof/>
                <w:sz w:val="20"/>
              </w:rPr>
              <w:t>År</w:t>
            </w:r>
            <w:r>
              <w:rPr>
                <w:noProof/>
              </w:rPr>
              <w:t xml:space="preserve"> </w:t>
            </w:r>
            <w:r>
              <w:rPr>
                <w:noProof/>
              </w:rPr>
              <w:br/>
            </w:r>
            <w:r>
              <w:rPr>
                <w:b/>
                <w:noProof/>
                <w:sz w:val="20"/>
              </w:rPr>
              <w:t>2027</w:t>
            </w:r>
          </w:p>
        </w:tc>
        <w:tc>
          <w:tcPr>
            <w:tcW w:w="898" w:type="dxa"/>
          </w:tcPr>
          <w:p>
            <w:pPr>
              <w:spacing w:before="0" w:after="200" w:line="276" w:lineRule="auto"/>
              <w:jc w:val="center"/>
              <w:rPr>
                <w:noProof/>
                <w:sz w:val="18"/>
              </w:rPr>
            </w:pPr>
            <w:r>
              <w:rPr>
                <w:noProof/>
                <w:sz w:val="18"/>
              </w:rPr>
              <w:t xml:space="preserve">Efter </w:t>
            </w:r>
            <w:r>
              <w:rPr>
                <w:b/>
                <w:noProof/>
                <w:sz w:val="18"/>
              </w:rPr>
              <w:t>2027</w:t>
            </w:r>
          </w:p>
        </w:tc>
        <w:tc>
          <w:tcPr>
            <w:tcW w:w="1775" w:type="dxa"/>
            <w:vAlign w:val="center"/>
          </w:tcPr>
          <w:p>
            <w:pPr>
              <w:spacing w:before="0" w:after="200" w:line="276" w:lineRule="auto"/>
              <w:jc w:val="center"/>
              <w:rPr>
                <w:b/>
                <w:noProof/>
                <w:sz w:val="20"/>
              </w:rPr>
            </w:pPr>
            <w:r>
              <w:rPr>
                <w:b/>
                <w:noProof/>
                <w:sz w:val="20"/>
              </w:rPr>
              <w:t>I ALT</w:t>
            </w:r>
          </w:p>
        </w:tc>
      </w:tr>
      <w:tr>
        <w:trPr>
          <w:trHeight w:val="213"/>
        </w:trPr>
        <w:tc>
          <w:tcPr>
            <w:tcW w:w="6047" w:type="dxa"/>
            <w:gridSpan w:val="4"/>
            <w:vAlign w:val="center"/>
          </w:tcPr>
          <w:p>
            <w:pPr>
              <w:spacing w:before="20" w:after="20" w:line="276" w:lineRule="auto"/>
              <w:jc w:val="left"/>
              <w:rPr>
                <w:noProof/>
                <w:sz w:val="21"/>
              </w:rPr>
            </w:pPr>
            <w:r>
              <w:rPr>
                <w:noProof/>
                <w:sz w:val="21"/>
              </w:rPr>
              <w:sym w:font="Wingdings" w:char="F09F"/>
            </w:r>
            <w:r>
              <w:rPr>
                <w:noProof/>
                <w:sz w:val="21"/>
              </w:rPr>
              <w:t xml:space="preserve">Aktionsbevillinger </w:t>
            </w:r>
          </w:p>
        </w:tc>
        <w:tc>
          <w:tcPr>
            <w:tcW w:w="867" w:type="dxa"/>
            <w:vAlign w:val="center"/>
          </w:tcPr>
          <w:p>
            <w:pPr>
              <w:spacing w:before="0" w:after="200" w:line="276" w:lineRule="auto"/>
              <w:jc w:val="left"/>
              <w:rPr>
                <w:noProof/>
                <w:sz w:val="20"/>
              </w:rPr>
            </w:pPr>
          </w:p>
        </w:tc>
        <w:tc>
          <w:tcPr>
            <w:tcW w:w="867" w:type="dxa"/>
            <w:vAlign w:val="center"/>
          </w:tcPr>
          <w:p>
            <w:pPr>
              <w:spacing w:before="0" w:after="200" w:line="276" w:lineRule="auto"/>
              <w:jc w:val="left"/>
              <w:rPr>
                <w:noProof/>
                <w:sz w:val="20"/>
              </w:rPr>
            </w:pPr>
          </w:p>
        </w:tc>
        <w:tc>
          <w:tcPr>
            <w:tcW w:w="867" w:type="dxa"/>
            <w:vAlign w:val="center"/>
          </w:tcPr>
          <w:p>
            <w:pPr>
              <w:spacing w:before="0" w:after="200" w:line="276" w:lineRule="auto"/>
              <w:jc w:val="left"/>
              <w:rPr>
                <w:noProof/>
                <w:sz w:val="20"/>
              </w:rPr>
            </w:pPr>
          </w:p>
        </w:tc>
        <w:tc>
          <w:tcPr>
            <w:tcW w:w="867" w:type="dxa"/>
            <w:vAlign w:val="center"/>
          </w:tcPr>
          <w:p>
            <w:pPr>
              <w:spacing w:before="0" w:after="200" w:line="276" w:lineRule="auto"/>
              <w:jc w:val="left"/>
              <w:rPr>
                <w:noProof/>
                <w:sz w:val="20"/>
              </w:rPr>
            </w:pPr>
          </w:p>
        </w:tc>
        <w:tc>
          <w:tcPr>
            <w:tcW w:w="898" w:type="dxa"/>
          </w:tcPr>
          <w:p>
            <w:pPr>
              <w:spacing w:before="0" w:after="200" w:line="276" w:lineRule="auto"/>
              <w:jc w:val="left"/>
              <w:rPr>
                <w:noProof/>
                <w:sz w:val="20"/>
              </w:rPr>
            </w:pPr>
          </w:p>
        </w:tc>
        <w:tc>
          <w:tcPr>
            <w:tcW w:w="898" w:type="dxa"/>
          </w:tcPr>
          <w:p>
            <w:pPr>
              <w:spacing w:before="0" w:after="200" w:line="276" w:lineRule="auto"/>
              <w:jc w:val="left"/>
              <w:rPr>
                <w:noProof/>
                <w:sz w:val="20"/>
              </w:rPr>
            </w:pPr>
          </w:p>
        </w:tc>
        <w:tc>
          <w:tcPr>
            <w:tcW w:w="898" w:type="dxa"/>
          </w:tcPr>
          <w:p>
            <w:pPr>
              <w:spacing w:before="0" w:after="200" w:line="276" w:lineRule="auto"/>
              <w:jc w:val="left"/>
              <w:rPr>
                <w:noProof/>
                <w:sz w:val="20"/>
              </w:rPr>
            </w:pPr>
          </w:p>
        </w:tc>
        <w:tc>
          <w:tcPr>
            <w:tcW w:w="898" w:type="dxa"/>
          </w:tcPr>
          <w:p>
            <w:pPr>
              <w:spacing w:before="0" w:after="200" w:line="276" w:lineRule="auto"/>
              <w:jc w:val="left"/>
              <w:rPr>
                <w:noProof/>
                <w:sz w:val="20"/>
              </w:rPr>
            </w:pPr>
          </w:p>
        </w:tc>
        <w:tc>
          <w:tcPr>
            <w:tcW w:w="1775" w:type="dxa"/>
            <w:vAlign w:val="center"/>
          </w:tcPr>
          <w:p>
            <w:pPr>
              <w:spacing w:before="0" w:after="200" w:line="276" w:lineRule="auto"/>
              <w:jc w:val="left"/>
              <w:rPr>
                <w:b/>
                <w:noProof/>
                <w:sz w:val="20"/>
              </w:rPr>
            </w:pPr>
          </w:p>
        </w:tc>
      </w:tr>
      <w:tr>
        <w:trPr>
          <w:trHeight w:val="277"/>
        </w:trPr>
        <w:tc>
          <w:tcPr>
            <w:tcW w:w="3956" w:type="dxa"/>
            <w:vMerge w:val="restart"/>
            <w:vAlign w:val="center"/>
          </w:tcPr>
          <w:p>
            <w:pPr>
              <w:spacing w:before="0" w:after="200" w:line="276" w:lineRule="auto"/>
              <w:jc w:val="left"/>
              <w:rPr>
                <w:noProof/>
                <w:sz w:val="22"/>
              </w:rPr>
            </w:pPr>
            <w:r>
              <w:rPr>
                <w:noProof/>
                <w:color w:val="0000FF"/>
                <w:sz w:val="22"/>
              </w:rPr>
              <w:t>06.02.02 (TSI – operationel teknisk støtte)</w:t>
            </w:r>
          </w:p>
        </w:tc>
        <w:tc>
          <w:tcPr>
            <w:tcW w:w="1438" w:type="dxa"/>
            <w:vAlign w:val="center"/>
          </w:tcPr>
          <w:p>
            <w:pPr>
              <w:spacing w:before="20" w:after="20" w:line="276" w:lineRule="auto"/>
              <w:jc w:val="left"/>
              <w:rPr>
                <w:noProof/>
                <w:sz w:val="18"/>
              </w:rPr>
            </w:pPr>
            <w:r>
              <w:rPr>
                <w:noProof/>
                <w:sz w:val="18"/>
              </w:rPr>
              <w:t>Forpligtelser</w:t>
            </w:r>
          </w:p>
        </w:tc>
        <w:tc>
          <w:tcPr>
            <w:tcW w:w="653" w:type="dxa"/>
            <w:gridSpan w:val="2"/>
            <w:vAlign w:val="center"/>
          </w:tcPr>
          <w:p>
            <w:pPr>
              <w:spacing w:before="20" w:after="20" w:line="276" w:lineRule="auto"/>
              <w:jc w:val="center"/>
              <w:rPr>
                <w:noProof/>
                <w:sz w:val="14"/>
              </w:rPr>
            </w:pPr>
            <w:r>
              <w:rPr>
                <w:noProof/>
                <w:sz w:val="14"/>
              </w:rPr>
              <w:t>1.</w:t>
            </w:r>
          </w:p>
        </w:tc>
        <w:tc>
          <w:tcPr>
            <w:tcW w:w="867" w:type="dxa"/>
            <w:vAlign w:val="center"/>
          </w:tcPr>
          <w:p>
            <w:pPr>
              <w:spacing w:before="20" w:after="20" w:line="276" w:lineRule="auto"/>
              <w:jc w:val="right"/>
              <w:rPr>
                <w:noProof/>
                <w:sz w:val="20"/>
              </w:rPr>
            </w:pPr>
            <w:r>
              <w:rPr>
                <w:noProof/>
                <w:sz w:val="20"/>
              </w:rPr>
              <w:t>114 364</w:t>
            </w:r>
          </w:p>
        </w:tc>
        <w:tc>
          <w:tcPr>
            <w:tcW w:w="867" w:type="dxa"/>
            <w:vAlign w:val="center"/>
          </w:tcPr>
          <w:p>
            <w:pPr>
              <w:spacing w:before="20" w:after="20" w:line="276" w:lineRule="auto"/>
              <w:jc w:val="right"/>
              <w:rPr>
                <w:noProof/>
                <w:sz w:val="20"/>
              </w:rPr>
            </w:pPr>
            <w:r>
              <w:rPr>
                <w:noProof/>
                <w:sz w:val="20"/>
              </w:rPr>
              <w:t>116 692</w:t>
            </w:r>
          </w:p>
        </w:tc>
        <w:tc>
          <w:tcPr>
            <w:tcW w:w="867" w:type="dxa"/>
            <w:vAlign w:val="center"/>
          </w:tcPr>
          <w:p>
            <w:pPr>
              <w:spacing w:before="20" w:after="20" w:line="276" w:lineRule="auto"/>
              <w:jc w:val="right"/>
              <w:rPr>
                <w:noProof/>
                <w:sz w:val="20"/>
              </w:rPr>
            </w:pPr>
            <w:r>
              <w:rPr>
                <w:noProof/>
                <w:sz w:val="20"/>
              </w:rPr>
              <w:t>119 065</w:t>
            </w:r>
          </w:p>
        </w:tc>
        <w:tc>
          <w:tcPr>
            <w:tcW w:w="867" w:type="dxa"/>
            <w:vAlign w:val="center"/>
          </w:tcPr>
          <w:p>
            <w:pPr>
              <w:spacing w:before="20" w:after="20" w:line="276" w:lineRule="auto"/>
              <w:jc w:val="right"/>
              <w:rPr>
                <w:noProof/>
                <w:sz w:val="20"/>
              </w:rPr>
            </w:pPr>
            <w:r>
              <w:rPr>
                <w:noProof/>
                <w:sz w:val="20"/>
              </w:rPr>
              <w:t>121 486</w:t>
            </w:r>
          </w:p>
        </w:tc>
        <w:tc>
          <w:tcPr>
            <w:tcW w:w="898" w:type="dxa"/>
          </w:tcPr>
          <w:p>
            <w:pPr>
              <w:spacing w:before="20" w:after="20" w:line="276" w:lineRule="auto"/>
              <w:jc w:val="right"/>
              <w:rPr>
                <w:noProof/>
                <w:sz w:val="20"/>
              </w:rPr>
            </w:pPr>
            <w:r>
              <w:rPr>
                <w:noProof/>
                <w:sz w:val="20"/>
              </w:rPr>
              <w:t>123 956</w:t>
            </w:r>
          </w:p>
        </w:tc>
        <w:tc>
          <w:tcPr>
            <w:tcW w:w="898" w:type="dxa"/>
          </w:tcPr>
          <w:p>
            <w:pPr>
              <w:spacing w:before="20" w:after="20" w:line="276" w:lineRule="auto"/>
              <w:jc w:val="right"/>
              <w:rPr>
                <w:noProof/>
                <w:sz w:val="20"/>
              </w:rPr>
            </w:pPr>
            <w:r>
              <w:rPr>
                <w:noProof/>
                <w:sz w:val="20"/>
              </w:rPr>
              <w:t>126 476</w:t>
            </w:r>
          </w:p>
        </w:tc>
        <w:tc>
          <w:tcPr>
            <w:tcW w:w="898" w:type="dxa"/>
          </w:tcPr>
          <w:p>
            <w:pPr>
              <w:spacing w:before="20" w:after="20" w:line="276" w:lineRule="auto"/>
              <w:jc w:val="right"/>
              <w:rPr>
                <w:noProof/>
                <w:sz w:val="20"/>
              </w:rPr>
            </w:pPr>
            <w:r>
              <w:rPr>
                <w:noProof/>
                <w:sz w:val="20"/>
              </w:rPr>
              <w:t>128 367</w:t>
            </w:r>
          </w:p>
        </w:tc>
        <w:tc>
          <w:tcPr>
            <w:tcW w:w="898" w:type="dxa"/>
            <w:vAlign w:val="center"/>
          </w:tcPr>
          <w:p>
            <w:pPr>
              <w:spacing w:before="20" w:after="20" w:line="276" w:lineRule="auto"/>
              <w:jc w:val="right"/>
              <w:rPr>
                <w:noProof/>
                <w:sz w:val="20"/>
              </w:rPr>
            </w:pPr>
            <w:r>
              <w:rPr>
                <w:noProof/>
                <w:sz w:val="20"/>
              </w:rPr>
              <w:t>-</w:t>
            </w:r>
          </w:p>
        </w:tc>
        <w:tc>
          <w:tcPr>
            <w:tcW w:w="1775" w:type="dxa"/>
            <w:vAlign w:val="center"/>
          </w:tcPr>
          <w:p>
            <w:pPr>
              <w:spacing w:before="20" w:after="20" w:line="276" w:lineRule="auto"/>
              <w:jc w:val="right"/>
              <w:rPr>
                <w:b/>
                <w:noProof/>
                <w:sz w:val="20"/>
              </w:rPr>
            </w:pPr>
            <w:r>
              <w:rPr>
                <w:b/>
                <w:noProof/>
                <w:sz w:val="20"/>
              </w:rPr>
              <w:t>850 406</w:t>
            </w:r>
          </w:p>
        </w:tc>
      </w:tr>
      <w:tr>
        <w:trPr>
          <w:trHeight w:val="315"/>
        </w:trPr>
        <w:tc>
          <w:tcPr>
            <w:tcW w:w="3956" w:type="dxa"/>
            <w:vMerge/>
          </w:tcPr>
          <w:p>
            <w:pPr>
              <w:spacing w:before="0" w:after="200" w:line="276" w:lineRule="auto"/>
              <w:jc w:val="center"/>
              <w:rPr>
                <w:noProof/>
                <w:sz w:val="20"/>
              </w:rPr>
            </w:pPr>
          </w:p>
        </w:tc>
        <w:tc>
          <w:tcPr>
            <w:tcW w:w="1438" w:type="dxa"/>
            <w:vAlign w:val="center"/>
          </w:tcPr>
          <w:p>
            <w:pPr>
              <w:spacing w:before="20" w:after="20" w:line="276" w:lineRule="auto"/>
              <w:jc w:val="left"/>
              <w:rPr>
                <w:noProof/>
                <w:sz w:val="18"/>
              </w:rPr>
            </w:pPr>
            <w:r>
              <w:rPr>
                <w:noProof/>
                <w:sz w:val="18"/>
              </w:rPr>
              <w:t>Betalinger</w:t>
            </w:r>
          </w:p>
        </w:tc>
        <w:tc>
          <w:tcPr>
            <w:tcW w:w="653" w:type="dxa"/>
            <w:gridSpan w:val="2"/>
            <w:vAlign w:val="center"/>
          </w:tcPr>
          <w:p>
            <w:pPr>
              <w:spacing w:before="20" w:after="20" w:line="276" w:lineRule="auto"/>
              <w:jc w:val="center"/>
              <w:rPr>
                <w:noProof/>
                <w:sz w:val="14"/>
              </w:rPr>
            </w:pPr>
            <w:r>
              <w:rPr>
                <w:noProof/>
                <w:sz w:val="14"/>
              </w:rPr>
              <w:t>2.</w:t>
            </w:r>
          </w:p>
        </w:tc>
        <w:tc>
          <w:tcPr>
            <w:tcW w:w="867" w:type="dxa"/>
            <w:vAlign w:val="center"/>
          </w:tcPr>
          <w:p>
            <w:pPr>
              <w:spacing w:before="20" w:after="20" w:line="276" w:lineRule="auto"/>
              <w:jc w:val="right"/>
              <w:rPr>
                <w:noProof/>
                <w:sz w:val="20"/>
              </w:rPr>
            </w:pPr>
            <w:r>
              <w:rPr>
                <w:noProof/>
                <w:sz w:val="20"/>
              </w:rPr>
              <w:t>56 382</w:t>
            </w:r>
          </w:p>
        </w:tc>
        <w:tc>
          <w:tcPr>
            <w:tcW w:w="867" w:type="dxa"/>
            <w:vAlign w:val="center"/>
          </w:tcPr>
          <w:p>
            <w:pPr>
              <w:spacing w:before="20" w:after="20" w:line="276" w:lineRule="auto"/>
              <w:jc w:val="right"/>
              <w:rPr>
                <w:noProof/>
                <w:sz w:val="20"/>
              </w:rPr>
            </w:pPr>
            <w:r>
              <w:rPr>
                <w:noProof/>
                <w:sz w:val="20"/>
              </w:rPr>
              <w:t>84 658</w:t>
            </w:r>
          </w:p>
        </w:tc>
        <w:tc>
          <w:tcPr>
            <w:tcW w:w="867" w:type="dxa"/>
            <w:vAlign w:val="center"/>
          </w:tcPr>
          <w:p>
            <w:pPr>
              <w:spacing w:before="20" w:after="20" w:line="276" w:lineRule="auto"/>
              <w:jc w:val="right"/>
              <w:rPr>
                <w:noProof/>
                <w:sz w:val="20"/>
              </w:rPr>
            </w:pPr>
            <w:r>
              <w:rPr>
                <w:noProof/>
                <w:sz w:val="20"/>
              </w:rPr>
              <w:t>97 685</w:t>
            </w:r>
          </w:p>
        </w:tc>
        <w:tc>
          <w:tcPr>
            <w:tcW w:w="867" w:type="dxa"/>
            <w:vAlign w:val="center"/>
          </w:tcPr>
          <w:p>
            <w:pPr>
              <w:spacing w:before="20" w:after="20" w:line="276" w:lineRule="auto"/>
              <w:jc w:val="right"/>
              <w:rPr>
                <w:noProof/>
                <w:sz w:val="20"/>
              </w:rPr>
            </w:pPr>
            <w:r>
              <w:rPr>
                <w:noProof/>
                <w:sz w:val="20"/>
              </w:rPr>
              <w:t>102 053</w:t>
            </w:r>
          </w:p>
        </w:tc>
        <w:tc>
          <w:tcPr>
            <w:tcW w:w="898" w:type="dxa"/>
          </w:tcPr>
          <w:p>
            <w:pPr>
              <w:spacing w:before="20" w:after="20" w:line="276" w:lineRule="auto"/>
              <w:jc w:val="right"/>
              <w:rPr>
                <w:noProof/>
                <w:sz w:val="20"/>
              </w:rPr>
            </w:pPr>
            <w:r>
              <w:rPr>
                <w:noProof/>
                <w:sz w:val="20"/>
              </w:rPr>
              <w:t>104 886</w:t>
            </w:r>
          </w:p>
        </w:tc>
        <w:tc>
          <w:tcPr>
            <w:tcW w:w="898" w:type="dxa"/>
          </w:tcPr>
          <w:p>
            <w:pPr>
              <w:spacing w:before="20" w:after="20" w:line="276" w:lineRule="auto"/>
              <w:jc w:val="right"/>
              <w:rPr>
                <w:noProof/>
                <w:sz w:val="20"/>
              </w:rPr>
            </w:pPr>
            <w:r>
              <w:rPr>
                <w:noProof/>
                <w:sz w:val="20"/>
              </w:rPr>
              <w:t>107 981</w:t>
            </w:r>
          </w:p>
        </w:tc>
        <w:tc>
          <w:tcPr>
            <w:tcW w:w="898" w:type="dxa"/>
          </w:tcPr>
          <w:p>
            <w:pPr>
              <w:spacing w:before="20" w:after="20" w:line="276" w:lineRule="auto"/>
              <w:jc w:val="right"/>
              <w:rPr>
                <w:noProof/>
                <w:sz w:val="20"/>
              </w:rPr>
            </w:pPr>
            <w:r>
              <w:rPr>
                <w:noProof/>
                <w:sz w:val="20"/>
              </w:rPr>
              <w:t>107 853</w:t>
            </w:r>
          </w:p>
        </w:tc>
        <w:tc>
          <w:tcPr>
            <w:tcW w:w="898" w:type="dxa"/>
          </w:tcPr>
          <w:p>
            <w:pPr>
              <w:spacing w:before="20" w:after="20" w:line="276" w:lineRule="auto"/>
              <w:jc w:val="right"/>
              <w:rPr>
                <w:noProof/>
                <w:sz w:val="20"/>
              </w:rPr>
            </w:pPr>
            <w:r>
              <w:rPr>
                <w:noProof/>
                <w:sz w:val="20"/>
              </w:rPr>
              <w:t>188 908</w:t>
            </w:r>
          </w:p>
        </w:tc>
        <w:tc>
          <w:tcPr>
            <w:tcW w:w="1775" w:type="dxa"/>
            <w:vAlign w:val="center"/>
          </w:tcPr>
          <w:p>
            <w:pPr>
              <w:spacing w:before="20" w:after="20" w:line="276" w:lineRule="auto"/>
              <w:jc w:val="right"/>
              <w:rPr>
                <w:b/>
                <w:noProof/>
                <w:sz w:val="20"/>
              </w:rPr>
            </w:pPr>
            <w:r>
              <w:rPr>
                <w:b/>
                <w:noProof/>
                <w:sz w:val="20"/>
              </w:rPr>
              <w:t>850 406</w:t>
            </w:r>
          </w:p>
        </w:tc>
      </w:tr>
      <w:tr>
        <w:trPr>
          <w:trHeight w:val="315"/>
        </w:trPr>
        <w:tc>
          <w:tcPr>
            <w:tcW w:w="3956" w:type="dxa"/>
            <w:vMerge/>
          </w:tcPr>
          <w:p>
            <w:pPr>
              <w:spacing w:before="0" w:after="200" w:line="276" w:lineRule="auto"/>
              <w:jc w:val="center"/>
              <w:rPr>
                <w:noProof/>
                <w:sz w:val="20"/>
              </w:rPr>
            </w:pPr>
          </w:p>
        </w:tc>
        <w:tc>
          <w:tcPr>
            <w:tcW w:w="1438" w:type="dxa"/>
            <w:vAlign w:val="center"/>
          </w:tcPr>
          <w:p>
            <w:pPr>
              <w:spacing w:before="20" w:after="20" w:line="276" w:lineRule="auto"/>
              <w:jc w:val="left"/>
              <w:rPr>
                <w:noProof/>
                <w:sz w:val="18"/>
              </w:rPr>
            </w:pPr>
          </w:p>
        </w:tc>
        <w:tc>
          <w:tcPr>
            <w:tcW w:w="653" w:type="dxa"/>
            <w:gridSpan w:val="2"/>
            <w:vAlign w:val="center"/>
          </w:tcPr>
          <w:p>
            <w:pPr>
              <w:spacing w:before="20" w:after="20" w:line="276" w:lineRule="auto"/>
              <w:jc w:val="center"/>
              <w:rPr>
                <w:noProof/>
                <w:sz w:val="14"/>
              </w:rPr>
            </w:pPr>
          </w:p>
        </w:tc>
        <w:tc>
          <w:tcPr>
            <w:tcW w:w="867" w:type="dxa"/>
            <w:vAlign w:val="center"/>
          </w:tcPr>
          <w:p>
            <w:pPr>
              <w:spacing w:before="20" w:after="20" w:line="276" w:lineRule="auto"/>
              <w:jc w:val="right"/>
              <w:rPr>
                <w:noProof/>
                <w:sz w:val="20"/>
              </w:rPr>
            </w:pPr>
          </w:p>
        </w:tc>
        <w:tc>
          <w:tcPr>
            <w:tcW w:w="867" w:type="dxa"/>
            <w:vAlign w:val="center"/>
          </w:tcPr>
          <w:p>
            <w:pPr>
              <w:spacing w:before="20" w:after="20" w:line="276" w:lineRule="auto"/>
              <w:jc w:val="right"/>
              <w:rPr>
                <w:noProof/>
                <w:sz w:val="20"/>
              </w:rPr>
            </w:pPr>
          </w:p>
        </w:tc>
        <w:tc>
          <w:tcPr>
            <w:tcW w:w="867" w:type="dxa"/>
            <w:vAlign w:val="center"/>
          </w:tcPr>
          <w:p>
            <w:pPr>
              <w:spacing w:before="20" w:after="20" w:line="276" w:lineRule="auto"/>
              <w:jc w:val="right"/>
              <w:rPr>
                <w:noProof/>
                <w:sz w:val="20"/>
              </w:rPr>
            </w:pPr>
          </w:p>
        </w:tc>
        <w:tc>
          <w:tcPr>
            <w:tcW w:w="867" w:type="dxa"/>
            <w:vAlign w:val="center"/>
          </w:tcPr>
          <w:p>
            <w:pPr>
              <w:spacing w:before="20" w:after="20" w:line="276" w:lineRule="auto"/>
              <w:jc w:val="right"/>
              <w:rPr>
                <w:noProof/>
                <w:sz w:val="20"/>
              </w:rPr>
            </w:pPr>
          </w:p>
        </w:tc>
        <w:tc>
          <w:tcPr>
            <w:tcW w:w="898" w:type="dxa"/>
          </w:tcPr>
          <w:p>
            <w:pPr>
              <w:spacing w:before="20" w:after="20" w:line="276" w:lineRule="auto"/>
              <w:jc w:val="right"/>
              <w:rPr>
                <w:noProof/>
                <w:sz w:val="20"/>
              </w:rPr>
            </w:pPr>
          </w:p>
        </w:tc>
        <w:tc>
          <w:tcPr>
            <w:tcW w:w="898" w:type="dxa"/>
          </w:tcPr>
          <w:p>
            <w:pPr>
              <w:spacing w:before="20" w:after="20" w:line="276" w:lineRule="auto"/>
              <w:jc w:val="right"/>
              <w:rPr>
                <w:noProof/>
                <w:sz w:val="20"/>
              </w:rPr>
            </w:pPr>
          </w:p>
        </w:tc>
        <w:tc>
          <w:tcPr>
            <w:tcW w:w="898" w:type="dxa"/>
          </w:tcPr>
          <w:p>
            <w:pPr>
              <w:spacing w:before="20" w:after="20" w:line="276" w:lineRule="auto"/>
              <w:jc w:val="right"/>
              <w:rPr>
                <w:noProof/>
                <w:sz w:val="20"/>
              </w:rPr>
            </w:pPr>
          </w:p>
        </w:tc>
        <w:tc>
          <w:tcPr>
            <w:tcW w:w="898" w:type="dxa"/>
          </w:tcPr>
          <w:p>
            <w:pPr>
              <w:spacing w:before="20" w:after="20" w:line="276" w:lineRule="auto"/>
              <w:jc w:val="right"/>
              <w:rPr>
                <w:noProof/>
                <w:sz w:val="20"/>
              </w:rPr>
            </w:pPr>
          </w:p>
        </w:tc>
        <w:tc>
          <w:tcPr>
            <w:tcW w:w="1775" w:type="dxa"/>
            <w:vAlign w:val="center"/>
          </w:tcPr>
          <w:p>
            <w:pPr>
              <w:spacing w:before="20" w:after="20" w:line="276" w:lineRule="auto"/>
              <w:jc w:val="right"/>
              <w:rPr>
                <w:b/>
                <w:noProof/>
                <w:sz w:val="20"/>
              </w:rPr>
            </w:pPr>
          </w:p>
        </w:tc>
      </w:tr>
      <w:tr>
        <w:trPr>
          <w:trHeight w:val="231"/>
        </w:trPr>
        <w:tc>
          <w:tcPr>
            <w:tcW w:w="6047" w:type="dxa"/>
            <w:gridSpan w:val="4"/>
            <w:vAlign w:val="center"/>
          </w:tcPr>
          <w:p>
            <w:pPr>
              <w:spacing w:before="20" w:after="20" w:line="276" w:lineRule="auto"/>
              <w:jc w:val="left"/>
              <w:rPr>
                <w:noProof/>
                <w:sz w:val="22"/>
              </w:rPr>
            </w:pPr>
            <w:r>
              <w:rPr>
                <w:noProof/>
                <w:sz w:val="21"/>
              </w:rPr>
              <w:t>Administrationsbevillinger finansieret over bevillingsrammen for særprogrammer</w:t>
            </w:r>
            <w:r>
              <w:rPr>
                <w:rStyle w:val="FootnoteReference"/>
                <w:noProof/>
                <w:sz w:val="21"/>
              </w:rPr>
              <w:footnoteReference w:id="33"/>
            </w:r>
            <w:r>
              <w:rPr>
                <w:noProof/>
                <w:sz w:val="21"/>
              </w:rPr>
              <w:t xml:space="preserve"> </w:t>
            </w:r>
          </w:p>
          <w:p>
            <w:pPr>
              <w:spacing w:before="0" w:after="0" w:line="276" w:lineRule="auto"/>
              <w:jc w:val="left"/>
              <w:rPr>
                <w:noProof/>
                <w:sz w:val="22"/>
              </w:rPr>
            </w:pPr>
          </w:p>
        </w:tc>
        <w:tc>
          <w:tcPr>
            <w:tcW w:w="867" w:type="dxa"/>
            <w:vAlign w:val="center"/>
          </w:tcPr>
          <w:p>
            <w:pPr>
              <w:spacing w:before="0" w:after="200" w:line="276" w:lineRule="auto"/>
              <w:jc w:val="left"/>
              <w:rPr>
                <w:b/>
                <w:noProof/>
                <w:sz w:val="20"/>
              </w:rPr>
            </w:pPr>
          </w:p>
        </w:tc>
        <w:tc>
          <w:tcPr>
            <w:tcW w:w="867" w:type="dxa"/>
            <w:vAlign w:val="center"/>
          </w:tcPr>
          <w:p>
            <w:pPr>
              <w:spacing w:before="0" w:after="200" w:line="276" w:lineRule="auto"/>
              <w:jc w:val="left"/>
              <w:rPr>
                <w:b/>
                <w:noProof/>
                <w:sz w:val="20"/>
              </w:rPr>
            </w:pPr>
          </w:p>
        </w:tc>
        <w:tc>
          <w:tcPr>
            <w:tcW w:w="867" w:type="dxa"/>
            <w:vAlign w:val="center"/>
          </w:tcPr>
          <w:p>
            <w:pPr>
              <w:spacing w:before="0" w:after="200" w:line="276" w:lineRule="auto"/>
              <w:jc w:val="left"/>
              <w:rPr>
                <w:b/>
                <w:noProof/>
                <w:sz w:val="20"/>
              </w:rPr>
            </w:pPr>
          </w:p>
        </w:tc>
        <w:tc>
          <w:tcPr>
            <w:tcW w:w="867" w:type="dxa"/>
            <w:vAlign w:val="center"/>
          </w:tcPr>
          <w:p>
            <w:pPr>
              <w:spacing w:before="0" w:after="200" w:line="276" w:lineRule="auto"/>
              <w:jc w:val="left"/>
              <w:rPr>
                <w:b/>
                <w:noProof/>
                <w:sz w:val="20"/>
              </w:rPr>
            </w:pPr>
          </w:p>
        </w:tc>
        <w:tc>
          <w:tcPr>
            <w:tcW w:w="898" w:type="dxa"/>
          </w:tcPr>
          <w:p>
            <w:pPr>
              <w:spacing w:before="0" w:after="200" w:line="276" w:lineRule="auto"/>
              <w:jc w:val="left"/>
              <w:rPr>
                <w:b/>
                <w:noProof/>
                <w:sz w:val="20"/>
              </w:rPr>
            </w:pPr>
          </w:p>
        </w:tc>
        <w:tc>
          <w:tcPr>
            <w:tcW w:w="898" w:type="dxa"/>
          </w:tcPr>
          <w:p>
            <w:pPr>
              <w:spacing w:before="0" w:after="200" w:line="276" w:lineRule="auto"/>
              <w:jc w:val="left"/>
              <w:rPr>
                <w:b/>
                <w:noProof/>
                <w:sz w:val="20"/>
              </w:rPr>
            </w:pPr>
          </w:p>
        </w:tc>
        <w:tc>
          <w:tcPr>
            <w:tcW w:w="898" w:type="dxa"/>
          </w:tcPr>
          <w:p>
            <w:pPr>
              <w:spacing w:before="0" w:after="200" w:line="276" w:lineRule="auto"/>
              <w:jc w:val="left"/>
              <w:rPr>
                <w:b/>
                <w:noProof/>
                <w:sz w:val="20"/>
              </w:rPr>
            </w:pPr>
          </w:p>
        </w:tc>
        <w:tc>
          <w:tcPr>
            <w:tcW w:w="898" w:type="dxa"/>
          </w:tcPr>
          <w:p>
            <w:pPr>
              <w:spacing w:before="0" w:after="200" w:line="276" w:lineRule="auto"/>
              <w:jc w:val="left"/>
              <w:rPr>
                <w:b/>
                <w:noProof/>
                <w:sz w:val="20"/>
              </w:rPr>
            </w:pPr>
          </w:p>
        </w:tc>
        <w:tc>
          <w:tcPr>
            <w:tcW w:w="1775" w:type="dxa"/>
            <w:vAlign w:val="center"/>
          </w:tcPr>
          <w:p>
            <w:pPr>
              <w:spacing w:before="0" w:after="200" w:line="276" w:lineRule="auto"/>
              <w:jc w:val="left"/>
              <w:rPr>
                <w:b/>
                <w:noProof/>
                <w:sz w:val="20"/>
              </w:rPr>
            </w:pPr>
          </w:p>
        </w:tc>
      </w:tr>
      <w:tr>
        <w:trPr>
          <w:trHeight w:val="551"/>
        </w:trPr>
        <w:tc>
          <w:tcPr>
            <w:tcW w:w="3956" w:type="dxa"/>
            <w:vAlign w:val="center"/>
          </w:tcPr>
          <w:p>
            <w:pPr>
              <w:spacing w:before="60" w:after="60" w:line="276" w:lineRule="auto"/>
              <w:jc w:val="left"/>
              <w:rPr>
                <w:noProof/>
                <w:sz w:val="22"/>
                <w:highlight w:val="green"/>
              </w:rPr>
            </w:pPr>
            <w:r>
              <w:rPr>
                <w:noProof/>
                <w:sz w:val="20"/>
              </w:rPr>
              <w:t>06.04 04 01 (Udgifter til støttefunktioner i forbindelse med instrumentet for teknisk støtte — TSI)</w:t>
            </w:r>
          </w:p>
        </w:tc>
        <w:tc>
          <w:tcPr>
            <w:tcW w:w="1438" w:type="dxa"/>
            <w:vAlign w:val="center"/>
          </w:tcPr>
          <w:p>
            <w:pPr>
              <w:spacing w:before="40" w:after="40" w:line="276" w:lineRule="auto"/>
              <w:jc w:val="right"/>
              <w:rPr>
                <w:noProof/>
                <w:sz w:val="18"/>
              </w:rPr>
            </w:pPr>
          </w:p>
        </w:tc>
        <w:tc>
          <w:tcPr>
            <w:tcW w:w="653" w:type="dxa"/>
            <w:gridSpan w:val="2"/>
            <w:vAlign w:val="center"/>
          </w:tcPr>
          <w:p>
            <w:pPr>
              <w:spacing w:before="40" w:after="40" w:line="276" w:lineRule="auto"/>
              <w:jc w:val="center"/>
              <w:rPr>
                <w:noProof/>
                <w:sz w:val="14"/>
              </w:rPr>
            </w:pPr>
            <w:r>
              <w:rPr>
                <w:noProof/>
                <w:sz w:val="14"/>
              </w:rPr>
              <w:t>3.</w:t>
            </w:r>
          </w:p>
        </w:tc>
        <w:tc>
          <w:tcPr>
            <w:tcW w:w="867" w:type="dxa"/>
            <w:vAlign w:val="center"/>
          </w:tcPr>
          <w:p>
            <w:pPr>
              <w:spacing w:before="40" w:after="40" w:line="276" w:lineRule="auto"/>
              <w:jc w:val="right"/>
              <w:rPr>
                <w:noProof/>
                <w:sz w:val="20"/>
              </w:rPr>
            </w:pPr>
            <w:r>
              <w:rPr>
                <w:noProof/>
                <w:sz w:val="20"/>
              </w:rPr>
              <w:t>2 000</w:t>
            </w:r>
          </w:p>
        </w:tc>
        <w:tc>
          <w:tcPr>
            <w:tcW w:w="867" w:type="dxa"/>
            <w:vAlign w:val="center"/>
          </w:tcPr>
          <w:p>
            <w:pPr>
              <w:spacing w:before="40" w:after="40" w:line="276" w:lineRule="auto"/>
              <w:jc w:val="right"/>
              <w:rPr>
                <w:noProof/>
                <w:sz w:val="20"/>
              </w:rPr>
            </w:pPr>
            <w:r>
              <w:rPr>
                <w:noProof/>
                <w:sz w:val="20"/>
              </w:rPr>
              <w:t>2 000</w:t>
            </w:r>
          </w:p>
        </w:tc>
        <w:tc>
          <w:tcPr>
            <w:tcW w:w="867" w:type="dxa"/>
            <w:vAlign w:val="center"/>
          </w:tcPr>
          <w:p>
            <w:pPr>
              <w:spacing w:before="40" w:after="40" w:line="276" w:lineRule="auto"/>
              <w:jc w:val="right"/>
              <w:rPr>
                <w:noProof/>
                <w:sz w:val="20"/>
              </w:rPr>
            </w:pPr>
            <w:r>
              <w:rPr>
                <w:noProof/>
                <w:sz w:val="20"/>
              </w:rPr>
              <w:t>2 000</w:t>
            </w:r>
          </w:p>
        </w:tc>
        <w:tc>
          <w:tcPr>
            <w:tcW w:w="867" w:type="dxa"/>
            <w:vAlign w:val="center"/>
          </w:tcPr>
          <w:p>
            <w:pPr>
              <w:spacing w:before="40" w:after="40" w:line="276" w:lineRule="auto"/>
              <w:jc w:val="right"/>
              <w:rPr>
                <w:noProof/>
                <w:sz w:val="20"/>
              </w:rPr>
            </w:pPr>
            <w:r>
              <w:rPr>
                <w:noProof/>
                <w:sz w:val="20"/>
              </w:rPr>
              <w:t>2 000</w:t>
            </w:r>
          </w:p>
        </w:tc>
        <w:tc>
          <w:tcPr>
            <w:tcW w:w="898" w:type="dxa"/>
            <w:vAlign w:val="center"/>
          </w:tcPr>
          <w:p>
            <w:pPr>
              <w:spacing w:before="40" w:after="40" w:line="276" w:lineRule="auto"/>
              <w:jc w:val="right"/>
              <w:rPr>
                <w:noProof/>
                <w:sz w:val="20"/>
              </w:rPr>
            </w:pPr>
            <w:r>
              <w:rPr>
                <w:noProof/>
                <w:sz w:val="20"/>
              </w:rPr>
              <w:t>2 000</w:t>
            </w:r>
          </w:p>
        </w:tc>
        <w:tc>
          <w:tcPr>
            <w:tcW w:w="898" w:type="dxa"/>
            <w:vAlign w:val="center"/>
          </w:tcPr>
          <w:p>
            <w:pPr>
              <w:spacing w:before="40" w:after="40" w:line="276" w:lineRule="auto"/>
              <w:jc w:val="right"/>
              <w:rPr>
                <w:noProof/>
                <w:sz w:val="20"/>
              </w:rPr>
            </w:pPr>
            <w:r>
              <w:rPr>
                <w:noProof/>
                <w:sz w:val="20"/>
              </w:rPr>
              <w:t>2 000</w:t>
            </w:r>
          </w:p>
        </w:tc>
        <w:tc>
          <w:tcPr>
            <w:tcW w:w="898" w:type="dxa"/>
            <w:vAlign w:val="center"/>
          </w:tcPr>
          <w:p>
            <w:pPr>
              <w:spacing w:before="40" w:after="40" w:line="276" w:lineRule="auto"/>
              <w:jc w:val="right"/>
              <w:rPr>
                <w:noProof/>
                <w:sz w:val="20"/>
              </w:rPr>
            </w:pPr>
            <w:r>
              <w:rPr>
                <w:noProof/>
                <w:sz w:val="20"/>
              </w:rPr>
              <w:t>2 000</w:t>
            </w:r>
          </w:p>
        </w:tc>
        <w:tc>
          <w:tcPr>
            <w:tcW w:w="898" w:type="dxa"/>
            <w:vAlign w:val="center"/>
          </w:tcPr>
          <w:p>
            <w:pPr>
              <w:spacing w:before="40" w:after="40" w:line="276" w:lineRule="auto"/>
              <w:jc w:val="right"/>
              <w:rPr>
                <w:b/>
                <w:noProof/>
                <w:sz w:val="20"/>
              </w:rPr>
            </w:pPr>
            <w:r>
              <w:rPr>
                <w:b/>
                <w:noProof/>
                <w:sz w:val="20"/>
              </w:rPr>
              <w:t>-</w:t>
            </w:r>
          </w:p>
        </w:tc>
        <w:tc>
          <w:tcPr>
            <w:tcW w:w="1775" w:type="dxa"/>
            <w:vAlign w:val="center"/>
          </w:tcPr>
          <w:p>
            <w:pPr>
              <w:spacing w:before="40" w:after="40" w:line="276" w:lineRule="auto"/>
              <w:jc w:val="right"/>
              <w:rPr>
                <w:b/>
                <w:noProof/>
                <w:sz w:val="20"/>
              </w:rPr>
            </w:pPr>
            <w:r>
              <w:rPr>
                <w:b/>
                <w:noProof/>
                <w:sz w:val="20"/>
              </w:rPr>
              <w:t>14 000</w:t>
            </w:r>
          </w:p>
        </w:tc>
      </w:tr>
      <w:tr>
        <w:trPr>
          <w:trHeight w:val="570"/>
        </w:trPr>
        <w:tc>
          <w:tcPr>
            <w:tcW w:w="3956" w:type="dxa"/>
            <w:vMerge w:val="restart"/>
            <w:vAlign w:val="center"/>
          </w:tcPr>
          <w:p>
            <w:pPr>
              <w:spacing w:before="0" w:after="200" w:line="276" w:lineRule="auto"/>
              <w:jc w:val="center"/>
              <w:rPr>
                <w:b/>
                <w:noProof/>
                <w:sz w:val="22"/>
              </w:rPr>
            </w:pPr>
            <w:r>
              <w:rPr>
                <w:b/>
                <w:noProof/>
                <w:sz w:val="22"/>
              </w:rPr>
              <w:t>Bevillinger I ALT</w:t>
            </w:r>
            <w:r>
              <w:rPr>
                <w:noProof/>
              </w:rPr>
              <w:t xml:space="preserve"> </w:t>
            </w:r>
            <w:r>
              <w:rPr>
                <w:noProof/>
              </w:rPr>
              <w:br/>
            </w:r>
            <w:r>
              <w:rPr>
                <w:b/>
                <w:noProof/>
                <w:sz w:val="22"/>
              </w:rPr>
              <w:t>for GD REFORM</w:t>
            </w:r>
          </w:p>
        </w:tc>
        <w:tc>
          <w:tcPr>
            <w:tcW w:w="1438" w:type="dxa"/>
            <w:vAlign w:val="center"/>
          </w:tcPr>
          <w:p>
            <w:pPr>
              <w:spacing w:before="0" w:after="200" w:line="276" w:lineRule="auto"/>
              <w:jc w:val="left"/>
              <w:rPr>
                <w:noProof/>
                <w:sz w:val="18"/>
              </w:rPr>
            </w:pPr>
            <w:r>
              <w:rPr>
                <w:noProof/>
                <w:sz w:val="18"/>
              </w:rPr>
              <w:t>Forpligtelser</w:t>
            </w:r>
          </w:p>
        </w:tc>
        <w:tc>
          <w:tcPr>
            <w:tcW w:w="653" w:type="dxa"/>
            <w:gridSpan w:val="2"/>
            <w:vAlign w:val="center"/>
          </w:tcPr>
          <w:p>
            <w:pPr>
              <w:spacing w:before="0" w:after="200" w:line="276" w:lineRule="auto"/>
              <w:jc w:val="center"/>
              <w:rPr>
                <w:noProof/>
                <w:sz w:val="14"/>
              </w:rPr>
            </w:pPr>
            <w:r>
              <w:rPr>
                <w:noProof/>
                <w:sz w:val="14"/>
              </w:rPr>
              <w:t>= 1 + 1a + 3</w:t>
            </w:r>
          </w:p>
        </w:tc>
        <w:tc>
          <w:tcPr>
            <w:tcW w:w="867" w:type="dxa"/>
            <w:vAlign w:val="center"/>
          </w:tcPr>
          <w:p>
            <w:pPr>
              <w:spacing w:before="20" w:after="20" w:line="276" w:lineRule="auto"/>
              <w:jc w:val="right"/>
              <w:rPr>
                <w:noProof/>
                <w:sz w:val="20"/>
              </w:rPr>
            </w:pPr>
            <w:r>
              <w:rPr>
                <w:noProof/>
                <w:sz w:val="20"/>
              </w:rPr>
              <w:t>116 364</w:t>
            </w:r>
          </w:p>
        </w:tc>
        <w:tc>
          <w:tcPr>
            <w:tcW w:w="867" w:type="dxa"/>
            <w:vAlign w:val="center"/>
          </w:tcPr>
          <w:p>
            <w:pPr>
              <w:spacing w:before="20" w:after="20" w:line="276" w:lineRule="auto"/>
              <w:jc w:val="right"/>
              <w:rPr>
                <w:noProof/>
                <w:sz w:val="20"/>
              </w:rPr>
            </w:pPr>
            <w:r>
              <w:rPr>
                <w:noProof/>
                <w:sz w:val="20"/>
              </w:rPr>
              <w:t>118 692</w:t>
            </w:r>
          </w:p>
        </w:tc>
        <w:tc>
          <w:tcPr>
            <w:tcW w:w="867" w:type="dxa"/>
            <w:vAlign w:val="center"/>
          </w:tcPr>
          <w:p>
            <w:pPr>
              <w:spacing w:before="20" w:after="20" w:line="276" w:lineRule="auto"/>
              <w:jc w:val="right"/>
              <w:rPr>
                <w:noProof/>
                <w:sz w:val="20"/>
              </w:rPr>
            </w:pPr>
            <w:r>
              <w:rPr>
                <w:noProof/>
                <w:sz w:val="20"/>
              </w:rPr>
              <w:t>121 065</w:t>
            </w:r>
          </w:p>
        </w:tc>
        <w:tc>
          <w:tcPr>
            <w:tcW w:w="867" w:type="dxa"/>
            <w:vAlign w:val="center"/>
          </w:tcPr>
          <w:p>
            <w:pPr>
              <w:spacing w:before="20" w:after="20" w:line="276" w:lineRule="auto"/>
              <w:jc w:val="right"/>
              <w:rPr>
                <w:noProof/>
                <w:sz w:val="20"/>
              </w:rPr>
            </w:pPr>
            <w:r>
              <w:rPr>
                <w:noProof/>
                <w:sz w:val="20"/>
              </w:rPr>
              <w:t>123 486</w:t>
            </w:r>
          </w:p>
        </w:tc>
        <w:tc>
          <w:tcPr>
            <w:tcW w:w="898" w:type="dxa"/>
            <w:vAlign w:val="center"/>
          </w:tcPr>
          <w:p>
            <w:pPr>
              <w:spacing w:before="20" w:after="20" w:line="276" w:lineRule="auto"/>
              <w:jc w:val="right"/>
              <w:rPr>
                <w:noProof/>
                <w:sz w:val="20"/>
              </w:rPr>
            </w:pPr>
            <w:r>
              <w:rPr>
                <w:noProof/>
                <w:sz w:val="20"/>
              </w:rPr>
              <w:t>125 956</w:t>
            </w:r>
          </w:p>
        </w:tc>
        <w:tc>
          <w:tcPr>
            <w:tcW w:w="898" w:type="dxa"/>
            <w:vAlign w:val="center"/>
          </w:tcPr>
          <w:p>
            <w:pPr>
              <w:spacing w:before="20" w:after="20" w:line="276" w:lineRule="auto"/>
              <w:jc w:val="right"/>
              <w:rPr>
                <w:noProof/>
                <w:sz w:val="20"/>
              </w:rPr>
            </w:pPr>
            <w:r>
              <w:rPr>
                <w:noProof/>
                <w:sz w:val="20"/>
              </w:rPr>
              <w:t>128 476</w:t>
            </w:r>
          </w:p>
        </w:tc>
        <w:tc>
          <w:tcPr>
            <w:tcW w:w="898" w:type="dxa"/>
            <w:vAlign w:val="center"/>
          </w:tcPr>
          <w:p>
            <w:pPr>
              <w:spacing w:before="20" w:after="20" w:line="276" w:lineRule="auto"/>
              <w:jc w:val="right"/>
              <w:rPr>
                <w:noProof/>
                <w:sz w:val="20"/>
              </w:rPr>
            </w:pPr>
            <w:r>
              <w:rPr>
                <w:noProof/>
                <w:sz w:val="20"/>
              </w:rPr>
              <w:t>130 367</w:t>
            </w:r>
          </w:p>
        </w:tc>
        <w:tc>
          <w:tcPr>
            <w:tcW w:w="898" w:type="dxa"/>
            <w:vAlign w:val="center"/>
          </w:tcPr>
          <w:p>
            <w:pPr>
              <w:spacing w:before="20" w:after="20" w:line="276" w:lineRule="auto"/>
              <w:jc w:val="right"/>
              <w:rPr>
                <w:noProof/>
                <w:sz w:val="20"/>
              </w:rPr>
            </w:pPr>
            <w:r>
              <w:rPr>
                <w:noProof/>
                <w:sz w:val="20"/>
              </w:rPr>
              <w:t>-</w:t>
            </w:r>
          </w:p>
        </w:tc>
        <w:tc>
          <w:tcPr>
            <w:tcW w:w="1775" w:type="dxa"/>
            <w:vAlign w:val="center"/>
          </w:tcPr>
          <w:p>
            <w:pPr>
              <w:spacing w:before="20" w:after="20" w:line="276" w:lineRule="auto"/>
              <w:jc w:val="right"/>
              <w:rPr>
                <w:b/>
                <w:noProof/>
                <w:sz w:val="20"/>
              </w:rPr>
            </w:pPr>
            <w:r>
              <w:rPr>
                <w:b/>
                <w:noProof/>
                <w:sz w:val="20"/>
              </w:rPr>
              <w:t>864 406</w:t>
            </w:r>
          </w:p>
        </w:tc>
      </w:tr>
      <w:tr>
        <w:trPr>
          <w:trHeight w:val="570"/>
        </w:trPr>
        <w:tc>
          <w:tcPr>
            <w:tcW w:w="3956" w:type="dxa"/>
            <w:vMerge/>
          </w:tcPr>
          <w:p>
            <w:pPr>
              <w:spacing w:before="0" w:after="200" w:line="276" w:lineRule="auto"/>
              <w:jc w:val="left"/>
              <w:rPr>
                <w:noProof/>
                <w:sz w:val="20"/>
              </w:rPr>
            </w:pPr>
          </w:p>
        </w:tc>
        <w:tc>
          <w:tcPr>
            <w:tcW w:w="1438" w:type="dxa"/>
            <w:vAlign w:val="center"/>
          </w:tcPr>
          <w:p>
            <w:pPr>
              <w:spacing w:before="0" w:after="200" w:line="276" w:lineRule="auto"/>
              <w:jc w:val="left"/>
              <w:rPr>
                <w:noProof/>
                <w:sz w:val="18"/>
              </w:rPr>
            </w:pPr>
            <w:r>
              <w:rPr>
                <w:noProof/>
                <w:sz w:val="18"/>
              </w:rPr>
              <w:t>Betalinger</w:t>
            </w:r>
          </w:p>
        </w:tc>
        <w:tc>
          <w:tcPr>
            <w:tcW w:w="653" w:type="dxa"/>
            <w:gridSpan w:val="2"/>
            <w:vAlign w:val="center"/>
          </w:tcPr>
          <w:p>
            <w:pPr>
              <w:spacing w:before="0" w:after="200" w:line="276" w:lineRule="auto"/>
              <w:jc w:val="center"/>
              <w:rPr>
                <w:noProof/>
                <w:sz w:val="14"/>
              </w:rPr>
            </w:pPr>
            <w:r>
              <w:rPr>
                <w:noProof/>
                <w:sz w:val="14"/>
              </w:rPr>
              <w:t>= 2 + 2a</w:t>
            </w:r>
          </w:p>
          <w:p>
            <w:pPr>
              <w:spacing w:before="0" w:after="200" w:line="276" w:lineRule="auto"/>
              <w:jc w:val="center"/>
              <w:rPr>
                <w:noProof/>
                <w:sz w:val="14"/>
              </w:rPr>
            </w:pPr>
            <w:r>
              <w:rPr>
                <w:noProof/>
                <w:sz w:val="14"/>
              </w:rPr>
              <w:t>+3</w:t>
            </w:r>
          </w:p>
        </w:tc>
        <w:tc>
          <w:tcPr>
            <w:tcW w:w="867" w:type="dxa"/>
            <w:vAlign w:val="center"/>
          </w:tcPr>
          <w:p>
            <w:pPr>
              <w:spacing w:before="20" w:after="20" w:line="276" w:lineRule="auto"/>
              <w:jc w:val="right"/>
              <w:rPr>
                <w:noProof/>
                <w:sz w:val="20"/>
              </w:rPr>
            </w:pPr>
            <w:r>
              <w:rPr>
                <w:noProof/>
                <w:sz w:val="20"/>
              </w:rPr>
              <w:t>58 382</w:t>
            </w:r>
          </w:p>
        </w:tc>
        <w:tc>
          <w:tcPr>
            <w:tcW w:w="867" w:type="dxa"/>
            <w:vAlign w:val="center"/>
          </w:tcPr>
          <w:p>
            <w:pPr>
              <w:spacing w:before="20" w:after="20" w:line="276" w:lineRule="auto"/>
              <w:jc w:val="right"/>
              <w:rPr>
                <w:noProof/>
                <w:sz w:val="20"/>
              </w:rPr>
            </w:pPr>
            <w:r>
              <w:rPr>
                <w:noProof/>
                <w:sz w:val="20"/>
              </w:rPr>
              <w:t>86 658</w:t>
            </w:r>
          </w:p>
        </w:tc>
        <w:tc>
          <w:tcPr>
            <w:tcW w:w="867" w:type="dxa"/>
            <w:vAlign w:val="center"/>
          </w:tcPr>
          <w:p>
            <w:pPr>
              <w:spacing w:before="20" w:after="20" w:line="276" w:lineRule="auto"/>
              <w:jc w:val="right"/>
              <w:rPr>
                <w:noProof/>
                <w:sz w:val="20"/>
              </w:rPr>
            </w:pPr>
            <w:r>
              <w:rPr>
                <w:noProof/>
                <w:sz w:val="20"/>
              </w:rPr>
              <w:t>99 685</w:t>
            </w:r>
          </w:p>
        </w:tc>
        <w:tc>
          <w:tcPr>
            <w:tcW w:w="867" w:type="dxa"/>
            <w:vAlign w:val="center"/>
          </w:tcPr>
          <w:p>
            <w:pPr>
              <w:spacing w:before="20" w:after="20" w:line="276" w:lineRule="auto"/>
              <w:jc w:val="right"/>
              <w:rPr>
                <w:noProof/>
                <w:sz w:val="20"/>
              </w:rPr>
            </w:pPr>
            <w:r>
              <w:rPr>
                <w:noProof/>
                <w:sz w:val="20"/>
              </w:rPr>
              <w:t>104 053</w:t>
            </w:r>
          </w:p>
        </w:tc>
        <w:tc>
          <w:tcPr>
            <w:tcW w:w="898" w:type="dxa"/>
            <w:vAlign w:val="center"/>
          </w:tcPr>
          <w:p>
            <w:pPr>
              <w:spacing w:before="20" w:after="20" w:line="276" w:lineRule="auto"/>
              <w:jc w:val="right"/>
              <w:rPr>
                <w:noProof/>
                <w:sz w:val="20"/>
              </w:rPr>
            </w:pPr>
            <w:r>
              <w:rPr>
                <w:noProof/>
                <w:sz w:val="20"/>
              </w:rPr>
              <w:t>106 886</w:t>
            </w:r>
          </w:p>
        </w:tc>
        <w:tc>
          <w:tcPr>
            <w:tcW w:w="898" w:type="dxa"/>
            <w:vAlign w:val="center"/>
          </w:tcPr>
          <w:p>
            <w:pPr>
              <w:spacing w:before="20" w:after="20" w:line="276" w:lineRule="auto"/>
              <w:jc w:val="right"/>
              <w:rPr>
                <w:noProof/>
                <w:sz w:val="20"/>
              </w:rPr>
            </w:pPr>
            <w:r>
              <w:rPr>
                <w:noProof/>
                <w:sz w:val="20"/>
              </w:rPr>
              <w:t>109 981</w:t>
            </w:r>
          </w:p>
        </w:tc>
        <w:tc>
          <w:tcPr>
            <w:tcW w:w="898" w:type="dxa"/>
            <w:vAlign w:val="center"/>
          </w:tcPr>
          <w:p>
            <w:pPr>
              <w:spacing w:before="20" w:after="20" w:line="276" w:lineRule="auto"/>
              <w:jc w:val="right"/>
              <w:rPr>
                <w:noProof/>
                <w:sz w:val="20"/>
              </w:rPr>
            </w:pPr>
            <w:r>
              <w:rPr>
                <w:noProof/>
                <w:sz w:val="20"/>
              </w:rPr>
              <w:t>109 853</w:t>
            </w:r>
          </w:p>
        </w:tc>
        <w:tc>
          <w:tcPr>
            <w:tcW w:w="898" w:type="dxa"/>
            <w:vAlign w:val="center"/>
          </w:tcPr>
          <w:p>
            <w:pPr>
              <w:spacing w:before="20" w:after="20" w:line="276" w:lineRule="auto"/>
              <w:jc w:val="right"/>
              <w:rPr>
                <w:noProof/>
                <w:sz w:val="20"/>
              </w:rPr>
            </w:pPr>
            <w:r>
              <w:rPr>
                <w:noProof/>
                <w:sz w:val="20"/>
              </w:rPr>
              <w:t>188 908</w:t>
            </w:r>
          </w:p>
        </w:tc>
        <w:tc>
          <w:tcPr>
            <w:tcW w:w="1775" w:type="dxa"/>
            <w:vAlign w:val="center"/>
          </w:tcPr>
          <w:p>
            <w:pPr>
              <w:spacing w:before="20" w:after="20" w:line="276" w:lineRule="auto"/>
              <w:jc w:val="right"/>
              <w:rPr>
                <w:b/>
                <w:noProof/>
                <w:sz w:val="20"/>
              </w:rPr>
            </w:pPr>
            <w:r>
              <w:rPr>
                <w:b/>
                <w:noProof/>
                <w:sz w:val="20"/>
              </w:rPr>
              <w:t>864 406</w:t>
            </w:r>
          </w:p>
        </w:tc>
      </w:tr>
    </w:tbl>
    <w:p>
      <w:pPr>
        <w:rPr>
          <w:noProof/>
        </w:rPr>
      </w:pP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Udgifts</w:t>
            </w:r>
            <w:r>
              <w:rPr>
                <w:b/>
                <w:noProof/>
                <w:sz w:val="22"/>
              </w:rPr>
              <w:softHyphen/>
              <w:t xml:space="preserve">område i den flerårige finansielle ramme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"Administration"</w:t>
            </w:r>
          </w:p>
        </w:tc>
      </w:tr>
    </w:tbl>
    <w:p>
      <w:pPr>
        <w:jc w:val="right"/>
        <w:rPr>
          <w:noProof/>
          <w:sz w:val="20"/>
        </w:rPr>
      </w:pPr>
      <w:r>
        <w:rPr>
          <w:noProof/>
          <w:sz w:val="20"/>
        </w:rPr>
        <w:t>i mio. EUR (tre decimaler)</w:t>
      </w:r>
    </w:p>
    <w:tbl>
      <w:tblPr>
        <w:tblW w:w="148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1"/>
        <w:gridCol w:w="1611"/>
        <w:gridCol w:w="527"/>
        <w:gridCol w:w="26"/>
        <w:gridCol w:w="896"/>
        <w:gridCol w:w="13"/>
        <w:gridCol w:w="883"/>
        <w:gridCol w:w="882"/>
        <w:gridCol w:w="14"/>
        <w:gridCol w:w="896"/>
        <w:gridCol w:w="50"/>
        <w:gridCol w:w="1024"/>
        <w:gridCol w:w="1074"/>
        <w:gridCol w:w="1074"/>
        <w:gridCol w:w="1836"/>
      </w:tblGrid>
      <w:tr>
        <w:trPr>
          <w:trHeight w:val="701"/>
        </w:trPr>
        <w:tc>
          <w:tcPr>
            <w:tcW w:w="4091" w:type="dxa"/>
            <w:tcBorders>
              <w:top w:val="nil"/>
              <w:left w:val="nil"/>
              <w:right w:val="nil"/>
            </w:tcBorders>
            <w:vAlign w:val="center"/>
          </w:tcPr>
          <w:p>
            <w:pPr>
              <w:spacing w:before="0" w:after="200" w:line="276" w:lineRule="auto"/>
              <w:jc w:val="center"/>
              <w:rPr>
                <w:noProof/>
                <w:sz w:val="22"/>
              </w:rPr>
            </w:pPr>
          </w:p>
        </w:tc>
        <w:tc>
          <w:tcPr>
            <w:tcW w:w="1611" w:type="dxa"/>
            <w:tcBorders>
              <w:top w:val="nil"/>
              <w:left w:val="nil"/>
              <w:right w:val="nil"/>
            </w:tcBorders>
          </w:tcPr>
          <w:p>
            <w:pPr>
              <w:spacing w:before="0" w:after="200" w:line="276" w:lineRule="auto"/>
              <w:jc w:val="left"/>
              <w:rPr>
                <w:noProof/>
                <w:sz w:val="20"/>
              </w:rPr>
            </w:pPr>
          </w:p>
        </w:tc>
        <w:tc>
          <w:tcPr>
            <w:tcW w:w="553" w:type="dxa"/>
            <w:gridSpan w:val="2"/>
            <w:tcBorders>
              <w:top w:val="nil"/>
              <w:left w:val="nil"/>
            </w:tcBorders>
          </w:tcPr>
          <w:p>
            <w:pPr>
              <w:spacing w:before="0" w:after="200" w:line="276" w:lineRule="auto"/>
              <w:jc w:val="center"/>
              <w:rPr>
                <w:noProof/>
                <w:sz w:val="20"/>
              </w:rPr>
            </w:pPr>
          </w:p>
        </w:tc>
        <w:tc>
          <w:tcPr>
            <w:tcW w:w="896" w:type="dxa"/>
            <w:vAlign w:val="center"/>
          </w:tcPr>
          <w:p>
            <w:pPr>
              <w:spacing w:before="0" w:after="200" w:line="276" w:lineRule="auto"/>
              <w:jc w:val="center"/>
              <w:rPr>
                <w:noProof/>
                <w:sz w:val="20"/>
              </w:rPr>
            </w:pPr>
            <w:r>
              <w:rPr>
                <w:noProof/>
                <w:sz w:val="20"/>
              </w:rPr>
              <w:t>År</w:t>
            </w:r>
            <w:r>
              <w:rPr>
                <w:noProof/>
              </w:rPr>
              <w:t xml:space="preserve"> </w:t>
            </w:r>
            <w:r>
              <w:rPr>
                <w:noProof/>
              </w:rPr>
              <w:br/>
            </w:r>
            <w:r>
              <w:rPr>
                <w:b/>
                <w:noProof/>
                <w:sz w:val="20"/>
              </w:rPr>
              <w:t>2021</w:t>
            </w:r>
          </w:p>
        </w:tc>
        <w:tc>
          <w:tcPr>
            <w:tcW w:w="896" w:type="dxa"/>
            <w:gridSpan w:val="2"/>
            <w:vAlign w:val="center"/>
          </w:tcPr>
          <w:p>
            <w:pPr>
              <w:spacing w:before="0" w:after="200" w:line="276" w:lineRule="auto"/>
              <w:jc w:val="center"/>
              <w:rPr>
                <w:noProof/>
                <w:sz w:val="20"/>
              </w:rPr>
            </w:pPr>
            <w:r>
              <w:rPr>
                <w:noProof/>
                <w:sz w:val="20"/>
              </w:rPr>
              <w:t>År</w:t>
            </w:r>
            <w:r>
              <w:rPr>
                <w:noProof/>
              </w:rPr>
              <w:t xml:space="preserve"> </w:t>
            </w:r>
            <w:r>
              <w:rPr>
                <w:noProof/>
              </w:rPr>
              <w:br/>
            </w:r>
            <w:r>
              <w:rPr>
                <w:b/>
                <w:noProof/>
                <w:sz w:val="20"/>
              </w:rPr>
              <w:t>2022</w:t>
            </w:r>
          </w:p>
        </w:tc>
        <w:tc>
          <w:tcPr>
            <w:tcW w:w="896" w:type="dxa"/>
            <w:gridSpan w:val="2"/>
            <w:vAlign w:val="center"/>
          </w:tcPr>
          <w:p>
            <w:pPr>
              <w:spacing w:before="0" w:after="200" w:line="276" w:lineRule="auto"/>
              <w:jc w:val="center"/>
              <w:rPr>
                <w:noProof/>
                <w:sz w:val="20"/>
              </w:rPr>
            </w:pPr>
            <w:r>
              <w:rPr>
                <w:noProof/>
                <w:sz w:val="20"/>
              </w:rPr>
              <w:t>År</w:t>
            </w:r>
            <w:r>
              <w:rPr>
                <w:noProof/>
              </w:rPr>
              <w:t xml:space="preserve"> </w:t>
            </w:r>
            <w:r>
              <w:rPr>
                <w:noProof/>
              </w:rPr>
              <w:br/>
            </w:r>
            <w:r>
              <w:rPr>
                <w:b/>
                <w:noProof/>
                <w:sz w:val="20"/>
              </w:rPr>
              <w:t>2023</w:t>
            </w:r>
          </w:p>
        </w:tc>
        <w:tc>
          <w:tcPr>
            <w:tcW w:w="896" w:type="dxa"/>
            <w:vAlign w:val="center"/>
          </w:tcPr>
          <w:p>
            <w:pPr>
              <w:spacing w:before="0" w:after="200" w:line="276" w:lineRule="auto"/>
              <w:jc w:val="center"/>
              <w:rPr>
                <w:noProof/>
                <w:sz w:val="20"/>
              </w:rPr>
            </w:pPr>
            <w:r>
              <w:rPr>
                <w:noProof/>
                <w:sz w:val="20"/>
              </w:rPr>
              <w:t>År</w:t>
            </w:r>
            <w:r>
              <w:rPr>
                <w:noProof/>
              </w:rPr>
              <w:t xml:space="preserve"> </w:t>
            </w:r>
            <w:r>
              <w:rPr>
                <w:noProof/>
              </w:rPr>
              <w:br/>
            </w:r>
            <w:r>
              <w:rPr>
                <w:b/>
                <w:noProof/>
                <w:sz w:val="20"/>
              </w:rPr>
              <w:t>2024</w:t>
            </w:r>
          </w:p>
        </w:tc>
        <w:tc>
          <w:tcPr>
            <w:tcW w:w="1074" w:type="dxa"/>
            <w:gridSpan w:val="2"/>
          </w:tcPr>
          <w:p>
            <w:pPr>
              <w:spacing w:before="0" w:after="200" w:line="276" w:lineRule="auto"/>
              <w:jc w:val="center"/>
              <w:rPr>
                <w:noProof/>
                <w:sz w:val="18"/>
              </w:rPr>
            </w:pPr>
            <w:r>
              <w:rPr>
                <w:noProof/>
                <w:sz w:val="20"/>
              </w:rPr>
              <w:t>År</w:t>
            </w:r>
            <w:r>
              <w:rPr>
                <w:noProof/>
              </w:rPr>
              <w:t xml:space="preserve"> </w:t>
            </w:r>
            <w:r>
              <w:rPr>
                <w:noProof/>
              </w:rPr>
              <w:br/>
            </w:r>
            <w:r>
              <w:rPr>
                <w:b/>
                <w:noProof/>
                <w:sz w:val="20"/>
              </w:rPr>
              <w:t>2025</w:t>
            </w:r>
          </w:p>
        </w:tc>
        <w:tc>
          <w:tcPr>
            <w:tcW w:w="1074" w:type="dxa"/>
          </w:tcPr>
          <w:p>
            <w:pPr>
              <w:spacing w:before="0" w:after="200" w:line="276" w:lineRule="auto"/>
              <w:jc w:val="center"/>
              <w:rPr>
                <w:noProof/>
                <w:sz w:val="18"/>
              </w:rPr>
            </w:pPr>
            <w:r>
              <w:rPr>
                <w:noProof/>
                <w:sz w:val="20"/>
              </w:rPr>
              <w:t>År</w:t>
            </w:r>
            <w:r>
              <w:rPr>
                <w:noProof/>
              </w:rPr>
              <w:t xml:space="preserve"> </w:t>
            </w:r>
            <w:r>
              <w:rPr>
                <w:noProof/>
              </w:rPr>
              <w:br/>
            </w:r>
            <w:r>
              <w:rPr>
                <w:b/>
                <w:noProof/>
                <w:sz w:val="20"/>
              </w:rPr>
              <w:t>2026</w:t>
            </w:r>
          </w:p>
        </w:tc>
        <w:tc>
          <w:tcPr>
            <w:tcW w:w="1074" w:type="dxa"/>
          </w:tcPr>
          <w:p>
            <w:pPr>
              <w:spacing w:before="0" w:after="200" w:line="276" w:lineRule="auto"/>
              <w:jc w:val="center"/>
              <w:rPr>
                <w:noProof/>
                <w:sz w:val="18"/>
              </w:rPr>
            </w:pPr>
            <w:r>
              <w:rPr>
                <w:noProof/>
                <w:sz w:val="20"/>
              </w:rPr>
              <w:t>År</w:t>
            </w:r>
            <w:r>
              <w:rPr>
                <w:noProof/>
              </w:rPr>
              <w:t xml:space="preserve"> </w:t>
            </w:r>
            <w:r>
              <w:rPr>
                <w:noProof/>
              </w:rPr>
              <w:br/>
            </w:r>
            <w:r>
              <w:rPr>
                <w:b/>
                <w:noProof/>
                <w:sz w:val="20"/>
              </w:rPr>
              <w:t>2027</w:t>
            </w:r>
          </w:p>
        </w:tc>
        <w:tc>
          <w:tcPr>
            <w:tcW w:w="1836" w:type="dxa"/>
            <w:vAlign w:val="center"/>
          </w:tcPr>
          <w:p>
            <w:pPr>
              <w:spacing w:before="0" w:after="200" w:line="276" w:lineRule="auto"/>
              <w:jc w:val="center"/>
              <w:rPr>
                <w:b/>
                <w:noProof/>
                <w:sz w:val="20"/>
              </w:rPr>
            </w:pPr>
            <w:r>
              <w:rPr>
                <w:b/>
                <w:noProof/>
                <w:sz w:val="20"/>
              </w:rPr>
              <w:t>I ALT</w:t>
            </w:r>
          </w:p>
        </w:tc>
      </w:tr>
      <w:tr>
        <w:trPr>
          <w:gridAfter w:val="4"/>
          <w:wAfter w:w="5008" w:type="dxa"/>
          <w:trHeight w:val="394"/>
        </w:trPr>
        <w:tc>
          <w:tcPr>
            <w:tcW w:w="4091" w:type="dxa"/>
            <w:vAlign w:val="center"/>
          </w:tcPr>
          <w:p>
            <w:pPr>
              <w:spacing w:before="60" w:after="60" w:line="276" w:lineRule="auto"/>
              <w:jc w:val="center"/>
              <w:rPr>
                <w:noProof/>
                <w:sz w:val="22"/>
              </w:rPr>
            </w:pPr>
            <w:r>
              <w:rPr>
                <w:noProof/>
                <w:sz w:val="22"/>
              </w:rPr>
              <w:t>GD: REFORM</w:t>
            </w:r>
          </w:p>
        </w:tc>
        <w:tc>
          <w:tcPr>
            <w:tcW w:w="2138" w:type="dxa"/>
            <w:gridSpan w:val="2"/>
          </w:tcPr>
          <w:p>
            <w:pPr>
              <w:spacing w:before="60" w:after="60" w:line="276" w:lineRule="auto"/>
              <w:jc w:val="center"/>
              <w:rPr>
                <w:noProof/>
                <w:sz w:val="22"/>
              </w:rPr>
            </w:pPr>
          </w:p>
        </w:tc>
        <w:tc>
          <w:tcPr>
            <w:tcW w:w="935" w:type="dxa"/>
            <w:gridSpan w:val="3"/>
          </w:tcPr>
          <w:p>
            <w:pPr>
              <w:spacing w:before="20" w:after="20" w:line="276" w:lineRule="auto"/>
              <w:jc w:val="right"/>
              <w:rPr>
                <w:b/>
                <w:noProof/>
                <w:sz w:val="20"/>
              </w:rPr>
            </w:pPr>
          </w:p>
        </w:tc>
        <w:tc>
          <w:tcPr>
            <w:tcW w:w="1765" w:type="dxa"/>
            <w:gridSpan w:val="2"/>
          </w:tcPr>
          <w:p>
            <w:pPr>
              <w:spacing w:before="60" w:after="60" w:line="276" w:lineRule="auto"/>
              <w:jc w:val="center"/>
              <w:rPr>
                <w:noProof/>
                <w:sz w:val="22"/>
              </w:rPr>
            </w:pPr>
          </w:p>
        </w:tc>
        <w:tc>
          <w:tcPr>
            <w:tcW w:w="960" w:type="dxa"/>
            <w:gridSpan w:val="3"/>
          </w:tcPr>
          <w:p>
            <w:pPr>
              <w:spacing w:before="60" w:after="60" w:line="276" w:lineRule="auto"/>
              <w:jc w:val="center"/>
              <w:rPr>
                <w:noProof/>
                <w:sz w:val="22"/>
              </w:rPr>
            </w:pPr>
          </w:p>
        </w:tc>
      </w:tr>
      <w:tr>
        <w:trPr>
          <w:trHeight w:val="305"/>
        </w:trPr>
        <w:tc>
          <w:tcPr>
            <w:tcW w:w="6255" w:type="dxa"/>
            <w:gridSpan w:val="4"/>
            <w:vAlign w:val="center"/>
          </w:tcPr>
          <w:p>
            <w:pPr>
              <w:spacing w:before="20" w:after="20" w:line="276" w:lineRule="auto"/>
              <w:jc w:val="left"/>
              <w:rPr>
                <w:noProof/>
                <w:sz w:val="22"/>
              </w:rPr>
            </w:pPr>
            <w:r>
              <w:rPr>
                <w:noProof/>
                <w:sz w:val="22"/>
              </w:rPr>
              <w:sym w:font="Wingdings" w:char="F09F"/>
            </w:r>
            <w:r>
              <w:rPr>
                <w:noProof/>
                <w:sz w:val="22"/>
              </w:rPr>
              <w:t xml:space="preserve"> Menneskelige ressourcer </w:t>
            </w:r>
          </w:p>
        </w:tc>
        <w:tc>
          <w:tcPr>
            <w:tcW w:w="896" w:type="dxa"/>
            <w:vAlign w:val="center"/>
          </w:tcPr>
          <w:p>
            <w:pPr>
              <w:spacing w:before="20" w:after="20" w:line="276" w:lineRule="auto"/>
              <w:jc w:val="right"/>
              <w:rPr>
                <w:noProof/>
                <w:sz w:val="20"/>
              </w:rPr>
            </w:pPr>
            <w:r>
              <w:rPr>
                <w:noProof/>
                <w:sz w:val="20"/>
              </w:rPr>
              <w:t>29 890</w:t>
            </w:r>
          </w:p>
        </w:tc>
        <w:tc>
          <w:tcPr>
            <w:tcW w:w="896" w:type="dxa"/>
            <w:gridSpan w:val="2"/>
            <w:vAlign w:val="center"/>
          </w:tcPr>
          <w:p>
            <w:pPr>
              <w:spacing w:before="20" w:after="20" w:line="276" w:lineRule="auto"/>
              <w:jc w:val="right"/>
              <w:rPr>
                <w:noProof/>
                <w:sz w:val="20"/>
              </w:rPr>
            </w:pPr>
            <w:r>
              <w:rPr>
                <w:noProof/>
                <w:sz w:val="20"/>
              </w:rPr>
              <w:t>31 945</w:t>
            </w:r>
          </w:p>
        </w:tc>
        <w:tc>
          <w:tcPr>
            <w:tcW w:w="896" w:type="dxa"/>
            <w:gridSpan w:val="2"/>
            <w:vAlign w:val="center"/>
          </w:tcPr>
          <w:p>
            <w:pPr>
              <w:spacing w:before="20" w:after="20" w:line="276" w:lineRule="auto"/>
              <w:jc w:val="right"/>
              <w:rPr>
                <w:noProof/>
                <w:sz w:val="20"/>
              </w:rPr>
            </w:pPr>
            <w:r>
              <w:rPr>
                <w:noProof/>
                <w:sz w:val="20"/>
              </w:rPr>
              <w:t>31 945</w:t>
            </w:r>
          </w:p>
        </w:tc>
        <w:tc>
          <w:tcPr>
            <w:tcW w:w="896" w:type="dxa"/>
            <w:vAlign w:val="center"/>
          </w:tcPr>
          <w:p>
            <w:pPr>
              <w:spacing w:before="20" w:after="20" w:line="276" w:lineRule="auto"/>
              <w:jc w:val="right"/>
              <w:rPr>
                <w:noProof/>
                <w:sz w:val="20"/>
              </w:rPr>
            </w:pPr>
            <w:r>
              <w:rPr>
                <w:noProof/>
                <w:sz w:val="20"/>
              </w:rPr>
              <w:t>31 945</w:t>
            </w:r>
          </w:p>
        </w:tc>
        <w:tc>
          <w:tcPr>
            <w:tcW w:w="1074" w:type="dxa"/>
            <w:gridSpan w:val="2"/>
          </w:tcPr>
          <w:p>
            <w:pPr>
              <w:spacing w:before="20" w:after="20" w:line="276" w:lineRule="auto"/>
              <w:jc w:val="right"/>
              <w:rPr>
                <w:noProof/>
                <w:sz w:val="20"/>
              </w:rPr>
            </w:pPr>
            <w:r>
              <w:rPr>
                <w:noProof/>
                <w:sz w:val="20"/>
              </w:rPr>
              <w:t>31 945</w:t>
            </w:r>
          </w:p>
        </w:tc>
        <w:tc>
          <w:tcPr>
            <w:tcW w:w="1074" w:type="dxa"/>
          </w:tcPr>
          <w:p>
            <w:pPr>
              <w:spacing w:before="20" w:after="20" w:line="276" w:lineRule="auto"/>
              <w:jc w:val="right"/>
              <w:rPr>
                <w:noProof/>
                <w:sz w:val="20"/>
              </w:rPr>
            </w:pPr>
            <w:r>
              <w:rPr>
                <w:noProof/>
                <w:sz w:val="20"/>
              </w:rPr>
              <w:t>31 945</w:t>
            </w:r>
          </w:p>
        </w:tc>
        <w:tc>
          <w:tcPr>
            <w:tcW w:w="1074" w:type="dxa"/>
          </w:tcPr>
          <w:p>
            <w:pPr>
              <w:spacing w:before="20" w:after="20" w:line="276" w:lineRule="auto"/>
              <w:jc w:val="right"/>
              <w:rPr>
                <w:noProof/>
                <w:sz w:val="20"/>
              </w:rPr>
            </w:pPr>
            <w:r>
              <w:rPr>
                <w:noProof/>
                <w:sz w:val="20"/>
              </w:rPr>
              <w:t>31 945</w:t>
            </w:r>
          </w:p>
        </w:tc>
        <w:tc>
          <w:tcPr>
            <w:tcW w:w="1836" w:type="dxa"/>
            <w:vAlign w:val="center"/>
          </w:tcPr>
          <w:p>
            <w:pPr>
              <w:spacing w:before="20" w:after="20" w:line="276" w:lineRule="auto"/>
              <w:jc w:val="right"/>
              <w:rPr>
                <w:noProof/>
                <w:sz w:val="20"/>
              </w:rPr>
            </w:pPr>
            <w:r>
              <w:rPr>
                <w:noProof/>
                <w:sz w:val="20"/>
              </w:rPr>
              <w:t>221 560</w:t>
            </w:r>
          </w:p>
        </w:tc>
      </w:tr>
      <w:tr>
        <w:trPr>
          <w:trHeight w:val="342"/>
        </w:trPr>
        <w:tc>
          <w:tcPr>
            <w:tcW w:w="6255" w:type="dxa"/>
            <w:gridSpan w:val="4"/>
            <w:vAlign w:val="center"/>
          </w:tcPr>
          <w:p>
            <w:pPr>
              <w:spacing w:before="20" w:after="20" w:line="276" w:lineRule="auto"/>
              <w:jc w:val="left"/>
              <w:rPr>
                <w:noProof/>
                <w:sz w:val="22"/>
              </w:rPr>
            </w:pPr>
            <w:r>
              <w:rPr>
                <w:noProof/>
                <w:sz w:val="22"/>
              </w:rPr>
              <w:sym w:font="Wingdings" w:char="F09F"/>
            </w:r>
            <w:r>
              <w:rPr>
                <w:noProof/>
                <w:sz w:val="22"/>
              </w:rPr>
              <w:t xml:space="preserve"> Andre administrationsudgifter </w:t>
            </w:r>
          </w:p>
        </w:tc>
        <w:tc>
          <w:tcPr>
            <w:tcW w:w="896" w:type="dxa"/>
            <w:vAlign w:val="center"/>
          </w:tcPr>
          <w:p>
            <w:pPr>
              <w:spacing w:before="20" w:after="20" w:line="276" w:lineRule="auto"/>
              <w:jc w:val="right"/>
              <w:rPr>
                <w:noProof/>
                <w:sz w:val="20"/>
              </w:rPr>
            </w:pPr>
            <w:r>
              <w:rPr>
                <w:noProof/>
                <w:sz w:val="20"/>
              </w:rPr>
              <w:t>1 400</w:t>
            </w:r>
          </w:p>
        </w:tc>
        <w:tc>
          <w:tcPr>
            <w:tcW w:w="896" w:type="dxa"/>
            <w:gridSpan w:val="2"/>
            <w:vAlign w:val="center"/>
          </w:tcPr>
          <w:p>
            <w:pPr>
              <w:spacing w:before="20" w:after="20" w:line="276" w:lineRule="auto"/>
              <w:jc w:val="right"/>
              <w:rPr>
                <w:noProof/>
                <w:sz w:val="20"/>
              </w:rPr>
            </w:pPr>
            <w:r>
              <w:rPr>
                <w:noProof/>
                <w:sz w:val="20"/>
              </w:rPr>
              <w:t>1 655</w:t>
            </w:r>
          </w:p>
        </w:tc>
        <w:tc>
          <w:tcPr>
            <w:tcW w:w="896" w:type="dxa"/>
            <w:gridSpan w:val="2"/>
            <w:vAlign w:val="center"/>
          </w:tcPr>
          <w:p>
            <w:pPr>
              <w:spacing w:before="20" w:after="20" w:line="276" w:lineRule="auto"/>
              <w:jc w:val="right"/>
              <w:rPr>
                <w:noProof/>
                <w:sz w:val="20"/>
              </w:rPr>
            </w:pPr>
            <w:r>
              <w:rPr>
                <w:noProof/>
                <w:sz w:val="20"/>
              </w:rPr>
              <w:t>1 695</w:t>
            </w:r>
          </w:p>
        </w:tc>
        <w:tc>
          <w:tcPr>
            <w:tcW w:w="896" w:type="dxa"/>
            <w:vAlign w:val="center"/>
          </w:tcPr>
          <w:p>
            <w:pPr>
              <w:spacing w:before="20" w:after="20" w:line="276" w:lineRule="auto"/>
              <w:jc w:val="right"/>
              <w:rPr>
                <w:noProof/>
                <w:sz w:val="20"/>
              </w:rPr>
            </w:pPr>
            <w:r>
              <w:rPr>
                <w:noProof/>
                <w:sz w:val="20"/>
              </w:rPr>
              <w:t>1 695</w:t>
            </w:r>
          </w:p>
        </w:tc>
        <w:tc>
          <w:tcPr>
            <w:tcW w:w="1074" w:type="dxa"/>
            <w:gridSpan w:val="2"/>
          </w:tcPr>
          <w:p>
            <w:pPr>
              <w:spacing w:before="20" w:after="20" w:line="276" w:lineRule="auto"/>
              <w:jc w:val="right"/>
              <w:rPr>
                <w:noProof/>
                <w:sz w:val="20"/>
              </w:rPr>
            </w:pPr>
            <w:r>
              <w:rPr>
                <w:noProof/>
                <w:sz w:val="20"/>
              </w:rPr>
              <w:t>1 695</w:t>
            </w:r>
          </w:p>
        </w:tc>
        <w:tc>
          <w:tcPr>
            <w:tcW w:w="1074" w:type="dxa"/>
          </w:tcPr>
          <w:p>
            <w:pPr>
              <w:spacing w:before="20" w:after="20" w:line="276" w:lineRule="auto"/>
              <w:jc w:val="right"/>
              <w:rPr>
                <w:noProof/>
                <w:sz w:val="20"/>
              </w:rPr>
            </w:pPr>
            <w:r>
              <w:rPr>
                <w:noProof/>
                <w:sz w:val="20"/>
              </w:rPr>
              <w:t>1 695</w:t>
            </w:r>
          </w:p>
        </w:tc>
        <w:tc>
          <w:tcPr>
            <w:tcW w:w="1074" w:type="dxa"/>
          </w:tcPr>
          <w:p>
            <w:pPr>
              <w:spacing w:before="20" w:after="20" w:line="276" w:lineRule="auto"/>
              <w:jc w:val="right"/>
              <w:rPr>
                <w:noProof/>
                <w:sz w:val="20"/>
              </w:rPr>
            </w:pPr>
            <w:r>
              <w:rPr>
                <w:noProof/>
                <w:sz w:val="20"/>
              </w:rPr>
              <w:t>1 695</w:t>
            </w:r>
          </w:p>
        </w:tc>
        <w:tc>
          <w:tcPr>
            <w:tcW w:w="1836" w:type="dxa"/>
            <w:vAlign w:val="center"/>
          </w:tcPr>
          <w:p>
            <w:pPr>
              <w:spacing w:before="20" w:after="20" w:line="276" w:lineRule="auto"/>
              <w:jc w:val="right"/>
              <w:rPr>
                <w:noProof/>
                <w:sz w:val="20"/>
              </w:rPr>
            </w:pPr>
            <w:r>
              <w:rPr>
                <w:noProof/>
                <w:sz w:val="20"/>
              </w:rPr>
              <w:t>11 530</w:t>
            </w:r>
          </w:p>
        </w:tc>
      </w:tr>
      <w:tr>
        <w:trPr>
          <w:trHeight w:val="467"/>
        </w:trPr>
        <w:tc>
          <w:tcPr>
            <w:tcW w:w="4091" w:type="dxa"/>
            <w:vAlign w:val="center"/>
          </w:tcPr>
          <w:p>
            <w:pPr>
              <w:spacing w:before="0" w:after="200" w:line="276" w:lineRule="auto"/>
              <w:jc w:val="center"/>
              <w:rPr>
                <w:b/>
                <w:noProof/>
                <w:sz w:val="22"/>
              </w:rPr>
            </w:pPr>
            <w:r>
              <w:rPr>
                <w:b/>
                <w:noProof/>
                <w:sz w:val="22"/>
              </w:rPr>
              <w:t xml:space="preserve">I ALT GD </w:t>
            </w:r>
            <w:r>
              <w:rPr>
                <w:noProof/>
                <w:sz w:val="22"/>
              </w:rPr>
              <w:t>REFORM</w:t>
            </w:r>
          </w:p>
        </w:tc>
        <w:tc>
          <w:tcPr>
            <w:tcW w:w="2164" w:type="dxa"/>
            <w:gridSpan w:val="3"/>
            <w:vAlign w:val="center"/>
          </w:tcPr>
          <w:p>
            <w:pPr>
              <w:spacing w:before="0" w:after="200" w:line="276" w:lineRule="auto"/>
              <w:jc w:val="left"/>
              <w:rPr>
                <w:noProof/>
                <w:sz w:val="14"/>
              </w:rPr>
            </w:pPr>
            <w:r>
              <w:rPr>
                <w:noProof/>
                <w:sz w:val="18"/>
              </w:rPr>
              <w:t xml:space="preserve">Bevillinger </w:t>
            </w:r>
          </w:p>
        </w:tc>
        <w:tc>
          <w:tcPr>
            <w:tcW w:w="896" w:type="dxa"/>
            <w:vAlign w:val="center"/>
          </w:tcPr>
          <w:p>
            <w:pPr>
              <w:spacing w:before="60" w:after="60" w:line="276" w:lineRule="auto"/>
              <w:jc w:val="right"/>
              <w:rPr>
                <w:noProof/>
                <w:sz w:val="20"/>
              </w:rPr>
            </w:pPr>
            <w:r>
              <w:rPr>
                <w:noProof/>
                <w:sz w:val="20"/>
              </w:rPr>
              <w:t>31 290</w:t>
            </w:r>
          </w:p>
        </w:tc>
        <w:tc>
          <w:tcPr>
            <w:tcW w:w="896" w:type="dxa"/>
            <w:gridSpan w:val="2"/>
            <w:vAlign w:val="center"/>
          </w:tcPr>
          <w:p>
            <w:pPr>
              <w:spacing w:before="20" w:after="20" w:line="276" w:lineRule="auto"/>
              <w:jc w:val="right"/>
              <w:rPr>
                <w:noProof/>
                <w:sz w:val="20"/>
              </w:rPr>
            </w:pPr>
            <w:r>
              <w:rPr>
                <w:noProof/>
                <w:sz w:val="20"/>
              </w:rPr>
              <w:t>33 600</w:t>
            </w:r>
          </w:p>
        </w:tc>
        <w:tc>
          <w:tcPr>
            <w:tcW w:w="896" w:type="dxa"/>
            <w:gridSpan w:val="2"/>
            <w:vAlign w:val="center"/>
          </w:tcPr>
          <w:p>
            <w:pPr>
              <w:spacing w:before="20" w:after="20" w:line="276" w:lineRule="auto"/>
              <w:jc w:val="right"/>
              <w:rPr>
                <w:noProof/>
                <w:sz w:val="20"/>
              </w:rPr>
            </w:pPr>
            <w:r>
              <w:rPr>
                <w:noProof/>
                <w:sz w:val="20"/>
              </w:rPr>
              <w:t>33 640</w:t>
            </w:r>
          </w:p>
        </w:tc>
        <w:tc>
          <w:tcPr>
            <w:tcW w:w="896" w:type="dxa"/>
            <w:vAlign w:val="center"/>
          </w:tcPr>
          <w:p>
            <w:pPr>
              <w:spacing w:before="20" w:after="20" w:line="276" w:lineRule="auto"/>
              <w:jc w:val="right"/>
              <w:rPr>
                <w:noProof/>
                <w:sz w:val="20"/>
              </w:rPr>
            </w:pPr>
            <w:r>
              <w:rPr>
                <w:noProof/>
                <w:sz w:val="20"/>
              </w:rPr>
              <w:t>33 640</w:t>
            </w:r>
          </w:p>
        </w:tc>
        <w:tc>
          <w:tcPr>
            <w:tcW w:w="1074" w:type="dxa"/>
            <w:gridSpan w:val="2"/>
          </w:tcPr>
          <w:p>
            <w:pPr>
              <w:spacing w:before="20" w:after="20" w:line="276" w:lineRule="auto"/>
              <w:jc w:val="right"/>
              <w:rPr>
                <w:noProof/>
                <w:sz w:val="20"/>
              </w:rPr>
            </w:pPr>
            <w:r>
              <w:rPr>
                <w:noProof/>
                <w:sz w:val="20"/>
              </w:rPr>
              <w:t>33 640</w:t>
            </w:r>
          </w:p>
        </w:tc>
        <w:tc>
          <w:tcPr>
            <w:tcW w:w="1074" w:type="dxa"/>
          </w:tcPr>
          <w:p>
            <w:pPr>
              <w:spacing w:before="20" w:after="20" w:line="276" w:lineRule="auto"/>
              <w:jc w:val="right"/>
              <w:rPr>
                <w:noProof/>
                <w:sz w:val="20"/>
              </w:rPr>
            </w:pPr>
            <w:r>
              <w:rPr>
                <w:noProof/>
                <w:sz w:val="20"/>
              </w:rPr>
              <w:t>33 640</w:t>
            </w:r>
          </w:p>
        </w:tc>
        <w:tc>
          <w:tcPr>
            <w:tcW w:w="1074" w:type="dxa"/>
          </w:tcPr>
          <w:p>
            <w:pPr>
              <w:spacing w:before="20" w:after="20" w:line="276" w:lineRule="auto"/>
              <w:jc w:val="right"/>
              <w:rPr>
                <w:noProof/>
                <w:sz w:val="20"/>
              </w:rPr>
            </w:pPr>
            <w:r>
              <w:rPr>
                <w:noProof/>
                <w:sz w:val="20"/>
              </w:rPr>
              <w:t>33 640</w:t>
            </w:r>
          </w:p>
        </w:tc>
        <w:tc>
          <w:tcPr>
            <w:tcW w:w="1836" w:type="dxa"/>
            <w:vAlign w:val="center"/>
          </w:tcPr>
          <w:p>
            <w:pPr>
              <w:spacing w:before="20" w:after="20" w:line="276" w:lineRule="auto"/>
              <w:jc w:val="right"/>
              <w:rPr>
                <w:noProof/>
                <w:sz w:val="20"/>
              </w:rPr>
            </w:pPr>
            <w:r>
              <w:rPr>
                <w:noProof/>
                <w:sz w:val="20"/>
              </w:rPr>
              <w:t>233 090</w:t>
            </w:r>
          </w:p>
        </w:tc>
      </w:tr>
    </w:tbl>
    <w:p>
      <w:pPr>
        <w:rPr>
          <w:noProof/>
        </w:rPr>
      </w:pPr>
    </w:p>
    <w:tbl>
      <w:tblPr>
        <w:tblW w:w="148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9"/>
        <w:gridCol w:w="2157"/>
        <w:gridCol w:w="894"/>
        <w:gridCol w:w="894"/>
        <w:gridCol w:w="894"/>
        <w:gridCol w:w="894"/>
        <w:gridCol w:w="1071"/>
        <w:gridCol w:w="1022"/>
        <w:gridCol w:w="1168"/>
        <w:gridCol w:w="1752"/>
      </w:tblGrid>
      <w:tr>
        <w:trPr>
          <w:trHeight w:val="1065"/>
        </w:trPr>
        <w:tc>
          <w:tcPr>
            <w:tcW w:w="4079" w:type="dxa"/>
            <w:shd w:val="thinDiagStripe" w:color="C0C0C0" w:fill="auto"/>
            <w:vAlign w:val="center"/>
          </w:tcPr>
          <w:p>
            <w:pPr>
              <w:jc w:val="center"/>
              <w:rPr>
                <w:b/>
                <w:noProof/>
                <w:sz w:val="22"/>
              </w:rPr>
            </w:pPr>
            <w:r>
              <w:rPr>
                <w:b/>
                <w:noProof/>
                <w:sz w:val="22"/>
              </w:rPr>
              <w:t>Bevillinger I ALT</w:t>
            </w:r>
            <w:r>
              <w:rPr>
                <w:noProof/>
              </w:rPr>
              <w:t xml:space="preserve"> </w:t>
            </w:r>
            <w:r>
              <w:rPr>
                <w:noProof/>
              </w:rPr>
              <w:br/>
            </w:r>
            <w:r>
              <w:rPr>
                <w:b/>
                <w:noProof/>
                <w:sz w:val="22"/>
              </w:rPr>
              <w:t>under UDGIFTSOMRÅDE 7</w:t>
            </w:r>
            <w:r>
              <w:rPr>
                <w:noProof/>
              </w:rPr>
              <w:t xml:space="preserve"> </w:t>
            </w:r>
            <w:r>
              <w:rPr>
                <w:noProof/>
              </w:rPr>
              <w:br/>
            </w:r>
            <w:r>
              <w:rPr>
                <w:noProof/>
                <w:sz w:val="22"/>
              </w:rPr>
              <w:t>i den flerårige finansielle ramme</w:t>
            </w:r>
            <w:r>
              <w:rPr>
                <w:b/>
                <w:noProof/>
                <w:sz w:val="22"/>
              </w:rPr>
              <w:t xml:space="preserve"> </w:t>
            </w:r>
          </w:p>
        </w:tc>
        <w:tc>
          <w:tcPr>
            <w:tcW w:w="2157" w:type="dxa"/>
            <w:vAlign w:val="center"/>
          </w:tcPr>
          <w:p>
            <w:pPr>
              <w:spacing w:before="40" w:after="40"/>
              <w:rPr>
                <w:noProof/>
                <w:sz w:val="22"/>
              </w:rPr>
            </w:pPr>
            <w:r>
              <w:rPr>
                <w:noProof/>
                <w:sz w:val="18"/>
              </w:rPr>
              <w:t>(Forpligtelser i alt = betalinger i alt)</w:t>
            </w:r>
          </w:p>
        </w:tc>
        <w:tc>
          <w:tcPr>
            <w:tcW w:w="894" w:type="dxa"/>
            <w:vAlign w:val="center"/>
          </w:tcPr>
          <w:p>
            <w:pPr>
              <w:spacing w:before="20" w:after="20"/>
              <w:jc w:val="right"/>
              <w:rPr>
                <w:noProof/>
                <w:sz w:val="20"/>
              </w:rPr>
            </w:pPr>
            <w:r>
              <w:rPr>
                <w:noProof/>
                <w:sz w:val="20"/>
              </w:rPr>
              <w:t>31 290</w:t>
            </w:r>
          </w:p>
        </w:tc>
        <w:tc>
          <w:tcPr>
            <w:tcW w:w="894" w:type="dxa"/>
            <w:vAlign w:val="center"/>
          </w:tcPr>
          <w:p>
            <w:pPr>
              <w:spacing w:before="20" w:after="20"/>
              <w:jc w:val="right"/>
              <w:rPr>
                <w:noProof/>
                <w:sz w:val="20"/>
              </w:rPr>
            </w:pPr>
            <w:r>
              <w:rPr>
                <w:noProof/>
                <w:sz w:val="20"/>
              </w:rPr>
              <w:t>33 600</w:t>
            </w:r>
          </w:p>
        </w:tc>
        <w:tc>
          <w:tcPr>
            <w:tcW w:w="894" w:type="dxa"/>
            <w:vAlign w:val="center"/>
          </w:tcPr>
          <w:p>
            <w:pPr>
              <w:spacing w:before="20" w:after="20"/>
              <w:jc w:val="right"/>
              <w:rPr>
                <w:noProof/>
                <w:sz w:val="20"/>
              </w:rPr>
            </w:pPr>
            <w:r>
              <w:rPr>
                <w:noProof/>
                <w:sz w:val="20"/>
              </w:rPr>
              <w:t>33 640</w:t>
            </w:r>
          </w:p>
        </w:tc>
        <w:tc>
          <w:tcPr>
            <w:tcW w:w="894" w:type="dxa"/>
            <w:vAlign w:val="center"/>
          </w:tcPr>
          <w:p>
            <w:pPr>
              <w:spacing w:before="20" w:after="20"/>
              <w:jc w:val="right"/>
              <w:rPr>
                <w:noProof/>
                <w:sz w:val="20"/>
              </w:rPr>
            </w:pPr>
            <w:r>
              <w:rPr>
                <w:noProof/>
                <w:sz w:val="20"/>
              </w:rPr>
              <w:t>33 640</w:t>
            </w:r>
          </w:p>
        </w:tc>
        <w:tc>
          <w:tcPr>
            <w:tcW w:w="1071" w:type="dxa"/>
            <w:vAlign w:val="center"/>
          </w:tcPr>
          <w:p>
            <w:pPr>
              <w:spacing w:before="20" w:after="20"/>
              <w:jc w:val="right"/>
              <w:rPr>
                <w:noProof/>
                <w:sz w:val="20"/>
              </w:rPr>
            </w:pPr>
            <w:r>
              <w:rPr>
                <w:noProof/>
                <w:sz w:val="20"/>
              </w:rPr>
              <w:t>33 640</w:t>
            </w:r>
          </w:p>
        </w:tc>
        <w:tc>
          <w:tcPr>
            <w:tcW w:w="1022" w:type="dxa"/>
            <w:vAlign w:val="center"/>
          </w:tcPr>
          <w:p>
            <w:pPr>
              <w:spacing w:before="20" w:after="20"/>
              <w:jc w:val="right"/>
              <w:rPr>
                <w:noProof/>
                <w:sz w:val="20"/>
              </w:rPr>
            </w:pPr>
            <w:r>
              <w:rPr>
                <w:noProof/>
                <w:sz w:val="20"/>
              </w:rPr>
              <w:t>33 640</w:t>
            </w:r>
          </w:p>
        </w:tc>
        <w:tc>
          <w:tcPr>
            <w:tcW w:w="1168" w:type="dxa"/>
            <w:vAlign w:val="center"/>
          </w:tcPr>
          <w:p>
            <w:pPr>
              <w:spacing w:before="20" w:after="20"/>
              <w:jc w:val="right"/>
              <w:rPr>
                <w:noProof/>
                <w:sz w:val="20"/>
              </w:rPr>
            </w:pPr>
            <w:r>
              <w:rPr>
                <w:noProof/>
                <w:sz w:val="20"/>
              </w:rPr>
              <w:t>33 640</w:t>
            </w:r>
          </w:p>
        </w:tc>
        <w:tc>
          <w:tcPr>
            <w:tcW w:w="1752" w:type="dxa"/>
            <w:vAlign w:val="center"/>
          </w:tcPr>
          <w:p>
            <w:pPr>
              <w:spacing w:before="20" w:after="20"/>
              <w:jc w:val="right"/>
              <w:rPr>
                <w:noProof/>
                <w:sz w:val="20"/>
              </w:rPr>
            </w:pPr>
            <w:r>
              <w:rPr>
                <w:noProof/>
                <w:sz w:val="20"/>
              </w:rPr>
              <w:t>233 090</w:t>
            </w:r>
          </w:p>
        </w:tc>
      </w:tr>
    </w:tbl>
    <w:p>
      <w:pPr>
        <w:jc w:val="right"/>
        <w:rPr>
          <w:noProof/>
          <w:sz w:val="20"/>
        </w:rPr>
      </w:pPr>
      <w:r>
        <w:rPr>
          <w:noProof/>
          <w:sz w:val="20"/>
        </w:rPr>
        <w:t>i mio. EUR (tre decimaler)</w:t>
      </w:r>
    </w:p>
    <w:tbl>
      <w:tblPr>
        <w:tblW w:w="147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8"/>
        <w:gridCol w:w="1560"/>
        <w:gridCol w:w="534"/>
        <w:gridCol w:w="868"/>
        <w:gridCol w:w="868"/>
        <w:gridCol w:w="868"/>
        <w:gridCol w:w="868"/>
        <w:gridCol w:w="868"/>
        <w:gridCol w:w="868"/>
        <w:gridCol w:w="868"/>
        <w:gridCol w:w="870"/>
        <w:gridCol w:w="1777"/>
      </w:tblGrid>
      <w:tr>
        <w:tc>
          <w:tcPr>
            <w:tcW w:w="3958"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2021</w:t>
            </w: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2022</w:t>
            </w: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2023</w:t>
            </w:r>
          </w:p>
        </w:tc>
        <w:tc>
          <w:tcPr>
            <w:tcW w:w="868" w:type="dxa"/>
          </w:tcPr>
          <w:p>
            <w:pPr>
              <w:jc w:val="center"/>
              <w:rPr>
                <w:noProof/>
                <w:sz w:val="20"/>
              </w:rPr>
            </w:pPr>
            <w:r>
              <w:rPr>
                <w:noProof/>
                <w:sz w:val="20"/>
              </w:rPr>
              <w:t>År</w:t>
            </w:r>
            <w:r>
              <w:rPr>
                <w:noProof/>
              </w:rPr>
              <w:t xml:space="preserve"> </w:t>
            </w:r>
            <w:r>
              <w:rPr>
                <w:noProof/>
              </w:rPr>
              <w:br/>
            </w:r>
            <w:r>
              <w:rPr>
                <w:b/>
                <w:noProof/>
                <w:sz w:val="20"/>
              </w:rPr>
              <w:t>2024</w:t>
            </w:r>
          </w:p>
        </w:tc>
        <w:tc>
          <w:tcPr>
            <w:tcW w:w="868" w:type="dxa"/>
          </w:tcPr>
          <w:p>
            <w:pPr>
              <w:jc w:val="center"/>
              <w:rPr>
                <w:noProof/>
                <w:sz w:val="20"/>
              </w:rPr>
            </w:pPr>
            <w:r>
              <w:rPr>
                <w:noProof/>
                <w:sz w:val="20"/>
              </w:rPr>
              <w:t>År</w:t>
            </w:r>
            <w:r>
              <w:rPr>
                <w:noProof/>
              </w:rPr>
              <w:t xml:space="preserve"> </w:t>
            </w:r>
            <w:r>
              <w:rPr>
                <w:noProof/>
              </w:rPr>
              <w:br/>
            </w:r>
            <w:r>
              <w:rPr>
                <w:b/>
                <w:noProof/>
                <w:sz w:val="20"/>
              </w:rPr>
              <w:t>2025</w:t>
            </w:r>
          </w:p>
        </w:tc>
        <w:tc>
          <w:tcPr>
            <w:tcW w:w="868" w:type="dxa"/>
          </w:tcPr>
          <w:p>
            <w:pPr>
              <w:jc w:val="center"/>
              <w:rPr>
                <w:noProof/>
                <w:sz w:val="20"/>
              </w:rPr>
            </w:pPr>
            <w:r>
              <w:rPr>
                <w:noProof/>
                <w:sz w:val="20"/>
              </w:rPr>
              <w:t>År</w:t>
            </w:r>
            <w:r>
              <w:rPr>
                <w:noProof/>
              </w:rPr>
              <w:t xml:space="preserve"> </w:t>
            </w:r>
            <w:r>
              <w:rPr>
                <w:noProof/>
              </w:rPr>
              <w:br/>
            </w:r>
            <w:r>
              <w:rPr>
                <w:b/>
                <w:noProof/>
                <w:sz w:val="20"/>
              </w:rPr>
              <w:t>2026</w:t>
            </w:r>
          </w:p>
        </w:tc>
        <w:tc>
          <w:tcPr>
            <w:tcW w:w="868" w:type="dxa"/>
            <w:vAlign w:val="center"/>
          </w:tcPr>
          <w:p>
            <w:pPr>
              <w:jc w:val="center"/>
              <w:rPr>
                <w:noProof/>
                <w:sz w:val="20"/>
              </w:rPr>
            </w:pPr>
            <w:r>
              <w:rPr>
                <w:noProof/>
                <w:sz w:val="20"/>
              </w:rPr>
              <w:t>År</w:t>
            </w:r>
            <w:r>
              <w:rPr>
                <w:noProof/>
              </w:rPr>
              <w:t xml:space="preserve"> </w:t>
            </w:r>
            <w:r>
              <w:rPr>
                <w:noProof/>
              </w:rPr>
              <w:br/>
            </w:r>
            <w:r>
              <w:rPr>
                <w:b/>
                <w:noProof/>
                <w:sz w:val="20"/>
              </w:rPr>
              <w:t>2027</w:t>
            </w:r>
          </w:p>
        </w:tc>
        <w:tc>
          <w:tcPr>
            <w:tcW w:w="870" w:type="dxa"/>
            <w:vAlign w:val="center"/>
          </w:tcPr>
          <w:p>
            <w:pPr>
              <w:jc w:val="center"/>
              <w:rPr>
                <w:b/>
                <w:noProof/>
                <w:sz w:val="18"/>
              </w:rPr>
            </w:pPr>
            <w:r>
              <w:rPr>
                <w:b/>
                <w:noProof/>
                <w:sz w:val="18"/>
              </w:rPr>
              <w:t>Efter 2027</w:t>
            </w:r>
          </w:p>
        </w:tc>
        <w:tc>
          <w:tcPr>
            <w:tcW w:w="1777" w:type="dxa"/>
            <w:vAlign w:val="center"/>
          </w:tcPr>
          <w:p>
            <w:pPr>
              <w:jc w:val="center"/>
              <w:rPr>
                <w:b/>
                <w:noProof/>
                <w:sz w:val="20"/>
              </w:rPr>
            </w:pPr>
            <w:r>
              <w:rPr>
                <w:b/>
                <w:noProof/>
                <w:sz w:val="20"/>
              </w:rPr>
              <w:t>I ALT</w:t>
            </w:r>
          </w:p>
        </w:tc>
      </w:tr>
      <w:tr>
        <w:tc>
          <w:tcPr>
            <w:tcW w:w="3958" w:type="dxa"/>
            <w:vMerge w:val="restart"/>
            <w:shd w:val="clear" w:color="auto" w:fill="C0C0C0"/>
            <w:vAlign w:val="center"/>
          </w:tcPr>
          <w:p>
            <w:pPr>
              <w:jc w:val="center"/>
              <w:rPr>
                <w:b/>
                <w:noProof/>
                <w:sz w:val="22"/>
              </w:rPr>
            </w:pPr>
            <w:r>
              <w:rPr>
                <w:b/>
                <w:noProof/>
                <w:sz w:val="22"/>
              </w:rPr>
              <w:t>Bevillinger I ALT</w:t>
            </w:r>
            <w:r>
              <w:rPr>
                <w:noProof/>
              </w:rPr>
              <w:t xml:space="preserve"> </w:t>
            </w:r>
            <w:r>
              <w:rPr>
                <w:noProof/>
              </w:rPr>
              <w:br/>
            </w:r>
            <w:r>
              <w:rPr>
                <w:b/>
                <w:noProof/>
                <w:sz w:val="22"/>
              </w:rPr>
              <w:t>under UDGIFTSOMRÅDE 1-7</w:t>
            </w:r>
            <w:r>
              <w:rPr>
                <w:noProof/>
              </w:rPr>
              <w:t xml:space="preserve"> </w:t>
            </w:r>
            <w:r>
              <w:rPr>
                <w:noProof/>
              </w:rPr>
              <w:br/>
            </w:r>
            <w:r>
              <w:rPr>
                <w:noProof/>
                <w:sz w:val="22"/>
              </w:rPr>
              <w:t>i den flerårige finansielle ramme</w:t>
            </w:r>
            <w:r>
              <w:rPr>
                <w:b/>
                <w:noProof/>
                <w:sz w:val="22"/>
              </w:rPr>
              <w:t xml:space="preserve"> </w:t>
            </w:r>
          </w:p>
        </w:tc>
        <w:tc>
          <w:tcPr>
            <w:tcW w:w="2094" w:type="dxa"/>
            <w:gridSpan w:val="2"/>
            <w:vAlign w:val="center"/>
          </w:tcPr>
          <w:p>
            <w:pPr>
              <w:rPr>
                <w:noProof/>
                <w:sz w:val="14"/>
              </w:rPr>
            </w:pPr>
            <w:r>
              <w:rPr>
                <w:noProof/>
                <w:sz w:val="18"/>
              </w:rPr>
              <w:t>Forpligtelser</w:t>
            </w:r>
          </w:p>
        </w:tc>
        <w:tc>
          <w:tcPr>
            <w:tcW w:w="868" w:type="dxa"/>
            <w:vAlign w:val="center"/>
          </w:tcPr>
          <w:p>
            <w:pPr>
              <w:spacing w:before="60" w:after="60"/>
              <w:jc w:val="center"/>
              <w:rPr>
                <w:noProof/>
                <w:sz w:val="20"/>
              </w:rPr>
            </w:pPr>
            <w:r>
              <w:rPr>
                <w:noProof/>
                <w:sz w:val="20"/>
              </w:rPr>
              <w:t>154 720</w:t>
            </w:r>
          </w:p>
        </w:tc>
        <w:tc>
          <w:tcPr>
            <w:tcW w:w="868" w:type="dxa"/>
            <w:vAlign w:val="center"/>
          </w:tcPr>
          <w:p>
            <w:pPr>
              <w:spacing w:before="60" w:after="60"/>
              <w:jc w:val="center"/>
              <w:rPr>
                <w:noProof/>
                <w:sz w:val="20"/>
              </w:rPr>
            </w:pPr>
            <w:r>
              <w:rPr>
                <w:noProof/>
                <w:sz w:val="20"/>
              </w:rPr>
              <w:t>157 030</w:t>
            </w:r>
          </w:p>
        </w:tc>
        <w:tc>
          <w:tcPr>
            <w:tcW w:w="868" w:type="dxa"/>
            <w:vAlign w:val="center"/>
          </w:tcPr>
          <w:p>
            <w:pPr>
              <w:spacing w:before="60" w:after="60"/>
              <w:jc w:val="center"/>
              <w:rPr>
                <w:noProof/>
                <w:sz w:val="20"/>
              </w:rPr>
            </w:pPr>
            <w:r>
              <w:rPr>
                <w:noProof/>
                <w:sz w:val="20"/>
              </w:rPr>
              <w:t>157 070</w:t>
            </w:r>
          </w:p>
        </w:tc>
        <w:tc>
          <w:tcPr>
            <w:tcW w:w="868" w:type="dxa"/>
          </w:tcPr>
          <w:p>
            <w:pPr>
              <w:spacing w:before="60" w:after="60"/>
              <w:jc w:val="center"/>
              <w:rPr>
                <w:noProof/>
                <w:sz w:val="20"/>
              </w:rPr>
            </w:pPr>
            <w:r>
              <w:rPr>
                <w:noProof/>
                <w:sz w:val="20"/>
              </w:rPr>
              <w:t>157 070</w:t>
            </w:r>
          </w:p>
        </w:tc>
        <w:tc>
          <w:tcPr>
            <w:tcW w:w="868" w:type="dxa"/>
          </w:tcPr>
          <w:p>
            <w:pPr>
              <w:spacing w:before="60" w:after="60"/>
              <w:jc w:val="center"/>
              <w:rPr>
                <w:noProof/>
                <w:sz w:val="20"/>
              </w:rPr>
            </w:pPr>
            <w:r>
              <w:rPr>
                <w:noProof/>
                <w:sz w:val="20"/>
              </w:rPr>
              <w:t>157 070</w:t>
            </w:r>
          </w:p>
        </w:tc>
        <w:tc>
          <w:tcPr>
            <w:tcW w:w="868" w:type="dxa"/>
          </w:tcPr>
          <w:p>
            <w:pPr>
              <w:spacing w:before="60" w:after="60"/>
              <w:jc w:val="center"/>
              <w:rPr>
                <w:noProof/>
                <w:sz w:val="20"/>
              </w:rPr>
            </w:pPr>
            <w:r>
              <w:rPr>
                <w:noProof/>
                <w:sz w:val="20"/>
              </w:rPr>
              <w:t>157 070</w:t>
            </w:r>
          </w:p>
        </w:tc>
        <w:tc>
          <w:tcPr>
            <w:tcW w:w="868" w:type="dxa"/>
            <w:vAlign w:val="center"/>
          </w:tcPr>
          <w:p>
            <w:pPr>
              <w:spacing w:before="60" w:after="60"/>
              <w:jc w:val="center"/>
              <w:rPr>
                <w:noProof/>
                <w:sz w:val="20"/>
              </w:rPr>
            </w:pPr>
            <w:r>
              <w:rPr>
                <w:noProof/>
                <w:sz w:val="20"/>
              </w:rPr>
              <w:t>156 060</w:t>
            </w:r>
          </w:p>
        </w:tc>
        <w:tc>
          <w:tcPr>
            <w:tcW w:w="870" w:type="dxa"/>
            <w:vAlign w:val="center"/>
          </w:tcPr>
          <w:p>
            <w:pPr>
              <w:spacing w:before="60" w:after="60"/>
              <w:jc w:val="center"/>
              <w:rPr>
                <w:noProof/>
                <w:sz w:val="20"/>
              </w:rPr>
            </w:pPr>
            <w:r>
              <w:rPr>
                <w:noProof/>
                <w:sz w:val="20"/>
              </w:rPr>
              <w:t>0 000</w:t>
            </w:r>
          </w:p>
        </w:tc>
        <w:tc>
          <w:tcPr>
            <w:tcW w:w="1777" w:type="dxa"/>
            <w:vAlign w:val="center"/>
          </w:tcPr>
          <w:p>
            <w:pPr>
              <w:spacing w:before="60" w:after="60"/>
              <w:jc w:val="center"/>
              <w:rPr>
                <w:b/>
                <w:noProof/>
                <w:sz w:val="20"/>
              </w:rPr>
            </w:pPr>
            <w:r>
              <w:rPr>
                <w:b/>
                <w:noProof/>
                <w:sz w:val="20"/>
              </w:rPr>
              <w:t>1 096 090</w:t>
            </w:r>
          </w:p>
        </w:tc>
      </w:tr>
      <w:tr>
        <w:tc>
          <w:tcPr>
            <w:tcW w:w="3958" w:type="dxa"/>
            <w:vMerge/>
            <w:shd w:val="clear" w:color="auto" w:fill="C0C0C0"/>
          </w:tcPr>
          <w:p>
            <w:pPr>
              <w:rPr>
                <w:noProof/>
                <w:sz w:val="20"/>
              </w:rPr>
            </w:pPr>
          </w:p>
        </w:tc>
        <w:tc>
          <w:tcPr>
            <w:tcW w:w="2094" w:type="dxa"/>
            <w:gridSpan w:val="2"/>
            <w:vAlign w:val="center"/>
          </w:tcPr>
          <w:p>
            <w:pPr>
              <w:rPr>
                <w:noProof/>
                <w:sz w:val="14"/>
              </w:rPr>
            </w:pPr>
            <w:r>
              <w:rPr>
                <w:noProof/>
                <w:sz w:val="18"/>
              </w:rPr>
              <w:t>Betalinger</w:t>
            </w:r>
          </w:p>
        </w:tc>
        <w:tc>
          <w:tcPr>
            <w:tcW w:w="868" w:type="dxa"/>
            <w:vAlign w:val="center"/>
          </w:tcPr>
          <w:p>
            <w:pPr>
              <w:spacing w:before="60" w:after="60"/>
              <w:jc w:val="center"/>
              <w:rPr>
                <w:noProof/>
                <w:sz w:val="20"/>
              </w:rPr>
            </w:pPr>
            <w:r>
              <w:rPr>
                <w:noProof/>
                <w:sz w:val="20"/>
              </w:rPr>
              <w:t>75 791</w:t>
            </w:r>
          </w:p>
        </w:tc>
        <w:tc>
          <w:tcPr>
            <w:tcW w:w="868" w:type="dxa"/>
            <w:vAlign w:val="center"/>
          </w:tcPr>
          <w:p>
            <w:pPr>
              <w:spacing w:before="60" w:after="60"/>
              <w:jc w:val="center"/>
              <w:rPr>
                <w:noProof/>
                <w:sz w:val="20"/>
              </w:rPr>
            </w:pPr>
            <w:r>
              <w:rPr>
                <w:noProof/>
                <w:sz w:val="20"/>
              </w:rPr>
              <w:t>126 065</w:t>
            </w:r>
          </w:p>
        </w:tc>
        <w:tc>
          <w:tcPr>
            <w:tcW w:w="868" w:type="dxa"/>
            <w:vAlign w:val="center"/>
          </w:tcPr>
          <w:p>
            <w:pPr>
              <w:spacing w:before="60" w:after="60"/>
              <w:jc w:val="center"/>
              <w:rPr>
                <w:noProof/>
                <w:sz w:val="20"/>
              </w:rPr>
            </w:pPr>
            <w:r>
              <w:rPr>
                <w:noProof/>
                <w:sz w:val="20"/>
              </w:rPr>
              <w:t>150 999</w:t>
            </w:r>
          </w:p>
        </w:tc>
        <w:tc>
          <w:tcPr>
            <w:tcW w:w="868" w:type="dxa"/>
          </w:tcPr>
          <w:p>
            <w:pPr>
              <w:spacing w:before="60" w:after="60"/>
              <w:jc w:val="center"/>
              <w:rPr>
                <w:noProof/>
                <w:sz w:val="20"/>
              </w:rPr>
            </w:pPr>
            <w:r>
              <w:rPr>
                <w:noProof/>
                <w:sz w:val="20"/>
              </w:rPr>
              <w:t>157 070</w:t>
            </w:r>
          </w:p>
        </w:tc>
        <w:tc>
          <w:tcPr>
            <w:tcW w:w="868" w:type="dxa"/>
          </w:tcPr>
          <w:p>
            <w:pPr>
              <w:spacing w:before="60" w:after="60"/>
              <w:jc w:val="center"/>
              <w:rPr>
                <w:noProof/>
                <w:sz w:val="20"/>
              </w:rPr>
            </w:pPr>
            <w:r>
              <w:rPr>
                <w:noProof/>
                <w:sz w:val="20"/>
              </w:rPr>
              <w:t>157 070</w:t>
            </w:r>
          </w:p>
        </w:tc>
        <w:tc>
          <w:tcPr>
            <w:tcW w:w="868" w:type="dxa"/>
          </w:tcPr>
          <w:p>
            <w:pPr>
              <w:spacing w:before="60" w:after="60"/>
              <w:jc w:val="center"/>
              <w:rPr>
                <w:noProof/>
                <w:sz w:val="20"/>
              </w:rPr>
            </w:pPr>
            <w:r>
              <w:rPr>
                <w:noProof/>
                <w:sz w:val="20"/>
              </w:rPr>
              <w:t>157 070</w:t>
            </w:r>
          </w:p>
        </w:tc>
        <w:tc>
          <w:tcPr>
            <w:tcW w:w="868" w:type="dxa"/>
            <w:vAlign w:val="center"/>
          </w:tcPr>
          <w:p>
            <w:pPr>
              <w:spacing w:before="60" w:after="60"/>
              <w:jc w:val="center"/>
              <w:rPr>
                <w:noProof/>
                <w:sz w:val="20"/>
              </w:rPr>
            </w:pPr>
            <w:r>
              <w:rPr>
                <w:noProof/>
                <w:sz w:val="20"/>
              </w:rPr>
              <w:t>157 070</w:t>
            </w:r>
          </w:p>
        </w:tc>
        <w:tc>
          <w:tcPr>
            <w:tcW w:w="870" w:type="dxa"/>
            <w:vAlign w:val="center"/>
          </w:tcPr>
          <w:p>
            <w:pPr>
              <w:spacing w:before="60" w:after="60"/>
              <w:jc w:val="center"/>
              <w:rPr>
                <w:noProof/>
                <w:sz w:val="20"/>
              </w:rPr>
            </w:pPr>
            <w:r>
              <w:rPr>
                <w:noProof/>
                <w:sz w:val="20"/>
              </w:rPr>
              <w:t>114 955</w:t>
            </w:r>
          </w:p>
        </w:tc>
        <w:tc>
          <w:tcPr>
            <w:tcW w:w="1777" w:type="dxa"/>
            <w:vAlign w:val="center"/>
          </w:tcPr>
          <w:p>
            <w:pPr>
              <w:spacing w:before="60" w:after="60"/>
              <w:jc w:val="center"/>
              <w:rPr>
                <w:b/>
                <w:noProof/>
                <w:sz w:val="20"/>
              </w:rPr>
            </w:pPr>
            <w:r>
              <w:rPr>
                <w:b/>
                <w:noProof/>
                <w:sz w:val="20"/>
              </w:rPr>
              <w:t>1 096 090</w:t>
            </w:r>
          </w:p>
        </w:tc>
      </w:tr>
    </w:tbl>
    <w:p>
      <w:pPr>
        <w:rPr>
          <w:noProof/>
        </w:rPr>
        <w:sectPr>
          <w:headerReference w:type="default" r:id="rId16"/>
          <w:footerReference w:type="default" r:id="rId17"/>
          <w:headerReference w:type="first" r:id="rId18"/>
          <w:footerReference w:type="first" r:id="rId19"/>
          <w:pgSz w:w="16840" w:h="11907" w:orient="landscape" w:code="9"/>
          <w:pgMar w:top="1134" w:right="1418" w:bottom="567" w:left="1418" w:header="709" w:footer="709" w:gutter="0"/>
          <w:cols w:space="708"/>
          <w:docGrid w:linePitch="360"/>
        </w:sectPr>
      </w:pPr>
    </w:p>
    <w:p>
      <w:pPr>
        <w:pStyle w:val="ManualHeading3"/>
        <w:rPr>
          <w:bCs/>
          <w:noProof/>
          <w:szCs w:val="24"/>
        </w:rPr>
      </w:pPr>
      <w:r>
        <w:t>3.2.2.</w:t>
      </w:r>
      <w:r>
        <w:tab/>
      </w:r>
      <w:r>
        <w:rPr>
          <w:noProof/>
        </w:rPr>
        <w:t>Anslåede virkninger for administrationsbevillingerne</w:t>
      </w:r>
    </w:p>
    <w:p>
      <w:pPr>
        <w:pStyle w:val="ManualHeading4"/>
        <w:rPr>
          <w:noProof/>
        </w:rPr>
      </w:pPr>
      <w:r>
        <w:t>3.2.2.1.</w:t>
      </w:r>
      <w:r>
        <w:tab/>
      </w:r>
      <w:r>
        <w:rPr>
          <w:noProof/>
        </w:rPr>
        <w:t xml:space="preserve">Resumé </w:t>
      </w:r>
    </w:p>
    <w:p>
      <w:pPr>
        <w:pStyle w:val="ListDash1"/>
        <w:rPr>
          <w:noProof/>
        </w:rPr>
      </w:pPr>
      <w:r>
        <w:rPr>
          <w:noProof/>
        </w:rPr>
        <w:sym w:font="Wingdings" w:char="F0A8"/>
      </w:r>
      <w:r>
        <w:rPr>
          <w:noProof/>
        </w:rPr>
        <w:tab/>
        <w:t xml:space="preserve">Forslaget/initiativet medfører ikke anvendelse af administrationsbevillinger </w:t>
      </w:r>
    </w:p>
    <w:p>
      <w:pPr>
        <w:pStyle w:val="ListDash1"/>
        <w:rPr>
          <w:noProof/>
        </w:rPr>
      </w:pPr>
      <w:r>
        <w:rPr>
          <w:b/>
          <w:noProof/>
        </w:rPr>
        <w:t>X</w:t>
      </w:r>
      <w:r>
        <w:rPr>
          <w:noProof/>
        </w:rPr>
        <w:tab/>
        <w:t>Forslaget/initiativet medfører anvendelse af administrationsbevillinger som anført herunder:</w:t>
      </w:r>
    </w:p>
    <w:p>
      <w:pPr>
        <w:rPr>
          <w:noProof/>
          <w:sz w:val="20"/>
        </w:rPr>
      </w:pPr>
      <w:r>
        <w:rPr>
          <w:noProof/>
          <w:sz w:val="20"/>
        </w:rPr>
        <w:t>i mio. EUR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Pr>
          <w:p>
            <w:pPr>
              <w:spacing w:before="60" w:after="60" w:line="200" w:lineRule="exact"/>
              <w:jc w:val="left"/>
              <w:rPr>
                <w:noProof/>
                <w:sz w:val="16"/>
                <w:szCs w:val="16"/>
              </w:rPr>
            </w:pPr>
          </w:p>
        </w:tc>
        <w:tc>
          <w:tcPr>
            <w:tcW w:w="1080" w:type="dxa"/>
            <w:vAlign w:val="center"/>
          </w:tcPr>
          <w:p>
            <w:pPr>
              <w:spacing w:before="60" w:after="60" w:line="200" w:lineRule="exact"/>
              <w:jc w:val="center"/>
              <w:rPr>
                <w:noProof/>
                <w:sz w:val="16"/>
                <w:szCs w:val="16"/>
              </w:rPr>
            </w:pPr>
            <w:r>
              <w:rPr>
                <w:noProof/>
                <w:sz w:val="16"/>
              </w:rPr>
              <w:t>År</w:t>
            </w:r>
            <w:r>
              <w:rPr>
                <w:noProof/>
              </w:rPr>
              <w:t xml:space="preserve"> </w:t>
            </w:r>
            <w:r>
              <w:rPr>
                <w:noProof/>
              </w:rPr>
              <w:br/>
            </w:r>
            <w:r>
              <w:rPr>
                <w:b/>
                <w:noProof/>
                <w:sz w:val="16"/>
              </w:rPr>
              <w:t>2021</w:t>
            </w:r>
            <w:r>
              <w:rPr>
                <w:rStyle w:val="FootnoteReference"/>
                <w:b/>
                <w:noProof/>
                <w:sz w:val="16"/>
              </w:rPr>
              <w:footnoteReference w:id="34"/>
            </w:r>
          </w:p>
        </w:tc>
        <w:tc>
          <w:tcPr>
            <w:tcW w:w="1080" w:type="dxa"/>
            <w:vAlign w:val="center"/>
          </w:tcPr>
          <w:p>
            <w:pPr>
              <w:spacing w:before="60" w:after="60" w:line="200" w:lineRule="exact"/>
              <w:jc w:val="center"/>
              <w:rPr>
                <w:noProof/>
                <w:sz w:val="16"/>
                <w:szCs w:val="16"/>
              </w:rPr>
            </w:pPr>
            <w:r>
              <w:rPr>
                <w:noProof/>
                <w:sz w:val="16"/>
              </w:rPr>
              <w:t>År</w:t>
            </w:r>
            <w:r>
              <w:rPr>
                <w:noProof/>
              </w:rPr>
              <w:t xml:space="preserve"> </w:t>
            </w:r>
            <w:r>
              <w:rPr>
                <w:noProof/>
              </w:rPr>
              <w:br/>
            </w:r>
            <w:r>
              <w:rPr>
                <w:b/>
                <w:noProof/>
                <w:sz w:val="16"/>
              </w:rPr>
              <w:t>2022</w:t>
            </w:r>
          </w:p>
        </w:tc>
        <w:tc>
          <w:tcPr>
            <w:tcW w:w="1080" w:type="dxa"/>
            <w:vAlign w:val="center"/>
          </w:tcPr>
          <w:p>
            <w:pPr>
              <w:spacing w:before="60" w:after="60" w:line="200" w:lineRule="exact"/>
              <w:jc w:val="center"/>
              <w:rPr>
                <w:noProof/>
                <w:sz w:val="16"/>
                <w:szCs w:val="16"/>
              </w:rPr>
            </w:pPr>
            <w:r>
              <w:rPr>
                <w:noProof/>
                <w:sz w:val="16"/>
              </w:rPr>
              <w:t>År</w:t>
            </w:r>
            <w:r>
              <w:rPr>
                <w:noProof/>
              </w:rPr>
              <w:t xml:space="preserve"> </w:t>
            </w:r>
            <w:r>
              <w:rPr>
                <w:noProof/>
              </w:rPr>
              <w:br/>
            </w:r>
            <w:r>
              <w:rPr>
                <w:b/>
                <w:noProof/>
                <w:sz w:val="16"/>
              </w:rPr>
              <w:t>2023</w:t>
            </w:r>
          </w:p>
        </w:tc>
        <w:tc>
          <w:tcPr>
            <w:tcW w:w="1080" w:type="dxa"/>
            <w:vAlign w:val="center"/>
          </w:tcPr>
          <w:p>
            <w:pPr>
              <w:spacing w:before="60" w:after="60" w:line="200" w:lineRule="exact"/>
              <w:jc w:val="center"/>
              <w:rPr>
                <w:noProof/>
                <w:sz w:val="16"/>
                <w:szCs w:val="16"/>
              </w:rPr>
            </w:pPr>
            <w:r>
              <w:rPr>
                <w:noProof/>
                <w:sz w:val="16"/>
              </w:rPr>
              <w:t>År</w:t>
            </w:r>
            <w:r>
              <w:rPr>
                <w:noProof/>
              </w:rPr>
              <w:t xml:space="preserve"> </w:t>
            </w:r>
            <w:r>
              <w:rPr>
                <w:noProof/>
              </w:rPr>
              <w:br/>
            </w:r>
            <w:r>
              <w:rPr>
                <w:b/>
                <w:noProof/>
                <w:sz w:val="16"/>
              </w:rPr>
              <w:t>2024</w:t>
            </w:r>
          </w:p>
        </w:tc>
        <w:tc>
          <w:tcPr>
            <w:tcW w:w="1080" w:type="dxa"/>
          </w:tcPr>
          <w:p>
            <w:pPr>
              <w:spacing w:before="60" w:after="60" w:line="200" w:lineRule="exact"/>
              <w:jc w:val="center"/>
              <w:rPr>
                <w:b/>
                <w:noProof/>
                <w:sz w:val="16"/>
              </w:rPr>
            </w:pPr>
            <w:r>
              <w:rPr>
                <w:noProof/>
                <w:sz w:val="16"/>
              </w:rPr>
              <w:t>År</w:t>
            </w:r>
            <w:r>
              <w:rPr>
                <w:noProof/>
              </w:rPr>
              <w:t xml:space="preserve"> </w:t>
            </w:r>
            <w:r>
              <w:rPr>
                <w:noProof/>
              </w:rPr>
              <w:br/>
            </w:r>
            <w:r>
              <w:rPr>
                <w:b/>
                <w:noProof/>
                <w:sz w:val="16"/>
              </w:rPr>
              <w:t>2025</w:t>
            </w:r>
          </w:p>
        </w:tc>
        <w:tc>
          <w:tcPr>
            <w:tcW w:w="1080" w:type="dxa"/>
          </w:tcPr>
          <w:p>
            <w:pPr>
              <w:spacing w:before="60" w:after="60" w:line="200" w:lineRule="exact"/>
              <w:jc w:val="center"/>
              <w:rPr>
                <w:b/>
                <w:noProof/>
                <w:sz w:val="16"/>
              </w:rPr>
            </w:pPr>
            <w:r>
              <w:rPr>
                <w:noProof/>
                <w:sz w:val="16"/>
              </w:rPr>
              <w:t>År</w:t>
            </w:r>
            <w:r>
              <w:rPr>
                <w:noProof/>
              </w:rPr>
              <w:t xml:space="preserve"> </w:t>
            </w:r>
            <w:r>
              <w:rPr>
                <w:noProof/>
              </w:rPr>
              <w:br/>
            </w:r>
            <w:r>
              <w:rPr>
                <w:b/>
                <w:noProof/>
                <w:sz w:val="16"/>
              </w:rPr>
              <w:t>2026</w:t>
            </w:r>
          </w:p>
        </w:tc>
        <w:tc>
          <w:tcPr>
            <w:tcW w:w="1080" w:type="dxa"/>
          </w:tcPr>
          <w:p>
            <w:pPr>
              <w:spacing w:before="60" w:after="60" w:line="200" w:lineRule="exact"/>
              <w:jc w:val="center"/>
              <w:rPr>
                <w:b/>
                <w:noProof/>
                <w:sz w:val="16"/>
              </w:rPr>
            </w:pPr>
            <w:r>
              <w:rPr>
                <w:noProof/>
                <w:sz w:val="16"/>
              </w:rPr>
              <w:t>År</w:t>
            </w:r>
            <w:r>
              <w:rPr>
                <w:noProof/>
              </w:rPr>
              <w:t xml:space="preserve"> </w:t>
            </w:r>
            <w:r>
              <w:rPr>
                <w:noProof/>
              </w:rPr>
              <w:br/>
            </w:r>
            <w:r>
              <w:rPr>
                <w:b/>
                <w:noProof/>
                <w:sz w:val="16"/>
              </w:rPr>
              <w:t>2027</w:t>
            </w:r>
          </w:p>
        </w:tc>
        <w:tc>
          <w:tcPr>
            <w:tcW w:w="1080" w:type="dxa"/>
            <w:vAlign w:val="center"/>
          </w:tcPr>
          <w:p>
            <w:pPr>
              <w:spacing w:before="60" w:after="60" w:line="200" w:lineRule="exact"/>
              <w:jc w:val="center"/>
              <w:rPr>
                <w:b/>
                <w:noProof/>
                <w:sz w:val="16"/>
                <w:szCs w:val="16"/>
              </w:rPr>
            </w:pPr>
            <w:r>
              <w:rPr>
                <w:b/>
                <w:noProof/>
                <w:sz w:val="16"/>
              </w:rPr>
              <w:t>I ALT</w:t>
            </w:r>
          </w:p>
        </w:tc>
      </w:tr>
    </w:tbl>
    <w:p>
      <w:pPr>
        <w:spacing w:before="0" w:after="200" w:line="200" w:lineRule="exact"/>
        <w:jc w:val="lef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UDGIFTSOMRÅDE 7</w:t>
            </w:r>
            <w:r>
              <w:rPr>
                <w:noProof/>
              </w:rPr>
              <w:t xml:space="preserve"> </w:t>
            </w:r>
            <w:r>
              <w:rPr>
                <w:noProof/>
              </w:rPr>
              <w:br/>
            </w:r>
            <w:r>
              <w:rPr>
                <w:b/>
                <w:noProof/>
                <w:sz w:val="16"/>
              </w:rPr>
              <w:t>i den flerårige finansielle ramme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r>
              <w:rPr>
                <w:noProof/>
                <w:sz w:val="16"/>
                <w:szCs w:val="16"/>
              </w:rPr>
              <w:t>29 890</w:t>
            </w:r>
          </w:p>
        </w:tc>
        <w:tc>
          <w:tcPr>
            <w:tcW w:w="1080" w:type="dxa"/>
            <w:vAlign w:val="center"/>
          </w:tcPr>
          <w:p>
            <w:pPr>
              <w:spacing w:before="60" w:after="60" w:line="200" w:lineRule="exact"/>
              <w:jc w:val="right"/>
              <w:rPr>
                <w:noProof/>
                <w:sz w:val="16"/>
                <w:szCs w:val="16"/>
              </w:rPr>
            </w:pPr>
            <w:r>
              <w:rPr>
                <w:noProof/>
                <w:sz w:val="16"/>
                <w:szCs w:val="16"/>
              </w:rPr>
              <w:t>31 945</w:t>
            </w:r>
          </w:p>
        </w:tc>
        <w:tc>
          <w:tcPr>
            <w:tcW w:w="1080" w:type="dxa"/>
            <w:vAlign w:val="center"/>
          </w:tcPr>
          <w:p>
            <w:pPr>
              <w:spacing w:before="60" w:after="60" w:line="200" w:lineRule="exact"/>
              <w:jc w:val="right"/>
              <w:rPr>
                <w:noProof/>
                <w:sz w:val="16"/>
                <w:szCs w:val="16"/>
              </w:rPr>
            </w:pPr>
            <w:r>
              <w:rPr>
                <w:noProof/>
                <w:sz w:val="16"/>
                <w:szCs w:val="16"/>
              </w:rPr>
              <w:t>31 945</w:t>
            </w:r>
          </w:p>
        </w:tc>
        <w:tc>
          <w:tcPr>
            <w:tcW w:w="1080" w:type="dxa"/>
            <w:vAlign w:val="center"/>
          </w:tcPr>
          <w:p>
            <w:pPr>
              <w:spacing w:before="60" w:after="60" w:line="200" w:lineRule="exact"/>
              <w:jc w:val="right"/>
              <w:rPr>
                <w:noProof/>
                <w:sz w:val="16"/>
                <w:szCs w:val="16"/>
              </w:rPr>
            </w:pPr>
            <w:r>
              <w:rPr>
                <w:noProof/>
                <w:sz w:val="16"/>
                <w:szCs w:val="16"/>
              </w:rPr>
              <w:t>31 945</w:t>
            </w:r>
          </w:p>
        </w:tc>
        <w:tc>
          <w:tcPr>
            <w:tcW w:w="1080" w:type="dxa"/>
            <w:vAlign w:val="center"/>
          </w:tcPr>
          <w:p>
            <w:pPr>
              <w:spacing w:before="60" w:after="60" w:line="200" w:lineRule="exact"/>
              <w:jc w:val="right"/>
              <w:rPr>
                <w:noProof/>
                <w:sz w:val="16"/>
              </w:rPr>
            </w:pPr>
            <w:r>
              <w:rPr>
                <w:noProof/>
                <w:sz w:val="16"/>
              </w:rPr>
              <w:t>31 945</w:t>
            </w:r>
          </w:p>
        </w:tc>
        <w:tc>
          <w:tcPr>
            <w:tcW w:w="1080" w:type="dxa"/>
            <w:vAlign w:val="center"/>
          </w:tcPr>
          <w:p>
            <w:pPr>
              <w:spacing w:before="60" w:after="60" w:line="200" w:lineRule="exact"/>
              <w:jc w:val="right"/>
              <w:rPr>
                <w:noProof/>
                <w:sz w:val="16"/>
              </w:rPr>
            </w:pPr>
            <w:r>
              <w:rPr>
                <w:noProof/>
                <w:sz w:val="16"/>
              </w:rPr>
              <w:t>31 945</w:t>
            </w:r>
          </w:p>
        </w:tc>
        <w:tc>
          <w:tcPr>
            <w:tcW w:w="1080" w:type="dxa"/>
            <w:vAlign w:val="center"/>
          </w:tcPr>
          <w:p>
            <w:pPr>
              <w:spacing w:before="60" w:after="60" w:line="200" w:lineRule="exact"/>
              <w:jc w:val="right"/>
              <w:rPr>
                <w:noProof/>
                <w:sz w:val="16"/>
              </w:rPr>
            </w:pPr>
            <w:r>
              <w:rPr>
                <w:noProof/>
                <w:sz w:val="16"/>
              </w:rPr>
              <w:t>31 945</w:t>
            </w:r>
          </w:p>
        </w:tc>
        <w:tc>
          <w:tcPr>
            <w:tcW w:w="1080" w:type="dxa"/>
            <w:vAlign w:val="center"/>
          </w:tcPr>
          <w:p>
            <w:pPr>
              <w:spacing w:before="60" w:after="60" w:line="200" w:lineRule="exact"/>
              <w:jc w:val="right"/>
              <w:rPr>
                <w:b/>
                <w:noProof/>
                <w:sz w:val="16"/>
                <w:szCs w:val="16"/>
              </w:rPr>
            </w:pPr>
            <w:r>
              <w:rPr>
                <w:b/>
                <w:noProof/>
                <w:sz w:val="16"/>
                <w:szCs w:val="16"/>
              </w:rPr>
              <w:t>221 560</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Andre administrationsudgifter </w:t>
            </w:r>
          </w:p>
        </w:tc>
        <w:tc>
          <w:tcPr>
            <w:tcW w:w="1080" w:type="dxa"/>
            <w:vAlign w:val="center"/>
          </w:tcPr>
          <w:p>
            <w:pPr>
              <w:spacing w:before="60" w:after="60" w:line="200" w:lineRule="exact"/>
              <w:jc w:val="right"/>
              <w:rPr>
                <w:noProof/>
                <w:sz w:val="16"/>
                <w:szCs w:val="16"/>
              </w:rPr>
            </w:pPr>
            <w:r>
              <w:rPr>
                <w:noProof/>
                <w:sz w:val="16"/>
                <w:szCs w:val="16"/>
              </w:rPr>
              <w:t>1 400</w:t>
            </w:r>
          </w:p>
        </w:tc>
        <w:tc>
          <w:tcPr>
            <w:tcW w:w="1080" w:type="dxa"/>
            <w:vAlign w:val="center"/>
          </w:tcPr>
          <w:p>
            <w:pPr>
              <w:spacing w:before="60" w:after="60" w:line="200" w:lineRule="exact"/>
              <w:jc w:val="right"/>
              <w:rPr>
                <w:noProof/>
                <w:sz w:val="16"/>
                <w:szCs w:val="16"/>
              </w:rPr>
            </w:pPr>
            <w:r>
              <w:rPr>
                <w:noProof/>
                <w:sz w:val="16"/>
                <w:szCs w:val="16"/>
              </w:rPr>
              <w:t>1 655</w:t>
            </w:r>
          </w:p>
        </w:tc>
        <w:tc>
          <w:tcPr>
            <w:tcW w:w="1080" w:type="dxa"/>
            <w:vAlign w:val="center"/>
          </w:tcPr>
          <w:p>
            <w:pPr>
              <w:spacing w:before="60" w:after="60" w:line="200" w:lineRule="exact"/>
              <w:jc w:val="right"/>
              <w:rPr>
                <w:noProof/>
                <w:sz w:val="16"/>
                <w:szCs w:val="16"/>
              </w:rPr>
            </w:pPr>
            <w:r>
              <w:rPr>
                <w:noProof/>
                <w:sz w:val="16"/>
                <w:szCs w:val="16"/>
              </w:rPr>
              <w:t>1 695</w:t>
            </w:r>
          </w:p>
        </w:tc>
        <w:tc>
          <w:tcPr>
            <w:tcW w:w="1080" w:type="dxa"/>
            <w:vAlign w:val="center"/>
          </w:tcPr>
          <w:p>
            <w:pPr>
              <w:spacing w:before="60" w:after="60" w:line="200" w:lineRule="exact"/>
              <w:jc w:val="right"/>
              <w:rPr>
                <w:noProof/>
                <w:sz w:val="16"/>
                <w:szCs w:val="16"/>
              </w:rPr>
            </w:pPr>
            <w:r>
              <w:rPr>
                <w:noProof/>
                <w:sz w:val="16"/>
                <w:szCs w:val="16"/>
              </w:rPr>
              <w:t>1 695</w:t>
            </w:r>
          </w:p>
        </w:tc>
        <w:tc>
          <w:tcPr>
            <w:tcW w:w="1080" w:type="dxa"/>
            <w:vAlign w:val="center"/>
          </w:tcPr>
          <w:p>
            <w:pPr>
              <w:spacing w:before="60" w:after="60" w:line="200" w:lineRule="exact"/>
              <w:jc w:val="right"/>
              <w:rPr>
                <w:noProof/>
                <w:sz w:val="16"/>
              </w:rPr>
            </w:pPr>
            <w:r>
              <w:rPr>
                <w:noProof/>
                <w:sz w:val="16"/>
              </w:rPr>
              <w:t>1 695</w:t>
            </w:r>
          </w:p>
        </w:tc>
        <w:tc>
          <w:tcPr>
            <w:tcW w:w="1080" w:type="dxa"/>
            <w:vAlign w:val="center"/>
          </w:tcPr>
          <w:p>
            <w:pPr>
              <w:spacing w:before="60" w:after="60" w:line="200" w:lineRule="exact"/>
              <w:jc w:val="right"/>
              <w:rPr>
                <w:noProof/>
                <w:sz w:val="16"/>
              </w:rPr>
            </w:pPr>
            <w:r>
              <w:rPr>
                <w:noProof/>
                <w:sz w:val="16"/>
              </w:rPr>
              <w:t>1 695</w:t>
            </w:r>
          </w:p>
        </w:tc>
        <w:tc>
          <w:tcPr>
            <w:tcW w:w="1080" w:type="dxa"/>
            <w:vAlign w:val="center"/>
          </w:tcPr>
          <w:p>
            <w:pPr>
              <w:spacing w:before="60" w:after="60" w:line="200" w:lineRule="exact"/>
              <w:jc w:val="right"/>
              <w:rPr>
                <w:noProof/>
                <w:sz w:val="16"/>
              </w:rPr>
            </w:pPr>
            <w:r>
              <w:rPr>
                <w:noProof/>
                <w:sz w:val="16"/>
              </w:rPr>
              <w:t>1 695</w:t>
            </w:r>
          </w:p>
        </w:tc>
        <w:tc>
          <w:tcPr>
            <w:tcW w:w="1080" w:type="dxa"/>
            <w:vAlign w:val="center"/>
          </w:tcPr>
          <w:p>
            <w:pPr>
              <w:spacing w:before="60" w:after="60" w:line="200" w:lineRule="exact"/>
              <w:jc w:val="right"/>
              <w:rPr>
                <w:b/>
                <w:noProof/>
                <w:sz w:val="16"/>
                <w:szCs w:val="16"/>
              </w:rPr>
            </w:pPr>
            <w:r>
              <w:rPr>
                <w:b/>
                <w:noProof/>
                <w:sz w:val="16"/>
                <w:szCs w:val="16"/>
              </w:rPr>
              <w:t>11 530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UDGIFTSOMRÅDE 7</w:t>
            </w:r>
            <w:r>
              <w:rPr>
                <w:noProof/>
              </w:rPr>
              <w:t xml:space="preserve"> </w:t>
            </w:r>
            <w:r>
              <w:rPr>
                <w:noProof/>
              </w:rPr>
              <w:br/>
            </w:r>
            <w:r>
              <w:rPr>
                <w:b/>
                <w:noProof/>
                <w:sz w:val="16"/>
              </w:rPr>
              <w:t xml:space="preserve">i den flerårige finansielle ramme </w:t>
            </w:r>
          </w:p>
        </w:tc>
        <w:tc>
          <w:tcPr>
            <w:tcW w:w="1080" w:type="dxa"/>
            <w:vAlign w:val="center"/>
          </w:tcPr>
          <w:p>
            <w:pPr>
              <w:spacing w:before="60" w:after="60" w:line="200" w:lineRule="exact"/>
              <w:jc w:val="right"/>
              <w:rPr>
                <w:noProof/>
                <w:sz w:val="16"/>
                <w:szCs w:val="16"/>
              </w:rPr>
            </w:pPr>
            <w:r>
              <w:rPr>
                <w:noProof/>
                <w:sz w:val="16"/>
                <w:szCs w:val="16"/>
              </w:rPr>
              <w:t>31 290</w:t>
            </w:r>
          </w:p>
        </w:tc>
        <w:tc>
          <w:tcPr>
            <w:tcW w:w="1080" w:type="dxa"/>
            <w:vAlign w:val="center"/>
          </w:tcPr>
          <w:p>
            <w:pPr>
              <w:spacing w:before="60" w:after="60" w:line="200" w:lineRule="exact"/>
              <w:jc w:val="right"/>
              <w:rPr>
                <w:noProof/>
                <w:sz w:val="16"/>
                <w:szCs w:val="16"/>
              </w:rPr>
            </w:pPr>
            <w:r>
              <w:rPr>
                <w:noProof/>
                <w:sz w:val="16"/>
                <w:szCs w:val="16"/>
              </w:rPr>
              <w:t>33 600</w:t>
            </w:r>
          </w:p>
        </w:tc>
        <w:tc>
          <w:tcPr>
            <w:tcW w:w="1080" w:type="dxa"/>
            <w:vAlign w:val="center"/>
          </w:tcPr>
          <w:p>
            <w:pPr>
              <w:spacing w:before="60" w:after="60" w:line="200" w:lineRule="exact"/>
              <w:jc w:val="right"/>
              <w:rPr>
                <w:noProof/>
                <w:sz w:val="16"/>
                <w:szCs w:val="16"/>
              </w:rPr>
            </w:pPr>
            <w:r>
              <w:rPr>
                <w:noProof/>
                <w:sz w:val="16"/>
                <w:szCs w:val="16"/>
              </w:rPr>
              <w:t>33 640</w:t>
            </w:r>
          </w:p>
        </w:tc>
        <w:tc>
          <w:tcPr>
            <w:tcW w:w="1080" w:type="dxa"/>
            <w:vAlign w:val="center"/>
          </w:tcPr>
          <w:p>
            <w:pPr>
              <w:spacing w:before="60" w:after="60" w:line="200" w:lineRule="exact"/>
              <w:jc w:val="right"/>
              <w:rPr>
                <w:noProof/>
                <w:sz w:val="16"/>
                <w:szCs w:val="16"/>
              </w:rPr>
            </w:pPr>
            <w:r>
              <w:rPr>
                <w:noProof/>
                <w:sz w:val="16"/>
                <w:szCs w:val="16"/>
              </w:rPr>
              <w:t>33 640</w:t>
            </w:r>
          </w:p>
        </w:tc>
        <w:tc>
          <w:tcPr>
            <w:tcW w:w="1080" w:type="dxa"/>
            <w:vAlign w:val="center"/>
          </w:tcPr>
          <w:p>
            <w:pPr>
              <w:spacing w:before="60" w:after="60" w:line="200" w:lineRule="exact"/>
              <w:jc w:val="right"/>
              <w:rPr>
                <w:noProof/>
                <w:sz w:val="16"/>
              </w:rPr>
            </w:pPr>
            <w:r>
              <w:rPr>
                <w:noProof/>
                <w:sz w:val="16"/>
              </w:rPr>
              <w:t>33 640</w:t>
            </w:r>
          </w:p>
        </w:tc>
        <w:tc>
          <w:tcPr>
            <w:tcW w:w="1080" w:type="dxa"/>
            <w:vAlign w:val="center"/>
          </w:tcPr>
          <w:p>
            <w:pPr>
              <w:spacing w:before="60" w:after="60" w:line="200" w:lineRule="exact"/>
              <w:jc w:val="right"/>
              <w:rPr>
                <w:noProof/>
                <w:sz w:val="16"/>
              </w:rPr>
            </w:pPr>
            <w:r>
              <w:rPr>
                <w:noProof/>
                <w:sz w:val="16"/>
              </w:rPr>
              <w:t>33 640</w:t>
            </w:r>
          </w:p>
        </w:tc>
        <w:tc>
          <w:tcPr>
            <w:tcW w:w="1080" w:type="dxa"/>
            <w:vAlign w:val="center"/>
          </w:tcPr>
          <w:p>
            <w:pPr>
              <w:spacing w:before="60" w:after="60" w:line="200" w:lineRule="exact"/>
              <w:jc w:val="right"/>
              <w:rPr>
                <w:noProof/>
                <w:sz w:val="16"/>
              </w:rPr>
            </w:pPr>
            <w:r>
              <w:rPr>
                <w:noProof/>
                <w:sz w:val="16"/>
              </w:rPr>
              <w:t>33 640</w:t>
            </w:r>
          </w:p>
        </w:tc>
        <w:tc>
          <w:tcPr>
            <w:tcW w:w="1080" w:type="dxa"/>
            <w:vAlign w:val="center"/>
          </w:tcPr>
          <w:p>
            <w:pPr>
              <w:spacing w:before="60" w:after="60" w:line="200" w:lineRule="exact"/>
              <w:jc w:val="right"/>
              <w:rPr>
                <w:b/>
                <w:noProof/>
                <w:sz w:val="16"/>
                <w:szCs w:val="16"/>
              </w:rPr>
            </w:pPr>
            <w:r>
              <w:rPr>
                <w:b/>
                <w:noProof/>
                <w:sz w:val="16"/>
                <w:szCs w:val="16"/>
              </w:rPr>
              <w:t>233 090</w:t>
            </w:r>
          </w:p>
        </w:tc>
      </w:tr>
    </w:tbl>
    <w:p>
      <w:pPr>
        <w:spacing w:before="0" w:after="200" w:line="200" w:lineRule="exact"/>
        <w:jc w:val="lef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uden for UDGIFTSOMRÅDE 7</w:t>
            </w:r>
            <w:r>
              <w:rPr>
                <w:rStyle w:val="FootnoteReference"/>
                <w:b/>
                <w:noProof/>
                <w:sz w:val="16"/>
              </w:rPr>
              <w:footnoteReference w:id="35"/>
            </w:r>
            <w:r>
              <w:rPr>
                <w:noProof/>
              </w:rPr>
              <w:t xml:space="preserve"> </w:t>
            </w:r>
            <w:r>
              <w:rPr>
                <w:noProof/>
              </w:rPr>
              <w:br/>
            </w:r>
            <w:r>
              <w:rPr>
                <w:b/>
                <w:noProof/>
                <w:sz w:val="16"/>
              </w:rPr>
              <w:t xml:space="preserve">of the multiannual financial framework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Andre udgifter af administrativ art</w:t>
            </w:r>
          </w:p>
        </w:tc>
        <w:tc>
          <w:tcPr>
            <w:tcW w:w="1080" w:type="dxa"/>
            <w:vAlign w:val="center"/>
          </w:tcPr>
          <w:p>
            <w:pPr>
              <w:spacing w:before="60" w:after="60" w:line="200" w:lineRule="exact"/>
              <w:jc w:val="right"/>
              <w:rPr>
                <w:noProof/>
                <w:sz w:val="16"/>
                <w:szCs w:val="16"/>
              </w:rPr>
            </w:pPr>
            <w:r>
              <w:rPr>
                <w:noProof/>
                <w:sz w:val="16"/>
                <w:szCs w:val="16"/>
              </w:rPr>
              <w:t>2 000</w:t>
            </w:r>
          </w:p>
        </w:tc>
        <w:tc>
          <w:tcPr>
            <w:tcW w:w="1080" w:type="dxa"/>
            <w:vAlign w:val="center"/>
          </w:tcPr>
          <w:p>
            <w:pPr>
              <w:spacing w:before="60" w:after="60" w:line="200" w:lineRule="exact"/>
              <w:jc w:val="right"/>
              <w:rPr>
                <w:noProof/>
                <w:sz w:val="16"/>
                <w:szCs w:val="16"/>
              </w:rPr>
            </w:pPr>
            <w:r>
              <w:rPr>
                <w:noProof/>
                <w:sz w:val="16"/>
                <w:szCs w:val="16"/>
              </w:rPr>
              <w:t>2 000</w:t>
            </w:r>
          </w:p>
        </w:tc>
        <w:tc>
          <w:tcPr>
            <w:tcW w:w="1080" w:type="dxa"/>
            <w:vAlign w:val="center"/>
          </w:tcPr>
          <w:p>
            <w:pPr>
              <w:spacing w:before="60" w:after="60" w:line="200" w:lineRule="exact"/>
              <w:jc w:val="right"/>
              <w:rPr>
                <w:noProof/>
                <w:sz w:val="16"/>
                <w:szCs w:val="16"/>
              </w:rPr>
            </w:pPr>
            <w:r>
              <w:rPr>
                <w:noProof/>
                <w:sz w:val="16"/>
                <w:szCs w:val="16"/>
              </w:rPr>
              <w:t>2 000</w:t>
            </w:r>
          </w:p>
        </w:tc>
        <w:tc>
          <w:tcPr>
            <w:tcW w:w="1080" w:type="dxa"/>
            <w:vAlign w:val="center"/>
          </w:tcPr>
          <w:p>
            <w:pPr>
              <w:spacing w:before="60" w:after="60" w:line="200" w:lineRule="exact"/>
              <w:jc w:val="right"/>
              <w:rPr>
                <w:noProof/>
                <w:sz w:val="16"/>
                <w:szCs w:val="16"/>
              </w:rPr>
            </w:pPr>
            <w:r>
              <w:rPr>
                <w:noProof/>
                <w:sz w:val="16"/>
                <w:szCs w:val="16"/>
              </w:rPr>
              <w:t>2 000</w:t>
            </w:r>
          </w:p>
        </w:tc>
        <w:tc>
          <w:tcPr>
            <w:tcW w:w="1080" w:type="dxa"/>
            <w:vAlign w:val="center"/>
          </w:tcPr>
          <w:p>
            <w:pPr>
              <w:spacing w:before="60" w:after="60" w:line="200" w:lineRule="exact"/>
              <w:jc w:val="right"/>
              <w:rPr>
                <w:noProof/>
                <w:sz w:val="16"/>
              </w:rPr>
            </w:pPr>
            <w:r>
              <w:rPr>
                <w:noProof/>
                <w:sz w:val="16"/>
              </w:rPr>
              <w:t>2 000</w:t>
            </w:r>
          </w:p>
        </w:tc>
        <w:tc>
          <w:tcPr>
            <w:tcW w:w="1080" w:type="dxa"/>
            <w:vAlign w:val="center"/>
          </w:tcPr>
          <w:p>
            <w:pPr>
              <w:spacing w:before="60" w:after="60" w:line="200" w:lineRule="exact"/>
              <w:jc w:val="right"/>
              <w:rPr>
                <w:noProof/>
                <w:sz w:val="16"/>
              </w:rPr>
            </w:pPr>
            <w:r>
              <w:rPr>
                <w:noProof/>
                <w:sz w:val="16"/>
              </w:rPr>
              <w:t>2 000</w:t>
            </w:r>
          </w:p>
        </w:tc>
        <w:tc>
          <w:tcPr>
            <w:tcW w:w="1080" w:type="dxa"/>
            <w:vAlign w:val="center"/>
          </w:tcPr>
          <w:p>
            <w:pPr>
              <w:spacing w:before="60" w:after="60" w:line="200" w:lineRule="exact"/>
              <w:jc w:val="right"/>
              <w:rPr>
                <w:noProof/>
                <w:sz w:val="16"/>
              </w:rPr>
            </w:pPr>
            <w:r>
              <w:rPr>
                <w:noProof/>
                <w:sz w:val="16"/>
              </w:rPr>
              <w:t>2 000</w:t>
            </w:r>
          </w:p>
        </w:tc>
        <w:tc>
          <w:tcPr>
            <w:tcW w:w="1080" w:type="dxa"/>
            <w:vAlign w:val="center"/>
          </w:tcPr>
          <w:p>
            <w:pPr>
              <w:spacing w:before="60" w:after="60" w:line="200" w:lineRule="exact"/>
              <w:jc w:val="right"/>
              <w:rPr>
                <w:b/>
                <w:noProof/>
                <w:sz w:val="16"/>
                <w:szCs w:val="16"/>
              </w:rPr>
            </w:pPr>
            <w:r>
              <w:rPr>
                <w:b/>
                <w:noProof/>
                <w:sz w:val="16"/>
                <w:szCs w:val="16"/>
              </w:rPr>
              <w:t>14 .000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rPr>
              <w:t xml:space="preserve"> </w:t>
            </w:r>
            <w:r>
              <w:rPr>
                <w:noProof/>
              </w:rPr>
              <w:br/>
            </w:r>
            <w:r>
              <w:rPr>
                <w:b/>
                <w:noProof/>
                <w:sz w:val="16"/>
              </w:rPr>
              <w:t>uden for UDGIFTSOMRÅDE 7</w:t>
            </w:r>
            <w:r>
              <w:rPr>
                <w:noProof/>
              </w:rPr>
              <w:t xml:space="preserve"> </w:t>
            </w:r>
            <w:r>
              <w:rPr>
                <w:noProof/>
              </w:rPr>
              <w:br/>
            </w:r>
            <w:r>
              <w:rPr>
                <w:b/>
                <w:noProof/>
                <w:sz w:val="16"/>
              </w:rPr>
              <w:t xml:space="preserve">i den flerårige finansielle ramme </w:t>
            </w:r>
          </w:p>
        </w:tc>
        <w:tc>
          <w:tcPr>
            <w:tcW w:w="1080" w:type="dxa"/>
            <w:vAlign w:val="center"/>
          </w:tcPr>
          <w:p>
            <w:pPr>
              <w:spacing w:before="60" w:after="60" w:line="200" w:lineRule="exact"/>
              <w:jc w:val="right"/>
              <w:rPr>
                <w:noProof/>
                <w:sz w:val="16"/>
                <w:szCs w:val="16"/>
              </w:rPr>
            </w:pPr>
            <w:r>
              <w:rPr>
                <w:noProof/>
                <w:sz w:val="16"/>
                <w:szCs w:val="16"/>
              </w:rPr>
              <w:t>2 000</w:t>
            </w:r>
          </w:p>
        </w:tc>
        <w:tc>
          <w:tcPr>
            <w:tcW w:w="1080" w:type="dxa"/>
            <w:vAlign w:val="center"/>
          </w:tcPr>
          <w:p>
            <w:pPr>
              <w:spacing w:before="60" w:after="60" w:line="200" w:lineRule="exact"/>
              <w:jc w:val="right"/>
              <w:rPr>
                <w:noProof/>
                <w:sz w:val="16"/>
                <w:szCs w:val="16"/>
              </w:rPr>
            </w:pPr>
            <w:r>
              <w:rPr>
                <w:noProof/>
                <w:sz w:val="16"/>
                <w:szCs w:val="16"/>
              </w:rPr>
              <w:t>2 000</w:t>
            </w:r>
          </w:p>
        </w:tc>
        <w:tc>
          <w:tcPr>
            <w:tcW w:w="1080" w:type="dxa"/>
            <w:vAlign w:val="center"/>
          </w:tcPr>
          <w:p>
            <w:pPr>
              <w:spacing w:before="60" w:after="60" w:line="200" w:lineRule="exact"/>
              <w:jc w:val="right"/>
              <w:rPr>
                <w:noProof/>
                <w:sz w:val="16"/>
                <w:szCs w:val="16"/>
              </w:rPr>
            </w:pPr>
            <w:r>
              <w:rPr>
                <w:noProof/>
                <w:sz w:val="16"/>
                <w:szCs w:val="16"/>
              </w:rPr>
              <w:t>2 000</w:t>
            </w:r>
          </w:p>
        </w:tc>
        <w:tc>
          <w:tcPr>
            <w:tcW w:w="1080" w:type="dxa"/>
            <w:vAlign w:val="center"/>
          </w:tcPr>
          <w:p>
            <w:pPr>
              <w:spacing w:before="60" w:after="60" w:line="200" w:lineRule="exact"/>
              <w:jc w:val="right"/>
              <w:rPr>
                <w:noProof/>
                <w:sz w:val="16"/>
                <w:szCs w:val="16"/>
              </w:rPr>
            </w:pPr>
            <w:r>
              <w:rPr>
                <w:noProof/>
                <w:sz w:val="16"/>
                <w:szCs w:val="16"/>
              </w:rPr>
              <w:t>2 000</w:t>
            </w:r>
          </w:p>
        </w:tc>
        <w:tc>
          <w:tcPr>
            <w:tcW w:w="1080" w:type="dxa"/>
            <w:vAlign w:val="center"/>
          </w:tcPr>
          <w:p>
            <w:pPr>
              <w:spacing w:before="60" w:after="60" w:line="200" w:lineRule="exact"/>
              <w:jc w:val="right"/>
              <w:rPr>
                <w:noProof/>
                <w:sz w:val="16"/>
              </w:rPr>
            </w:pPr>
            <w:r>
              <w:rPr>
                <w:noProof/>
                <w:sz w:val="16"/>
              </w:rPr>
              <w:t>2 000</w:t>
            </w:r>
          </w:p>
        </w:tc>
        <w:tc>
          <w:tcPr>
            <w:tcW w:w="1080" w:type="dxa"/>
            <w:vAlign w:val="center"/>
          </w:tcPr>
          <w:p>
            <w:pPr>
              <w:spacing w:before="60" w:after="60" w:line="200" w:lineRule="exact"/>
              <w:jc w:val="right"/>
              <w:rPr>
                <w:noProof/>
                <w:sz w:val="16"/>
              </w:rPr>
            </w:pPr>
            <w:r>
              <w:rPr>
                <w:noProof/>
                <w:sz w:val="16"/>
              </w:rPr>
              <w:t>2 000</w:t>
            </w:r>
          </w:p>
        </w:tc>
        <w:tc>
          <w:tcPr>
            <w:tcW w:w="1080" w:type="dxa"/>
            <w:vAlign w:val="center"/>
          </w:tcPr>
          <w:p>
            <w:pPr>
              <w:spacing w:before="60" w:after="60" w:line="200" w:lineRule="exact"/>
              <w:jc w:val="right"/>
              <w:rPr>
                <w:noProof/>
                <w:sz w:val="16"/>
              </w:rPr>
            </w:pPr>
            <w:r>
              <w:rPr>
                <w:noProof/>
                <w:sz w:val="16"/>
              </w:rPr>
              <w:t>2 000</w:t>
            </w:r>
          </w:p>
        </w:tc>
        <w:tc>
          <w:tcPr>
            <w:tcW w:w="1080" w:type="dxa"/>
            <w:vAlign w:val="center"/>
          </w:tcPr>
          <w:p>
            <w:pPr>
              <w:spacing w:before="60" w:after="60" w:line="200" w:lineRule="exact"/>
              <w:jc w:val="right"/>
              <w:rPr>
                <w:b/>
                <w:noProof/>
                <w:sz w:val="16"/>
                <w:szCs w:val="16"/>
              </w:rPr>
            </w:pPr>
            <w:r>
              <w:rPr>
                <w:b/>
                <w:noProof/>
                <w:sz w:val="16"/>
                <w:szCs w:val="16"/>
              </w:rPr>
              <w:t>14 .000</w:t>
            </w:r>
          </w:p>
        </w:tc>
      </w:tr>
    </w:tbl>
    <w:p>
      <w:pPr>
        <w:spacing w:before="0" w:after="200" w:line="200" w:lineRule="exact"/>
        <w:jc w:val="lef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33 290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35 600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35 640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35 640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35 640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35 640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35 640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szCs w:val="16"/>
              </w:rPr>
              <w:t>247 090</w:t>
            </w:r>
          </w:p>
        </w:tc>
      </w:tr>
    </w:tbl>
    <w:p>
      <w:pPr>
        <w:rPr>
          <w:noProof/>
          <w:sz w:val="20"/>
        </w:rPr>
      </w:pPr>
    </w:p>
    <w:p>
      <w:pPr>
        <w:rPr>
          <w:noProof/>
          <w:sz w:val="18"/>
        </w:rPr>
        <w:sectPr>
          <w:headerReference w:type="default" r:id="rId20"/>
          <w:footerReference w:type="default" r:id="rId21"/>
          <w:headerReference w:type="first" r:id="rId22"/>
          <w:footerReference w:type="first" r:id="rId23"/>
          <w:pgSz w:w="11907" w:h="16840"/>
          <w:pgMar w:top="1134" w:right="1418" w:bottom="1134" w:left="1418" w:header="709" w:footer="709" w:gutter="0"/>
          <w:cols w:space="708"/>
          <w:docGrid w:linePitch="360"/>
        </w:sectPr>
      </w:pPr>
      <w:r>
        <w:rPr>
          <w:noProof/>
          <w:sz w:val="18"/>
        </w:rPr>
        <w:t>Bevillingerne til menneskelige ressourcer og andre administrationsudgifter vil blive dækket ved hjælp af de bevillinger, der i forvejen er afsat til generaldirektoratets forvaltning af aktionen, og/eller ved intern omfordeling i generaldirektoratet, eventuelt suppleret med yderligere bevillinger, som tildeles det ansvarlige generaldirektorat i forbindelse med den årlige tildelingsprocedure under hensyntagen til de budgetmæssige begrænsninger.</w:t>
      </w:r>
    </w:p>
    <w:p>
      <w:pPr>
        <w:pStyle w:val="ManualHeading4"/>
        <w:rPr>
          <w:bCs/>
          <w:noProof/>
          <w:szCs w:val="24"/>
        </w:rPr>
      </w:pPr>
      <w:r>
        <w:t>3.2.2.2.</w:t>
      </w:r>
      <w:r>
        <w:tab/>
      </w:r>
      <w:r>
        <w:rPr>
          <w:noProof/>
        </w:rPr>
        <w:t>Anslået behov for menneskelige ressourcer</w:t>
      </w:r>
    </w:p>
    <w:p>
      <w:pPr>
        <w:pStyle w:val="ListDash1"/>
        <w:rPr>
          <w:noProof/>
        </w:rPr>
      </w:pPr>
      <w:r>
        <w:rPr>
          <w:noProof/>
        </w:rPr>
        <w:sym w:font="Wingdings" w:char="F0A8"/>
      </w:r>
      <w:r>
        <w:rPr>
          <w:noProof/>
        </w:rPr>
        <w:tab/>
        <w:t xml:space="preserve">Forslaget/initiativet medfører ikke anvendelse af menneskelige ressourcer </w:t>
      </w:r>
    </w:p>
    <w:p>
      <w:pPr>
        <w:pStyle w:val="ListDash1"/>
        <w:rPr>
          <w:noProof/>
        </w:rPr>
      </w:pPr>
      <w:r>
        <w:rPr>
          <w:b/>
          <w:noProof/>
        </w:rPr>
        <w:t>X</w:t>
      </w:r>
      <w:r>
        <w:rPr>
          <w:noProof/>
        </w:rPr>
        <w:tab/>
        <w:t>Forslaget/initiativet medfører anvendelse af menneskelige ressourcer som anført herunder:</w:t>
      </w:r>
    </w:p>
    <w:p>
      <w:pPr>
        <w:spacing w:after="60"/>
        <w:jc w:val="right"/>
        <w:rPr>
          <w:i/>
          <w:noProof/>
          <w:sz w:val="20"/>
        </w:rPr>
      </w:pPr>
      <w:r>
        <w:rPr>
          <w:i/>
          <w:noProof/>
          <w:sz w:val="20"/>
        </w:rPr>
        <w:t>Overslag angives i årsværk</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
        <w:gridCol w:w="1952"/>
        <w:gridCol w:w="1954"/>
        <w:gridCol w:w="655"/>
        <w:gridCol w:w="655"/>
        <w:gridCol w:w="1205"/>
        <w:gridCol w:w="1277"/>
        <w:gridCol w:w="851"/>
        <w:gridCol w:w="560"/>
        <w:gridCol w:w="435"/>
        <w:gridCol w:w="743"/>
      </w:tblGrid>
      <w:tr>
        <w:trPr>
          <w:gridBefore w:val="1"/>
          <w:wBefore w:w="5"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b/>
                <w:noProof/>
                <w:sz w:val="16"/>
                <w:szCs w:val="16"/>
              </w:rPr>
            </w:pPr>
            <w:r>
              <w:rPr>
                <w:b/>
                <w:noProof/>
                <w:sz w:val="16"/>
                <w:szCs w:val="16"/>
              </w:rPr>
              <w:t>2021</w:t>
            </w:r>
          </w:p>
        </w:tc>
        <w:tc>
          <w:tcPr>
            <w:tcW w:w="318" w:type="pct"/>
            <w:shd w:val="clear" w:color="auto" w:fill="auto"/>
            <w:vAlign w:val="center"/>
          </w:tcPr>
          <w:p>
            <w:pPr>
              <w:spacing w:before="20" w:after="20"/>
              <w:jc w:val="center"/>
              <w:rPr>
                <w:b/>
                <w:noProof/>
                <w:sz w:val="16"/>
                <w:szCs w:val="16"/>
              </w:rPr>
            </w:pPr>
            <w:r>
              <w:rPr>
                <w:b/>
                <w:noProof/>
                <w:sz w:val="16"/>
                <w:szCs w:val="16"/>
              </w:rPr>
              <w:t>2022</w:t>
            </w:r>
          </w:p>
        </w:tc>
        <w:tc>
          <w:tcPr>
            <w:tcW w:w="585" w:type="pct"/>
            <w:shd w:val="clear" w:color="auto" w:fill="auto"/>
            <w:vAlign w:val="center"/>
          </w:tcPr>
          <w:p>
            <w:pPr>
              <w:spacing w:before="20" w:after="20"/>
              <w:jc w:val="center"/>
              <w:rPr>
                <w:b/>
                <w:noProof/>
                <w:sz w:val="16"/>
                <w:szCs w:val="16"/>
              </w:rPr>
            </w:pPr>
            <w:r>
              <w:rPr>
                <w:b/>
                <w:noProof/>
                <w:sz w:val="16"/>
                <w:szCs w:val="16"/>
              </w:rPr>
              <w:t>2023</w:t>
            </w:r>
          </w:p>
        </w:tc>
        <w:tc>
          <w:tcPr>
            <w:tcW w:w="620" w:type="pct"/>
            <w:shd w:val="clear" w:color="auto" w:fill="auto"/>
            <w:vAlign w:val="center"/>
          </w:tcPr>
          <w:p>
            <w:pPr>
              <w:spacing w:before="20" w:after="20"/>
              <w:jc w:val="center"/>
              <w:rPr>
                <w:b/>
                <w:noProof/>
                <w:sz w:val="16"/>
                <w:szCs w:val="16"/>
              </w:rPr>
            </w:pPr>
            <w:r>
              <w:rPr>
                <w:b/>
                <w:noProof/>
                <w:sz w:val="16"/>
                <w:szCs w:val="16"/>
              </w:rPr>
              <w:t>2024</w:t>
            </w:r>
          </w:p>
        </w:tc>
        <w:tc>
          <w:tcPr>
            <w:tcW w:w="413" w:type="pct"/>
            <w:shd w:val="clear" w:color="auto" w:fill="auto"/>
            <w:vAlign w:val="center"/>
          </w:tcPr>
          <w:p>
            <w:pPr>
              <w:spacing w:before="20" w:after="20"/>
              <w:jc w:val="center"/>
              <w:rPr>
                <w:b/>
                <w:noProof/>
                <w:sz w:val="16"/>
                <w:szCs w:val="16"/>
              </w:rPr>
            </w:pPr>
            <w:r>
              <w:rPr>
                <w:b/>
                <w:noProof/>
                <w:sz w:val="16"/>
                <w:szCs w:val="16"/>
              </w:rPr>
              <w:t>2025</w:t>
            </w:r>
          </w:p>
        </w:tc>
        <w:tc>
          <w:tcPr>
            <w:tcW w:w="481" w:type="pct"/>
            <w:gridSpan w:val="2"/>
            <w:shd w:val="clear" w:color="auto" w:fill="auto"/>
            <w:vAlign w:val="center"/>
          </w:tcPr>
          <w:p>
            <w:pPr>
              <w:spacing w:before="20" w:after="20"/>
              <w:jc w:val="center"/>
              <w:rPr>
                <w:b/>
                <w:noProof/>
                <w:sz w:val="16"/>
                <w:szCs w:val="16"/>
              </w:rPr>
            </w:pPr>
            <w:r>
              <w:rPr>
                <w:b/>
                <w:noProof/>
                <w:sz w:val="16"/>
                <w:szCs w:val="16"/>
              </w:rPr>
              <w:t>2026</w:t>
            </w:r>
          </w:p>
        </w:tc>
        <w:tc>
          <w:tcPr>
            <w:tcW w:w="363" w:type="pct"/>
            <w:shd w:val="clear" w:color="auto" w:fill="auto"/>
            <w:vAlign w:val="center"/>
          </w:tcPr>
          <w:p>
            <w:pPr>
              <w:jc w:val="center"/>
              <w:rPr>
                <w:b/>
                <w:noProof/>
                <w:sz w:val="16"/>
                <w:szCs w:val="16"/>
              </w:rPr>
            </w:pPr>
            <w:r>
              <w:rPr>
                <w:b/>
                <w:noProof/>
                <w:sz w:val="16"/>
                <w:szCs w:val="16"/>
              </w:rPr>
              <w:t>2027</w:t>
            </w:r>
          </w:p>
        </w:tc>
      </w:tr>
      <w:tr>
        <w:trPr>
          <w:gridBefore w:val="1"/>
          <w:wBefore w:w="5" w:type="pct"/>
          <w:trHeight w:val="289"/>
          <w:jc w:val="center"/>
        </w:trPr>
        <w:tc>
          <w:tcPr>
            <w:tcW w:w="3118" w:type="pct"/>
            <w:gridSpan w:val="5"/>
            <w:shd w:val="clear" w:color="auto" w:fill="auto"/>
          </w:tcPr>
          <w:p>
            <w:pPr>
              <w:spacing w:before="20" w:after="20"/>
              <w:rPr>
                <w:noProof/>
                <w:sz w:val="16"/>
                <w:szCs w:val="16"/>
              </w:rPr>
            </w:pPr>
            <w:r>
              <w:rPr>
                <w:b/>
                <w:noProof/>
                <w:sz w:val="16"/>
              </w:rPr>
              <w:sym w:font="Wingdings" w:char="F09F"/>
            </w:r>
            <w:r>
              <w:rPr>
                <w:noProof/>
              </w:rPr>
              <w:tab/>
            </w:r>
            <w:r>
              <w:rPr>
                <w:b/>
                <w:noProof/>
                <w:sz w:val="16"/>
              </w:rPr>
              <w:t xml:space="preserve"> Stillinger i stillingsfortegnelsen (tjenestemænd og midlertidigt ansatte)</w:t>
            </w:r>
          </w:p>
        </w:tc>
        <w:tc>
          <w:tcPr>
            <w:tcW w:w="620" w:type="pct"/>
            <w:shd w:val="clear" w:color="auto" w:fill="auto"/>
            <w:vAlign w:val="center"/>
          </w:tcPr>
          <w:p>
            <w:pPr>
              <w:spacing w:before="20" w:after="20"/>
              <w:jc w:val="center"/>
              <w:rPr>
                <w:noProof/>
                <w:sz w:val="16"/>
                <w:szCs w:val="16"/>
              </w:rPr>
            </w:pPr>
          </w:p>
        </w:tc>
        <w:tc>
          <w:tcPr>
            <w:tcW w:w="1257" w:type="pct"/>
            <w:gridSpan w:val="4"/>
            <w:shd w:val="clear" w:color="auto" w:fill="auto"/>
            <w:vAlign w:val="center"/>
          </w:tcPr>
          <w:p>
            <w:pPr>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(i hovedsædet og i Kommissionens repræsentationskontorer)</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162</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173</w:t>
            </w:r>
          </w:p>
        </w:tc>
        <w:tc>
          <w:tcPr>
            <w:tcW w:w="585" w:type="pct"/>
            <w:shd w:val="clear" w:color="auto" w:fill="auto"/>
            <w:vAlign w:val="center"/>
          </w:tcPr>
          <w:p>
            <w:pPr>
              <w:spacing w:beforeLines="20" w:before="48" w:afterLines="20" w:after="48"/>
              <w:jc w:val="center"/>
              <w:rPr>
                <w:noProof/>
                <w:sz w:val="16"/>
                <w:szCs w:val="16"/>
              </w:rPr>
            </w:pPr>
            <w:r>
              <w:rPr>
                <w:noProof/>
                <w:sz w:val="16"/>
                <w:szCs w:val="16"/>
              </w:rPr>
              <w:t>173</w:t>
            </w:r>
          </w:p>
        </w:tc>
        <w:tc>
          <w:tcPr>
            <w:tcW w:w="620" w:type="pct"/>
            <w:shd w:val="clear" w:color="auto" w:fill="auto"/>
            <w:vAlign w:val="center"/>
          </w:tcPr>
          <w:p>
            <w:pPr>
              <w:spacing w:beforeLines="20" w:before="48" w:afterLines="20" w:after="48"/>
              <w:jc w:val="center"/>
              <w:rPr>
                <w:noProof/>
                <w:sz w:val="16"/>
                <w:szCs w:val="16"/>
              </w:rPr>
            </w:pPr>
            <w:r>
              <w:rPr>
                <w:noProof/>
                <w:sz w:val="16"/>
                <w:szCs w:val="16"/>
              </w:rPr>
              <w:t>173</w:t>
            </w:r>
          </w:p>
        </w:tc>
        <w:tc>
          <w:tcPr>
            <w:tcW w:w="413" w:type="pct"/>
            <w:shd w:val="clear" w:color="auto" w:fill="auto"/>
            <w:vAlign w:val="center"/>
          </w:tcPr>
          <w:p>
            <w:pPr>
              <w:spacing w:beforeLines="20" w:before="48" w:afterLines="20" w:after="48"/>
              <w:jc w:val="center"/>
              <w:rPr>
                <w:noProof/>
                <w:sz w:val="16"/>
                <w:szCs w:val="16"/>
              </w:rPr>
            </w:pPr>
            <w:r>
              <w:rPr>
                <w:noProof/>
                <w:sz w:val="16"/>
                <w:szCs w:val="16"/>
              </w:rPr>
              <w:t>173</w:t>
            </w:r>
          </w:p>
        </w:tc>
        <w:tc>
          <w:tcPr>
            <w:tcW w:w="483" w:type="pct"/>
            <w:gridSpan w:val="2"/>
            <w:shd w:val="clear" w:color="auto" w:fill="auto"/>
            <w:vAlign w:val="center"/>
          </w:tcPr>
          <w:p>
            <w:pPr>
              <w:spacing w:beforeLines="20" w:before="48" w:afterLines="20" w:after="48"/>
              <w:jc w:val="center"/>
              <w:rPr>
                <w:noProof/>
                <w:sz w:val="16"/>
                <w:szCs w:val="16"/>
              </w:rPr>
            </w:pPr>
            <w:r>
              <w:rPr>
                <w:noProof/>
                <w:sz w:val="16"/>
                <w:szCs w:val="16"/>
              </w:rPr>
              <w:t>173</w:t>
            </w:r>
          </w:p>
        </w:tc>
        <w:tc>
          <w:tcPr>
            <w:tcW w:w="361" w:type="pct"/>
            <w:shd w:val="clear" w:color="auto" w:fill="auto"/>
            <w:vAlign w:val="center"/>
          </w:tcPr>
          <w:p>
            <w:pPr>
              <w:spacing w:beforeLines="20" w:before="48" w:afterLines="20" w:after="48"/>
              <w:jc w:val="center"/>
              <w:rPr>
                <w:noProof/>
                <w:sz w:val="16"/>
                <w:szCs w:val="16"/>
              </w:rPr>
            </w:pPr>
            <w:r>
              <w:rPr>
                <w:noProof/>
                <w:sz w:val="16"/>
                <w:szCs w:val="16"/>
              </w:rPr>
              <w:t>173</w:t>
            </w: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(i delegationer)</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After w:val="2"/>
          <w:wAfter w:w="572" w:type="pct"/>
          <w:trHeight w:val="248"/>
          <w:jc w:val="center"/>
        </w:trPr>
        <w:tc>
          <w:tcPr>
            <w:tcW w:w="4428" w:type="pct"/>
            <w:gridSpan w:val="9"/>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Eksternt personale (i årsværk )</w:t>
            </w:r>
            <w:r>
              <w:rPr>
                <w:rStyle w:val="FootnoteReference"/>
                <w:b/>
                <w:noProof/>
                <w:sz w:val="16"/>
              </w:rPr>
              <w:footnoteReference w:id="36"/>
            </w:r>
          </w:p>
          <w:p>
            <w:pPr>
              <w:pStyle w:val="Text1"/>
              <w:spacing w:before="0" w:after="0"/>
              <w:ind w:left="0"/>
              <w:jc w:val="left"/>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(KA, UNE, V under den samlede bevillingsramme)</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69</w:t>
            </w:r>
          </w:p>
        </w:tc>
        <w:tc>
          <w:tcPr>
            <w:tcW w:w="318" w:type="pct"/>
            <w:shd w:val="clear" w:color="auto" w:fill="auto"/>
            <w:vAlign w:val="center"/>
          </w:tcPr>
          <w:p>
            <w:pPr>
              <w:spacing w:beforeLines="20" w:before="48" w:afterLines="20" w:after="48"/>
              <w:jc w:val="center"/>
              <w:rPr>
                <w:noProof/>
                <w:sz w:val="16"/>
                <w:szCs w:val="16"/>
              </w:rPr>
            </w:pPr>
            <w:r>
              <w:rPr>
                <w:noProof/>
                <w:sz w:val="16"/>
                <w:szCs w:val="16"/>
              </w:rPr>
              <w:t>74</w:t>
            </w:r>
          </w:p>
        </w:tc>
        <w:tc>
          <w:tcPr>
            <w:tcW w:w="585" w:type="pct"/>
            <w:shd w:val="clear" w:color="auto" w:fill="auto"/>
            <w:vAlign w:val="center"/>
          </w:tcPr>
          <w:p>
            <w:pPr>
              <w:spacing w:beforeLines="20" w:before="48" w:afterLines="20" w:after="48"/>
              <w:jc w:val="center"/>
              <w:rPr>
                <w:noProof/>
                <w:sz w:val="16"/>
                <w:szCs w:val="16"/>
              </w:rPr>
            </w:pPr>
            <w:r>
              <w:rPr>
                <w:noProof/>
                <w:sz w:val="16"/>
                <w:szCs w:val="16"/>
              </w:rPr>
              <w:t>74</w:t>
            </w:r>
          </w:p>
        </w:tc>
        <w:tc>
          <w:tcPr>
            <w:tcW w:w="620" w:type="pct"/>
            <w:shd w:val="clear" w:color="auto" w:fill="auto"/>
            <w:vAlign w:val="center"/>
          </w:tcPr>
          <w:p>
            <w:pPr>
              <w:spacing w:beforeLines="20" w:before="48" w:afterLines="20" w:after="48"/>
              <w:jc w:val="center"/>
              <w:rPr>
                <w:noProof/>
                <w:sz w:val="16"/>
                <w:szCs w:val="16"/>
              </w:rPr>
            </w:pPr>
            <w:r>
              <w:rPr>
                <w:noProof/>
                <w:sz w:val="16"/>
                <w:szCs w:val="16"/>
              </w:rPr>
              <w:t>74</w:t>
            </w:r>
          </w:p>
        </w:tc>
        <w:tc>
          <w:tcPr>
            <w:tcW w:w="413" w:type="pct"/>
            <w:shd w:val="clear" w:color="auto" w:fill="auto"/>
            <w:vAlign w:val="center"/>
          </w:tcPr>
          <w:p>
            <w:pPr>
              <w:spacing w:beforeLines="20" w:before="48" w:afterLines="20" w:after="48"/>
              <w:jc w:val="center"/>
              <w:rPr>
                <w:noProof/>
                <w:sz w:val="16"/>
                <w:szCs w:val="16"/>
              </w:rPr>
            </w:pPr>
            <w:r>
              <w:rPr>
                <w:noProof/>
                <w:sz w:val="16"/>
                <w:szCs w:val="16"/>
              </w:rPr>
              <w:t>74</w:t>
            </w:r>
          </w:p>
        </w:tc>
        <w:tc>
          <w:tcPr>
            <w:tcW w:w="483" w:type="pct"/>
            <w:gridSpan w:val="2"/>
            <w:shd w:val="clear" w:color="auto" w:fill="auto"/>
            <w:vAlign w:val="center"/>
          </w:tcPr>
          <w:p>
            <w:pPr>
              <w:spacing w:beforeLines="20" w:before="48" w:afterLines="20" w:after="48"/>
              <w:jc w:val="center"/>
              <w:rPr>
                <w:noProof/>
                <w:sz w:val="16"/>
                <w:szCs w:val="16"/>
              </w:rPr>
            </w:pPr>
            <w:r>
              <w:rPr>
                <w:noProof/>
                <w:sz w:val="16"/>
                <w:szCs w:val="16"/>
              </w:rPr>
              <w:t>74</w:t>
            </w:r>
          </w:p>
        </w:tc>
        <w:tc>
          <w:tcPr>
            <w:tcW w:w="361" w:type="pct"/>
            <w:shd w:val="clear" w:color="auto" w:fill="auto"/>
            <w:vAlign w:val="center"/>
          </w:tcPr>
          <w:p>
            <w:pPr>
              <w:spacing w:beforeLines="20" w:before="48" w:afterLines="20" w:after="48"/>
              <w:jc w:val="center"/>
              <w:rPr>
                <w:noProof/>
                <w:sz w:val="16"/>
                <w:szCs w:val="16"/>
              </w:rPr>
            </w:pPr>
            <w:r>
              <w:rPr>
                <w:noProof/>
                <w:sz w:val="16"/>
                <w:szCs w:val="16"/>
              </w:rPr>
              <w:t>74</w:t>
            </w: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(KA, LA, UNE, V og JED i delegationerne)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b/>
                <w:i/>
                <w:noProof/>
                <w:sz w:val="16"/>
              </w:rPr>
              <w:footnoteReference w:id="37"/>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i hovedsædet</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 delegationer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(KA, UNE, V – indirekte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(KA, UNE, V – direkte forskning)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585" w:type="pct"/>
            <w:shd w:val="clear" w:color="auto" w:fill="auto"/>
            <w:vAlign w:val="center"/>
          </w:tcPr>
          <w:p>
            <w:pPr>
              <w:spacing w:beforeLines="20" w:before="48" w:afterLines="20" w:after="48"/>
              <w:jc w:val="center"/>
              <w:rPr>
                <w:noProof/>
                <w:sz w:val="16"/>
                <w:szCs w:val="16"/>
              </w:rPr>
            </w:pPr>
          </w:p>
        </w:tc>
        <w:tc>
          <w:tcPr>
            <w:tcW w:w="620"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83" w:type="pct"/>
            <w:gridSpan w:val="2"/>
            <w:shd w:val="clear" w:color="auto" w:fill="auto"/>
            <w:vAlign w:val="center"/>
          </w:tcPr>
          <w:p>
            <w:pPr>
              <w:spacing w:beforeLines="20" w:before="48" w:afterLines="20" w:after="48"/>
              <w:jc w:val="center"/>
              <w:rPr>
                <w:noProof/>
                <w:sz w:val="16"/>
                <w:szCs w:val="16"/>
              </w:rPr>
            </w:pPr>
          </w:p>
        </w:tc>
        <w:tc>
          <w:tcPr>
            <w:tcW w:w="361" w:type="pct"/>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Andre budgetposter (skal angives)</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8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20"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3" w:type="pct"/>
            <w:gridSpan w:val="2"/>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61"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5"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 ALT</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231</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c>
          <w:tcPr>
            <w:tcW w:w="585"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c>
          <w:tcPr>
            <w:tcW w:w="620"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c>
          <w:tcPr>
            <w:tcW w:w="41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c>
          <w:tcPr>
            <w:tcW w:w="483" w:type="pct"/>
            <w:gridSpan w:val="2"/>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c>
          <w:tcPr>
            <w:tcW w:w="361"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szCs w:val="16"/>
              </w:rPr>
              <w:t>247</w:t>
            </w:r>
          </w:p>
        </w:tc>
      </w:tr>
    </w:tbl>
    <w:p>
      <w:pPr>
        <w:pStyle w:val="Text1"/>
        <w:spacing w:before="60" w:after="60"/>
        <w:ind w:left="851"/>
        <w:rPr>
          <w:noProof/>
          <w:sz w:val="18"/>
          <w:szCs w:val="18"/>
        </w:rPr>
      </w:pPr>
      <w:r>
        <w:rPr>
          <w:b/>
          <w:noProof/>
          <w:sz w:val="18"/>
          <w:szCs w:val="18"/>
        </w:rPr>
        <w:t>XX</w:t>
      </w:r>
      <w:r>
        <w:rPr>
          <w:noProof/>
          <w:sz w:val="18"/>
          <w:szCs w:val="18"/>
        </w:rPr>
        <w:t xml:space="preserve"> angiver det berørte politikområde eller budgetafsnit.</w:t>
      </w:r>
    </w:p>
    <w:p>
      <w:pPr>
        <w:pStyle w:val="Text1"/>
        <w:rPr>
          <w:noProof/>
          <w:sz w:val="18"/>
          <w:szCs w:val="18"/>
        </w:rPr>
      </w:pPr>
      <w:r>
        <w:rPr>
          <w:noProof/>
          <w:sz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rPr>
          <w:noProof/>
          <w:sz w:val="20"/>
        </w:rPr>
      </w:pPr>
      <w:r>
        <w:rPr>
          <w:noProof/>
          <w:sz w:val="20"/>
        </w:rPr>
        <w:t>Opgavebeskrivelse: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Tjenestemænd og midlertidigt ansatte</w:t>
            </w:r>
          </w:p>
        </w:tc>
        <w:tc>
          <w:tcPr>
            <w:tcW w:w="7200" w:type="dxa"/>
          </w:tcPr>
          <w:p>
            <w:pPr>
              <w:rPr>
                <w:noProof/>
                <w:sz w:val="20"/>
              </w:rPr>
            </w:pPr>
          </w:p>
        </w:tc>
      </w:tr>
      <w:tr>
        <w:tc>
          <w:tcPr>
            <w:tcW w:w="3240" w:type="dxa"/>
          </w:tcPr>
          <w:p>
            <w:pPr>
              <w:spacing w:before="60" w:after="60"/>
              <w:rPr>
                <w:noProof/>
                <w:sz w:val="20"/>
              </w:rPr>
            </w:pPr>
            <w:r>
              <w:rPr>
                <w:noProof/>
                <w:sz w:val="20"/>
              </w:rPr>
              <w:t>Eksternt personale</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 xml:space="preserve">Forenelighed med indeværende flerårige finansielle ramme </w:t>
      </w:r>
    </w:p>
    <w:p>
      <w:pPr>
        <w:pStyle w:val="ListDash1"/>
        <w:rPr>
          <w:noProof/>
        </w:rPr>
      </w:pPr>
      <w:r>
        <w:rPr>
          <w:noProof/>
        </w:rPr>
        <w:sym w:font="Wingdings" w:char="F0A8"/>
      </w:r>
      <w:r>
        <w:rPr>
          <w:noProof/>
        </w:rPr>
        <w:tab/>
        <w:t>Forslaget/initiativet er foreneligt med indeværende flerårige finansielle ramme</w:t>
      </w:r>
    </w:p>
    <w:p>
      <w:pPr>
        <w:pStyle w:val="ListDash1"/>
        <w:rPr>
          <w:noProof/>
        </w:rPr>
      </w:pPr>
      <w:r>
        <w:rPr>
          <w:noProof/>
        </w:rPr>
        <w:sym w:font="Wingdings" w:char="F0A8"/>
      </w:r>
      <w:r>
        <w:rPr>
          <w:noProof/>
        </w:rPr>
        <w:tab/>
        <w:t>Forslaget/initiativet kræver omlægning af det relevante udgiftsområde i den flerårige finansielle ramme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omlægningen med angivelse af de berørte budgetposter og beløbenes størrelse</w:t>
      </w:r>
    </w:p>
    <w:p>
      <w:pPr>
        <w:pStyle w:val="Text1"/>
        <w:pBdr>
          <w:top w:val="single" w:sz="4" w:space="1" w:color="auto"/>
          <w:left w:val="single" w:sz="4" w:space="4" w:color="auto"/>
          <w:bottom w:val="single" w:sz="4" w:space="1" w:color="auto"/>
          <w:right w:val="single" w:sz="4" w:space="4" w:color="auto"/>
        </w:pBdr>
        <w:rPr>
          <w:noProof/>
        </w:rPr>
      </w:pPr>
    </w:p>
    <w:p>
      <w:pPr>
        <w:pStyle w:val="ListDash1"/>
        <w:rPr>
          <w:noProof/>
        </w:rPr>
      </w:pPr>
      <w:r>
        <w:rPr>
          <w:noProof/>
        </w:rPr>
        <w:sym w:font="Wingdings" w:char="F0A8"/>
      </w:r>
      <w:r>
        <w:rPr>
          <w:noProof/>
        </w:rPr>
        <w:tab/>
        <w:t>Forslaget/initiativet kræver, at fleksibilitetsinstrumentet anvendes, eller at den flerårige finansielle ramme revideres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Der redegøres for behovet med angivelse af de berørte udgiftsområder og budgetposter og beløbenes størrelse</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t>3.2.4.</w:t>
      </w:r>
      <w:r>
        <w:tab/>
      </w:r>
      <w:r>
        <w:rPr>
          <w:noProof/>
        </w:rPr>
        <w:t xml:space="preserve">Tredjemands bidrag til finansieringen </w:t>
      </w:r>
    </w:p>
    <w:p>
      <w:pPr>
        <w:pStyle w:val="ListDash1"/>
        <w:rPr>
          <w:noProof/>
        </w:rPr>
      </w:pPr>
      <w:r>
        <w:rPr>
          <w:noProof/>
        </w:rPr>
        <w:t xml:space="preserve">Forslaget/initiativet indeholder ikke bestemmelser om samfinansiering med tredjemand. </w:t>
      </w:r>
    </w:p>
    <w:p>
      <w:pPr>
        <w:pStyle w:val="ListDash1"/>
        <w:rPr>
          <w:noProof/>
        </w:rPr>
      </w:pPr>
      <w:r>
        <w:rPr>
          <w:noProof/>
        </w:rPr>
        <w:t>Forslaget/initiativet indeholder bestemmelser om samfinansiering, jf. følgende overslag:</w:t>
      </w:r>
    </w:p>
    <w:p>
      <w:pPr>
        <w:jc w:val="right"/>
        <w:rPr>
          <w:noProof/>
          <w:sz w:val="20"/>
        </w:rPr>
      </w:pPr>
      <w:r>
        <w:rPr>
          <w:noProof/>
          <w:sz w:val="20"/>
        </w:rPr>
        <w:t>Bevillinger i mio. EUR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År</w:t>
            </w:r>
            <w:r>
              <w:rPr>
                <w:noProof/>
              </w:rPr>
              <w:t xml:space="preserve"> </w:t>
            </w:r>
            <w:r>
              <w:rPr>
                <w:noProof/>
              </w:rPr>
              <w:br/>
            </w:r>
            <w:r>
              <w:rPr>
                <w:b/>
                <w:noProof/>
                <w:sz w:val="20"/>
              </w:rPr>
              <w:t>n</w:t>
            </w:r>
          </w:p>
        </w:tc>
        <w:tc>
          <w:tcPr>
            <w:tcW w:w="964" w:type="dxa"/>
            <w:vAlign w:val="center"/>
          </w:tcPr>
          <w:p>
            <w:pPr>
              <w:jc w:val="center"/>
              <w:rPr>
                <w:noProof/>
                <w:sz w:val="20"/>
              </w:rPr>
            </w:pPr>
            <w:r>
              <w:rPr>
                <w:noProof/>
                <w:sz w:val="20"/>
              </w:rPr>
              <w:t>År</w:t>
            </w:r>
            <w:r>
              <w:rPr>
                <w:noProof/>
              </w:rPr>
              <w:t xml:space="preserve"> </w:t>
            </w:r>
            <w:r>
              <w:rPr>
                <w:noProof/>
              </w:rPr>
              <w:br/>
            </w:r>
            <w:r>
              <w:rPr>
                <w:b/>
                <w:noProof/>
                <w:sz w:val="20"/>
              </w:rPr>
              <w:t>n + 1</w:t>
            </w:r>
          </w:p>
        </w:tc>
        <w:tc>
          <w:tcPr>
            <w:tcW w:w="964" w:type="dxa"/>
            <w:vAlign w:val="center"/>
          </w:tcPr>
          <w:p>
            <w:pPr>
              <w:jc w:val="center"/>
              <w:rPr>
                <w:noProof/>
                <w:sz w:val="20"/>
              </w:rPr>
            </w:pPr>
            <w:r>
              <w:rPr>
                <w:noProof/>
                <w:sz w:val="20"/>
              </w:rPr>
              <w:t>År</w:t>
            </w:r>
            <w:r>
              <w:rPr>
                <w:noProof/>
              </w:rPr>
              <w:t xml:space="preserve"> </w:t>
            </w:r>
            <w:r>
              <w:rPr>
                <w:noProof/>
              </w:rPr>
              <w:br/>
            </w:r>
            <w:r>
              <w:rPr>
                <w:b/>
                <w:noProof/>
                <w:sz w:val="20"/>
              </w:rPr>
              <w:t>n + 2</w:t>
            </w:r>
          </w:p>
        </w:tc>
        <w:tc>
          <w:tcPr>
            <w:tcW w:w="964" w:type="dxa"/>
            <w:vAlign w:val="center"/>
          </w:tcPr>
          <w:p>
            <w:pPr>
              <w:jc w:val="center"/>
              <w:rPr>
                <w:noProof/>
                <w:sz w:val="20"/>
              </w:rPr>
            </w:pPr>
            <w:r>
              <w:rPr>
                <w:noProof/>
                <w:sz w:val="20"/>
              </w:rPr>
              <w:t>År</w:t>
            </w:r>
            <w:r>
              <w:rPr>
                <w:noProof/>
              </w:rPr>
              <w:t xml:space="preserve"> </w:t>
            </w:r>
            <w:r>
              <w:rPr>
                <w:noProof/>
              </w:rPr>
              <w:br/>
            </w:r>
            <w:r>
              <w:rPr>
                <w:b/>
                <w:noProof/>
                <w:sz w:val="20"/>
              </w:rPr>
              <w:t>n + 3</w:t>
            </w:r>
          </w:p>
        </w:tc>
        <w:tc>
          <w:tcPr>
            <w:tcW w:w="2892" w:type="dxa"/>
            <w:gridSpan w:val="3"/>
            <w:vAlign w:val="center"/>
          </w:tcPr>
          <w:p>
            <w:pPr>
              <w:jc w:val="center"/>
              <w:rPr>
                <w:b/>
                <w:noProof/>
                <w:sz w:val="20"/>
              </w:rPr>
            </w:pPr>
            <w:r>
              <w:rPr>
                <w:noProof/>
                <w:sz w:val="20"/>
              </w:rPr>
              <w:t>Der indsættes flere år, hvis virkningerne varer længere (jf. punkt 1.6)</w:t>
            </w:r>
          </w:p>
        </w:tc>
        <w:tc>
          <w:tcPr>
            <w:tcW w:w="1158" w:type="dxa"/>
            <w:vAlign w:val="center"/>
          </w:tcPr>
          <w:p>
            <w:pPr>
              <w:spacing w:before="60" w:after="60"/>
              <w:jc w:val="center"/>
              <w:rPr>
                <w:noProof/>
                <w:sz w:val="20"/>
              </w:rPr>
            </w:pPr>
            <w:r>
              <w:rPr>
                <w:noProof/>
                <w:sz w:val="20"/>
              </w:rPr>
              <w:t>I alt</w:t>
            </w:r>
          </w:p>
        </w:tc>
      </w:tr>
      <w:tr>
        <w:trPr>
          <w:cantSplit/>
        </w:trPr>
        <w:tc>
          <w:tcPr>
            <w:tcW w:w="2340" w:type="dxa"/>
          </w:tcPr>
          <w:p>
            <w:pPr>
              <w:rPr>
                <w:noProof/>
                <w:sz w:val="22"/>
              </w:rPr>
            </w:pPr>
            <w:r>
              <w:rPr>
                <w:noProof/>
                <w:sz w:val="20"/>
              </w:rPr>
              <w:t>Angiv organ, som deltager i samfinansieringen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Samfinansierede bevillinger I ALT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pStyle w:val="ManualHeading2"/>
        <w:rPr>
          <w:bCs/>
          <w:noProof/>
          <w:szCs w:val="24"/>
        </w:rPr>
      </w:pPr>
      <w:r>
        <w:rPr>
          <w:noProof/>
        </w:rPr>
        <w:br w:type="page"/>
      </w:r>
      <w:r>
        <w:t>3.3.</w:t>
      </w:r>
      <w:r>
        <w:tab/>
      </w:r>
      <w:r>
        <w:rPr>
          <w:noProof/>
        </w:rPr>
        <w:t xml:space="preserve">Anslåede virkninger for indtægterne </w:t>
      </w:r>
    </w:p>
    <w:p>
      <w:pPr>
        <w:pStyle w:val="ListDash1"/>
        <w:rPr>
          <w:noProof/>
        </w:rPr>
      </w:pPr>
      <w:r>
        <w:rPr>
          <w:noProof/>
        </w:rPr>
        <w:sym w:font="Wingdings" w:char="F0A8"/>
      </w:r>
      <w:r>
        <w:rPr>
          <w:noProof/>
        </w:rPr>
        <w:tab/>
        <w:t>Forslaget/initiativet har ingen finansielle virkninger for indtægterne</w:t>
      </w:r>
    </w:p>
    <w:p>
      <w:pPr>
        <w:pStyle w:val="ListDash1"/>
        <w:rPr>
          <w:noProof/>
        </w:rPr>
      </w:pPr>
      <w:r>
        <w:rPr>
          <w:noProof/>
        </w:rPr>
        <w:sym w:font="Wingdings" w:char="F0A8"/>
      </w:r>
      <w:r>
        <w:rPr>
          <w:noProof/>
        </w:rPr>
        <w:tab/>
        <w:t>Forslaget/initiativet har følgende finansielle virkninger:</w:t>
      </w:r>
    </w:p>
    <w:p>
      <w:pPr>
        <w:pStyle w:val="ListNumberLevel3"/>
        <w:rPr>
          <w:noProof/>
        </w:rPr>
      </w:pPr>
      <w:r>
        <w:rPr>
          <w:noProof/>
        </w:rPr>
        <w:sym w:font="Wingdings" w:char="F0A8"/>
      </w:r>
      <w:r>
        <w:rPr>
          <w:noProof/>
        </w:rPr>
        <w:tab/>
        <w:t xml:space="preserve">for egne indtægter </w:t>
      </w:r>
    </w:p>
    <w:p>
      <w:pPr>
        <w:pStyle w:val="ListNumberLevel3"/>
        <w:rPr>
          <w:noProof/>
        </w:rPr>
      </w:pPr>
      <w:r>
        <w:rPr>
          <w:noProof/>
        </w:rPr>
        <w:sym w:font="Wingdings" w:char="F0A8"/>
      </w:r>
      <w:r>
        <w:rPr>
          <w:noProof/>
        </w:rPr>
        <w:tab/>
        <w:t xml:space="preserve">for diverse indtægter </w:t>
      </w:r>
    </w:p>
    <w:p>
      <w:pPr>
        <w:jc w:val="right"/>
        <w:rPr>
          <w:i/>
          <w:noProof/>
          <w:sz w:val="20"/>
        </w:rPr>
      </w:pPr>
      <w:r>
        <w:rPr>
          <w:noProof/>
        </w:rPr>
        <w:t>i mio. EUR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Indtægtspost på budgettet</w:t>
            </w:r>
          </w:p>
        </w:tc>
        <w:tc>
          <w:tcPr>
            <w:tcW w:w="1276" w:type="dxa"/>
            <w:vMerge w:val="restart"/>
            <w:vAlign w:val="center"/>
          </w:tcPr>
          <w:p>
            <w:pPr>
              <w:jc w:val="center"/>
              <w:rPr>
                <w:noProof/>
                <w:sz w:val="18"/>
              </w:rPr>
            </w:pPr>
            <w:r>
              <w:rPr>
                <w:noProof/>
                <w:sz w:val="18"/>
              </w:rPr>
              <w:t>Bevillinger til rådighed i indeværende regnskabsår</w:t>
            </w:r>
          </w:p>
        </w:tc>
        <w:tc>
          <w:tcPr>
            <w:tcW w:w="7200" w:type="dxa"/>
            <w:gridSpan w:val="7"/>
            <w:vAlign w:val="center"/>
          </w:tcPr>
          <w:p>
            <w:pPr>
              <w:jc w:val="center"/>
              <w:rPr>
                <w:noProof/>
                <w:sz w:val="18"/>
              </w:rPr>
            </w:pPr>
            <w:r>
              <w:rPr>
                <w:noProof/>
                <w:sz w:val="18"/>
              </w:rPr>
              <w:t>Forslagets/initiativets virkninger</w:t>
            </w:r>
            <w:r>
              <w:rPr>
                <w:rStyle w:val="FootnoteReference"/>
                <w:noProof/>
                <w:sz w:val="18"/>
              </w:rPr>
              <w:footnoteReference w:id="3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År</w:t>
            </w:r>
            <w:r>
              <w:rPr>
                <w:noProof/>
              </w:rPr>
              <w:t xml:space="preserve"> </w:t>
            </w:r>
            <w:r>
              <w:rPr>
                <w:noProof/>
              </w:rPr>
              <w:br/>
            </w:r>
            <w:r>
              <w:rPr>
                <w:b/>
                <w:noProof/>
                <w:sz w:val="18"/>
              </w:rPr>
              <w:t>n</w:t>
            </w:r>
          </w:p>
        </w:tc>
        <w:tc>
          <w:tcPr>
            <w:tcW w:w="900" w:type="dxa"/>
            <w:vAlign w:val="center"/>
          </w:tcPr>
          <w:p>
            <w:pPr>
              <w:jc w:val="center"/>
              <w:rPr>
                <w:noProof/>
                <w:sz w:val="18"/>
              </w:rPr>
            </w:pPr>
            <w:r>
              <w:rPr>
                <w:noProof/>
                <w:sz w:val="18"/>
              </w:rPr>
              <w:t>År</w:t>
            </w:r>
            <w:r>
              <w:rPr>
                <w:noProof/>
              </w:rPr>
              <w:t xml:space="preserve"> </w:t>
            </w:r>
            <w:r>
              <w:rPr>
                <w:noProof/>
              </w:rPr>
              <w:br/>
            </w:r>
            <w:r>
              <w:rPr>
                <w:b/>
                <w:noProof/>
                <w:sz w:val="18"/>
              </w:rPr>
              <w:t>n + 1</w:t>
            </w:r>
          </w:p>
        </w:tc>
        <w:tc>
          <w:tcPr>
            <w:tcW w:w="900" w:type="dxa"/>
            <w:vAlign w:val="center"/>
          </w:tcPr>
          <w:p>
            <w:pPr>
              <w:jc w:val="center"/>
              <w:rPr>
                <w:noProof/>
                <w:sz w:val="18"/>
              </w:rPr>
            </w:pPr>
            <w:r>
              <w:rPr>
                <w:noProof/>
                <w:sz w:val="18"/>
              </w:rPr>
              <w:t>År</w:t>
            </w:r>
            <w:r>
              <w:rPr>
                <w:noProof/>
              </w:rPr>
              <w:t xml:space="preserve"> </w:t>
            </w:r>
            <w:r>
              <w:rPr>
                <w:noProof/>
              </w:rPr>
              <w:br/>
            </w:r>
            <w:r>
              <w:rPr>
                <w:b/>
                <w:noProof/>
                <w:sz w:val="18"/>
              </w:rPr>
              <w:t>n + 2</w:t>
            </w:r>
          </w:p>
        </w:tc>
        <w:tc>
          <w:tcPr>
            <w:tcW w:w="1080" w:type="dxa"/>
            <w:vAlign w:val="center"/>
          </w:tcPr>
          <w:p>
            <w:pPr>
              <w:jc w:val="center"/>
              <w:rPr>
                <w:noProof/>
                <w:sz w:val="18"/>
              </w:rPr>
            </w:pPr>
            <w:r>
              <w:rPr>
                <w:noProof/>
                <w:sz w:val="18"/>
              </w:rPr>
              <w:t>År</w:t>
            </w:r>
            <w:r>
              <w:rPr>
                <w:noProof/>
              </w:rPr>
              <w:t xml:space="preserve"> </w:t>
            </w:r>
            <w:r>
              <w:rPr>
                <w:noProof/>
              </w:rPr>
              <w:br/>
            </w:r>
            <w:r>
              <w:rPr>
                <w:b/>
                <w:noProof/>
                <w:sz w:val="18"/>
              </w:rPr>
              <w:t>n + 3</w:t>
            </w:r>
          </w:p>
        </w:tc>
        <w:tc>
          <w:tcPr>
            <w:tcW w:w="3240" w:type="dxa"/>
            <w:gridSpan w:val="3"/>
            <w:vAlign w:val="center"/>
          </w:tcPr>
          <w:p>
            <w:pPr>
              <w:jc w:val="center"/>
              <w:rPr>
                <w:b/>
                <w:noProof/>
                <w:sz w:val="18"/>
              </w:rPr>
            </w:pPr>
            <w:r>
              <w:rPr>
                <w:noProof/>
                <w:sz w:val="18"/>
              </w:rPr>
              <w:t>Der indsættes flere år, hvis virkningerne varer længere (jf. punkt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For diverse indtægter, der er formålsbestemte, angives det, hvilke af budgettets udgiftsposter der påvirkes.</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Det oplyses, hvilken metode der er benyttet til at beregne virkningerne for indtægterne.</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38</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Europa-Parlamentets og Rådets forordning (EU) 2017/825 af 17. maj 2017 om oprettelse af støtteprogrammet for strukturreformer for perioden 2017-2020 og om ændring af forordning (EU) nr. 1303/2013 og (EU) nr. 1305/2013 (EUT L 129 af 19.5.2017, s. 1).</w:t>
      </w:r>
    </w:p>
  </w:footnote>
  <w:footnote w:id="3">
    <w:p>
      <w:pPr>
        <w:pStyle w:val="FootnoteText"/>
        <w:rPr>
          <w:lang w:val="en-IE"/>
        </w:rPr>
      </w:pPr>
      <w:r>
        <w:rPr>
          <w:rStyle w:val="FootnoteReference"/>
        </w:rPr>
        <w:footnoteRef/>
      </w:r>
      <w:r>
        <w:rPr>
          <w:lang w:val="en-IE"/>
        </w:rPr>
        <w:tab/>
        <w:t>2018/0213 (COD), Bruxelles 31.5.2018 COM(2018) 391 final.</w:t>
      </w:r>
    </w:p>
  </w:footnote>
  <w:footnote w:id="4">
    <w:p>
      <w:pPr>
        <w:pStyle w:val="FootnoteText"/>
        <w:rPr>
          <w:lang w:val="en-IE"/>
        </w:rPr>
      </w:pPr>
      <w:r>
        <w:rPr>
          <w:rStyle w:val="FootnoteReference"/>
        </w:rPr>
        <w:footnoteRef/>
      </w:r>
      <w:r>
        <w:rPr>
          <w:lang w:val="en-IE"/>
        </w:rPr>
        <w:tab/>
        <w:t>[COD…]</w:t>
      </w:r>
    </w:p>
  </w:footnote>
  <w:footnote w:id="5">
    <w:p>
      <w:pPr>
        <w:pStyle w:val="FootnoteText"/>
      </w:pPr>
      <w:r>
        <w:rPr>
          <w:rStyle w:val="FootnoteReference"/>
        </w:rPr>
        <w:footnoteRef/>
      </w:r>
      <w:r>
        <w:tab/>
        <w:t>EUT…</w:t>
      </w:r>
    </w:p>
  </w:footnote>
  <w:footnote w:id="6">
    <w:p>
      <w:pPr>
        <w:pStyle w:val="FootnoteText"/>
      </w:pPr>
      <w:r>
        <w:rPr>
          <w:rStyle w:val="FootnoteReference"/>
        </w:rPr>
        <w:footnoteRef/>
      </w:r>
      <w:r>
        <w:tab/>
        <w:t>EUT…</w:t>
      </w:r>
    </w:p>
  </w:footnote>
  <w:footnote w:id="7">
    <w:p>
      <w:pPr>
        <w:pStyle w:val="FootnoteText"/>
      </w:pPr>
      <w:r>
        <w:rPr>
          <w:rStyle w:val="FootnoteReference"/>
        </w:rPr>
        <w:footnoteRef/>
      </w:r>
      <w:r>
        <w:tab/>
        <w:t>Europa-Parlamentets og Rådets forordning (EU) 2017/825, EUT L 129 af 19.5.2017, s. 1, som ændret ved forordning (EU) 2018/1671 (SRSP-forordningen) (EUT L 284 af 12.11.2018, s. 3).</w:t>
      </w:r>
    </w:p>
  </w:footnote>
  <w:footnote w:id="8">
    <w:p>
      <w:pPr>
        <w:pStyle w:val="FootnoteText"/>
      </w:pPr>
      <w:r>
        <w:rPr>
          <w:rStyle w:val="FootnoteReference"/>
        </w:rPr>
        <w:footnoteRef/>
      </w:r>
      <w:r>
        <w:tab/>
        <w:t>Bilaget til Kommissionens gennemførelsesafgørelse om vedtagelse af arbejdsprogrammet for 2017 og om finansiering af støtteprogrammet for strukturreformer og om ophævelse af afgørelse C(2017) 3093 af 2017 (C(2017) 5780 final)</w:t>
      </w:r>
    </w:p>
  </w:footnote>
  <w:footnote w:id="9">
    <w:p>
      <w:pPr>
        <w:pStyle w:val="FootnoteText"/>
      </w:pPr>
      <w:r>
        <w:rPr>
          <w:rStyle w:val="FootnoteReference"/>
        </w:rPr>
        <w:footnoteRef/>
      </w:r>
      <w:r>
        <w:tab/>
      </w:r>
      <w:hyperlink r:id="rId1" w:history="1">
        <w:r>
          <w:rPr>
            <w:rStyle w:val="Hyperlink"/>
          </w:rPr>
          <w:t>https://ec.europa.eu/info/publications/structural-reform-support-programme-financing-decisions-and-annual-work-programmes_da</w:t>
        </w:r>
      </w:hyperlink>
      <w:r>
        <w:t>.</w:t>
      </w:r>
    </w:p>
  </w:footnote>
  <w:footnote w:id="10">
    <w:p>
      <w:pPr>
        <w:pStyle w:val="FootnoteText"/>
      </w:pPr>
      <w:r>
        <w:rPr>
          <w:rStyle w:val="FootnoteReference"/>
        </w:rPr>
        <w:footnoteRef/>
      </w:r>
      <w:r>
        <w:tab/>
      </w:r>
      <w:hyperlink r:id="rId2" w:history="1">
        <w:r>
          <w:rPr>
            <w:rStyle w:val="Hyperlink"/>
          </w:rPr>
          <w:t>https://ec.europa.eu/info/publications/annual-monitoring-reports_da</w:t>
        </w:r>
      </w:hyperlink>
      <w:r>
        <w:t>.</w:t>
      </w:r>
    </w:p>
  </w:footnote>
  <w:footnote w:id="11">
    <w:p>
      <w:pPr>
        <w:pStyle w:val="FootnoteText"/>
      </w:pPr>
      <w:r>
        <w:rPr>
          <w:rStyle w:val="FootnoteReference"/>
        </w:rPr>
        <w:footnoteRef/>
      </w:r>
      <w:r>
        <w:tab/>
        <w:t>Interinstitutionel aftale mellem Europa-Parlamentet, Rådet for Den Europæiske Union og Europa-Kommissionen om bedre lovgivning af 13. april 2016 (EUT L 123 af 12.5.2016, s. 1).</w:t>
      </w:r>
    </w:p>
    <w:p>
      <w:pPr>
        <w:pStyle w:val="FootnoteText"/>
        <w:ind w:left="0" w:firstLine="0"/>
      </w:pPr>
    </w:p>
  </w:footnote>
  <w:footnote w:id="12">
    <w:p>
      <w:pPr>
        <w:pStyle w:val="FootnoteText"/>
      </w:pPr>
      <w:r>
        <w:rPr>
          <w:rStyle w:val="FootnoteReference"/>
        </w:rPr>
        <w:footnoteRef/>
      </w:r>
      <w:r>
        <w:tab/>
        <w:t>EUT C af , s. .</w:t>
      </w:r>
    </w:p>
  </w:footnote>
  <w:footnote w:id="13">
    <w:p>
      <w:pPr>
        <w:pStyle w:val="FootnoteText"/>
      </w:pPr>
      <w:r>
        <w:rPr>
          <w:rStyle w:val="FootnoteReference"/>
        </w:rPr>
        <w:footnoteRef/>
      </w:r>
      <w:r>
        <w:tab/>
        <w:t>EUT C af , s. .</w:t>
      </w:r>
    </w:p>
  </w:footnote>
  <w:footnote w:id="14">
    <w:p>
      <w:pPr>
        <w:pStyle w:val="FootnoteText"/>
      </w:pPr>
      <w:r>
        <w:rPr>
          <w:rStyle w:val="FootnoteReference"/>
        </w:rPr>
        <w:footnoteRef/>
      </w:r>
      <w:r>
        <w:tab/>
        <w:t>EUT C af , s. .</w:t>
      </w:r>
    </w:p>
  </w:footnote>
  <w:footnote w:id="15">
    <w:p>
      <w:pPr>
        <w:pStyle w:val="FootnoteText"/>
      </w:pPr>
      <w:r>
        <w:rPr>
          <w:rStyle w:val="FootnoteReference"/>
        </w:rPr>
        <w:footnoteRef/>
      </w:r>
      <w:r>
        <w:tab/>
        <w:t>EUT C af , s. .</w:t>
      </w:r>
    </w:p>
  </w:footnote>
  <w:footnote w:id="16">
    <w:p>
      <w:pPr>
        <w:pStyle w:val="FootnoteText"/>
      </w:pPr>
      <w:r>
        <w:rPr>
          <w:rStyle w:val="FootnoteReference"/>
        </w:rPr>
        <w:footnoteRef/>
      </w:r>
      <w:r>
        <w:tab/>
        <w:t>Europa-Parlamentets og Rådets forordning (EU) 2017/825 af 17. maj 2017 om oprettelse af støtteprogrammet for strukturreformer for perioden 2017-2020 og om ændring af forordning (EU) nr. 1303/2013 og (EU) nr. 1305/2013 (EUT L 129 af 19.5.2017, s. 1).</w:t>
      </w:r>
    </w:p>
  </w:footnote>
  <w:footnote w:id="17">
    <w:p>
      <w:pPr>
        <w:pStyle w:val="FootnoteText"/>
      </w:pPr>
      <w:r>
        <w:rPr>
          <w:rStyle w:val="FootnoteReference"/>
        </w:rPr>
        <w:footnoteRef/>
      </w:r>
      <w:r>
        <w:tab/>
        <w:t>Interinstitutionel aftale mellem Europa-Parlamentet, Rådet for Den Europæiske Union og Europa-Kommissionen om bedre lovgivning af 13. april 2016 (EUT L 123 af 12.5.2016, s. 1).</w:t>
      </w:r>
    </w:p>
  </w:footnote>
  <w:footnote w:id="18">
    <w:p>
      <w:pPr>
        <w:pStyle w:val="FootnoteText"/>
      </w:pPr>
      <w:r>
        <w:rPr>
          <w:rStyle w:val="FootnoteReference"/>
        </w:rPr>
        <w:footnoteRef/>
      </w:r>
      <w:r>
        <w:tab/>
        <w:t>Europa-Parlamentets og Rådets forordning (EU, Euratom) 2018/1046 af 18. juli 2018 om de finansielle regler vedrørende Unionens almindelige budget, om ændring af forordning (EU) nr. 1296/2013, (EU) nr. 1301/2013, (EU) nr. 1303/2013, (EU) nr. 1304/2013, (EU) nr. 1309/2013, (EU) nr. 1316/2013, (EU) nr. 223/2014, (EU) nr. 283/2014 og afgørelse nr. 541/2014/EU og om ophævelse af forordning (EU, Euratom) nr. 966/2012 (EUT L 193 af 30.7.2018, s. 1).</w:t>
      </w:r>
    </w:p>
  </w:footnote>
  <w:footnote w:id="19">
    <w:p>
      <w:pPr>
        <w:pStyle w:val="FootnoteText"/>
      </w:pPr>
      <w:r>
        <w:rPr>
          <w:rStyle w:val="FootnoteReference"/>
        </w:rPr>
        <w:footnoteRef/>
      </w:r>
      <w:r>
        <w:tab/>
        <w:t>Europa-Parlamentets og Rådets forordning (EU, Euratom) nr. 883/2013 af 11. september 2013 om undersøgelser, der foretages af Det Europæiske Kontor for Bekæmpelse af Svig (OLAF) og om ophævelse af Europa-Parlamentets og Rådets forordning (EF) nr. 1073/1999 og Rådets forordning (Euratom) nr. 1074/1999 (EUT L 248 af 18.9.2013, s. 1).</w:t>
      </w:r>
    </w:p>
  </w:footnote>
  <w:footnote w:id="20">
    <w:p>
      <w:pPr>
        <w:pStyle w:val="FootnoteText"/>
      </w:pPr>
      <w:r>
        <w:rPr>
          <w:rStyle w:val="FootnoteReference"/>
        </w:rPr>
        <w:footnoteRef/>
      </w:r>
      <w:r>
        <w:tab/>
        <w:t>Rådets forordning (EF, Euratom) nr. 2988/95 af 18. december 1995 om beskyttelse af De Europæiske Fællesskabers finansielle interesser (EFT L 312 af 23.12.1995, s. 1).</w:t>
      </w:r>
    </w:p>
  </w:footnote>
  <w:footnote w:id="21">
    <w:p>
      <w:pPr>
        <w:pStyle w:val="FootnoteText"/>
      </w:pPr>
      <w:r>
        <w:rPr>
          <w:rStyle w:val="FootnoteReference"/>
        </w:rPr>
        <w:footnoteRef/>
      </w:r>
      <w:r>
        <w:tab/>
        <w:t>Rådets forordning (Euratom, EF) nr. 2185/96 af 11. november 1996 om Kommissionens kontrol og inspektion på stedet med henblik på beskyttelse af De Europæiske Fællesskabers finansielle interesser mod svig og andre uregelmæssigheder (EFT L 292 af 15.11.1996, s. 2).</w:t>
      </w:r>
    </w:p>
  </w:footnote>
  <w:footnote w:id="22">
    <w:p>
      <w:pPr>
        <w:pStyle w:val="FootnoteText"/>
      </w:pPr>
      <w:r>
        <w:rPr>
          <w:rStyle w:val="FootnoteReference"/>
        </w:rPr>
        <w:footnoteRef/>
      </w:r>
      <w:r>
        <w:tab/>
        <w:t>Rådets forordning (EU) 2017/1939 af 12. oktober 2017 om gennemførelse af et forstærket samarbejde om oprettelse af Den Europæiske Anklagemyndighed ("EPPO") (EUT L 283 af 31.10.2017, s. 1).</w:t>
      </w:r>
    </w:p>
  </w:footnote>
  <w:footnote w:id="23">
    <w:p>
      <w:pPr>
        <w:pStyle w:val="FootnoteText"/>
      </w:pPr>
      <w:r>
        <w:rPr>
          <w:rStyle w:val="FootnoteReference"/>
        </w:rPr>
        <w:footnoteRef/>
      </w:r>
      <w:r>
        <w:tab/>
        <w:t>Europa-Parlamentets og Rådets direktiv (EU) 2017/1371 af 5. juli 2017 om strafferetlig bekæmpelse af svig rettet mod Den Europæiske Unions finansielle interesser (EUT L 198 af 28.7.2017, s. 29).</w:t>
      </w:r>
    </w:p>
  </w:footnote>
  <w:footnote w:id="24">
    <w:p>
      <w:pPr>
        <w:pStyle w:val="FootnoteText"/>
      </w:pPr>
      <w:r>
        <w:rPr>
          <w:rStyle w:val="FootnoteReference"/>
        </w:rPr>
        <w:footnoteRef/>
      </w:r>
      <w:r>
        <w:tab/>
        <w:t>EUT C af , s. .</w:t>
      </w:r>
    </w:p>
  </w:footnote>
  <w:footnote w:id="25">
    <w:p>
      <w:pPr>
        <w:pStyle w:val="FootnoteText"/>
      </w:pPr>
      <w:r>
        <w:rPr>
          <w:rStyle w:val="FootnoteReference"/>
        </w:rPr>
        <w:footnoteRef/>
      </w:r>
      <w:r>
        <w:tab/>
        <w:t>Europa-Parlamentets og Rådets forordning (EU) nr. 472/2013 af 21. maj 2013 om skærpelse af den økonomiske og budgetmæssige overvågning af medlemsstater i euroområdet, der har eller er truet af alvorlige vanskeligheder med hensyn til deres finansielle stabilitet (EUT L 140 af 27.5.2013, s. 1).</w:t>
      </w:r>
    </w:p>
  </w:footnote>
  <w:footnote w:id="26">
    <w:p>
      <w:pPr>
        <w:pStyle w:val="FootnoteText"/>
      </w:pPr>
      <w:r>
        <w:rPr>
          <w:rStyle w:val="FootnoteReference"/>
        </w:rPr>
        <w:footnoteRef/>
      </w:r>
      <w:r>
        <w:tab/>
        <w:t>Rådets forordning (EF) nr. 332/2002 af 18. februar 2002 om indførelse af en mekanisme for mellemfristet betalingsbalancestøtte til medlemsstaterne (EFT L 53 af 23.2.2002, s. 1).</w:t>
      </w:r>
    </w:p>
  </w:footnote>
  <w:footnote w:id="27">
    <w:p>
      <w:pPr>
        <w:pStyle w:val="FootnoteText"/>
      </w:pPr>
      <w:r>
        <w:rPr>
          <w:rStyle w:val="FootnoteReference"/>
        </w:rPr>
        <w:footnoteRef/>
      </w:r>
      <w:r>
        <w:tab/>
        <w:t>ABM: Activity Based Management (aktivitetsbaseret ledelse) – ABB: Activity Based Budgeting (aktivitetsbaseret budgetlægning).</w:t>
      </w:r>
    </w:p>
  </w:footnote>
  <w:footnote w:id="28">
    <w:p>
      <w:pPr>
        <w:pStyle w:val="FootnoteText"/>
      </w:pPr>
      <w:r>
        <w:rPr>
          <w:rStyle w:val="FootnoteReference"/>
        </w:rPr>
        <w:footnoteRef/>
      </w:r>
      <w:r>
        <w:tab/>
        <w:t>Jf. finansforordningens artikel 54, stk. 2, litra a) hhv. b).</w:t>
      </w:r>
    </w:p>
  </w:footnote>
  <w:footnote w:id="29">
    <w:p>
      <w:pPr>
        <w:pStyle w:val="FootnoteText"/>
      </w:pPr>
      <w:r>
        <w:rPr>
          <w:rStyle w:val="FootnoteReference"/>
        </w:rPr>
        <w:footnoteRef/>
      </w:r>
      <w:r>
        <w:tab/>
        <w:t xml:space="preserve">Forklaringer vedrørende forvaltningsmetoder og henvisninger til finansforordningen findes på webstedet BudgWeb: </w:t>
      </w:r>
      <w:hyperlink r:id="rId3" w:history="1">
        <w:r>
          <w:rPr>
            <w:rStyle w:val="Hyperlink"/>
            <w:sz w:val="18"/>
          </w:rPr>
          <w:t>http://www.cc.cec/budg/man/budgmanag/budgmanag_en.html</w:t>
        </w:r>
      </w:hyperlink>
    </w:p>
  </w:footnote>
  <w:footnote w:id="30">
    <w:p>
      <w:pPr>
        <w:pStyle w:val="FootnoteText"/>
      </w:pPr>
      <w:r>
        <w:rPr>
          <w:rStyle w:val="FootnoteReference"/>
        </w:rPr>
        <w:footnoteRef/>
      </w:r>
      <w:r>
        <w:tab/>
        <w:t>OB = opdelte bevillinger/IOB = ikke-opdelte bevillinger.</w:t>
      </w:r>
    </w:p>
  </w:footnote>
  <w:footnote w:id="31">
    <w:p>
      <w:pPr>
        <w:pStyle w:val="FootnoteText"/>
      </w:pPr>
      <w:r>
        <w:rPr>
          <w:rStyle w:val="FootnoteReference"/>
        </w:rPr>
        <w:footnoteRef/>
      </w:r>
      <w:r>
        <w:tab/>
        <w:t>EFTA: Den Europæiske Frihandelssammenslutning.</w:t>
      </w:r>
    </w:p>
  </w:footnote>
  <w:footnote w:id="32">
    <w:p>
      <w:pPr>
        <w:pStyle w:val="FootnoteText"/>
      </w:pPr>
      <w:r>
        <w:rPr>
          <w:rStyle w:val="FootnoteReference"/>
        </w:rPr>
        <w:footnoteRef/>
      </w:r>
      <w:r>
        <w:tab/>
        <w:t>Kandidatlande og, efter omstændighederne, potentielle kandidatlande på Vestbalkan.</w:t>
      </w:r>
    </w:p>
  </w:footnote>
  <w:footnote w:id="33">
    <w:p>
      <w:pPr>
        <w:pStyle w:val="FootnoteText"/>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34">
    <w:p>
      <w:pPr>
        <w:pStyle w:val="FootnoteText"/>
      </w:pPr>
      <w:r>
        <w:rPr>
          <w:rStyle w:val="FootnoteReference"/>
        </w:rPr>
        <w:footnoteRef/>
      </w:r>
      <w:r>
        <w:tab/>
        <w:t>År n er det år, hvor gennemførelsen af forslaget/initiativet begynder.</w:t>
      </w:r>
    </w:p>
  </w:footnote>
  <w:footnote w:id="35">
    <w:p>
      <w:pPr>
        <w:pStyle w:val="FootnoteText"/>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36">
    <w:p>
      <w:pPr>
        <w:pStyle w:val="FootnoteText"/>
      </w:pPr>
      <w:r>
        <w:rPr>
          <w:rStyle w:val="FootnoteReference"/>
        </w:rPr>
        <w:footnoteRef/>
      </w:r>
      <w:r>
        <w:tab/>
        <w:t>KA: kontraktansatte, LA: lokalt ansatte, UNE: udstationerede nationale eksperter, V: vikarer, JED: junioreksperter ved delegationerne.</w:t>
      </w:r>
    </w:p>
  </w:footnote>
  <w:footnote w:id="37">
    <w:p>
      <w:pPr>
        <w:pStyle w:val="FootnoteText"/>
      </w:pPr>
      <w:r>
        <w:rPr>
          <w:rStyle w:val="FootnoteReference"/>
        </w:rPr>
        <w:footnoteRef/>
      </w:r>
      <w:r>
        <w:tab/>
        <w:t>Delloft for eksternt personale under aktionsbevillingerne (tidligere BA-poster).</w:t>
      </w:r>
    </w:p>
  </w:footnote>
  <w:footnote w:id="38">
    <w:p>
      <w:pPr>
        <w:pStyle w:val="FootnoteText"/>
      </w:pPr>
      <w:r>
        <w:rPr>
          <w:rStyle w:val="FootnoteReference"/>
        </w:rPr>
        <w:footnoteRef/>
      </w:r>
      <w:r>
        <w:tab/>
        <w:t>Med hensyn til EU's traditionelle egne indtægter (told og sukkerafgifter) opgives beløbene netto, dvs. bruttobeløb, hvorfra der er trukket opkrævningsomkostninger på 25 %.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2">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3">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1">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9"/>
  </w:num>
  <w:num w:numId="3">
    <w:abstractNumId w:val="8"/>
  </w:num>
  <w:num w:numId="4">
    <w:abstractNumId w:val="16"/>
  </w:num>
  <w:num w:numId="5">
    <w:abstractNumId w:val="15"/>
  </w:num>
  <w:num w:numId="6">
    <w:abstractNumId w:val="26"/>
  </w:num>
  <w:num w:numId="7">
    <w:abstractNumId w:val="23"/>
  </w:num>
  <w:num w:numId="8">
    <w:abstractNumId w:val="27"/>
  </w:num>
  <w:num w:numId="9">
    <w:abstractNumId w:val="28"/>
  </w:num>
  <w:num w:numId="10">
    <w:abstractNumId w:val="2"/>
  </w:num>
  <w:num w:numId="11">
    <w:abstractNumId w:val="10"/>
  </w:num>
  <w:num w:numId="12">
    <w:abstractNumId w:val="3"/>
  </w:num>
  <w:num w:numId="13">
    <w:abstractNumId w:val="11"/>
  </w:num>
  <w:num w:numId="14">
    <w:abstractNumId w:val="9"/>
  </w:num>
  <w:num w:numId="15">
    <w:abstractNumId w:val="17"/>
  </w:num>
  <w:num w:numId="16">
    <w:abstractNumId w:val="1"/>
  </w:num>
  <w:num w:numId="17">
    <w:abstractNumId w:val="29"/>
    <w:lvlOverride w:ilvl="0">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2"/>
  </w:num>
  <w:num w:numId="32">
    <w:abstractNumId w:val="25"/>
  </w:num>
  <w:num w:numId="33">
    <w:abstractNumId w:val="7"/>
  </w:num>
  <w:num w:numId="34">
    <w:abstractNumId w:val="13"/>
  </w:num>
  <w:num w:numId="35">
    <w:abstractNumId w:val="5"/>
  </w:num>
  <w:num w:numId="36">
    <w:abstractNumId w:val="24"/>
  </w:num>
  <w:num w:numId="37">
    <w:abstractNumId w:val="4"/>
  </w:num>
  <w:num w:numId="38">
    <w:abstractNumId w:val="14"/>
  </w:num>
  <w:num w:numId="39">
    <w:abstractNumId w:val="20"/>
  </w:num>
  <w:num w:numId="40">
    <w:abstractNumId w:val="21"/>
  </w:num>
  <w:num w:numId="41">
    <w:abstractNumId w:val="6"/>
  </w:num>
  <w:num w:numId="42">
    <w:abstractNumId w:val="18"/>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activeWritingStyle w:appName="MSWord" w:lang="fr-BE" w:vendorID="64" w:dllVersion="131078" w:nlCheck="1" w:checkStyle="0"/>
  <w:activeWritingStyle w:appName="MSWord" w:lang="da-DK" w:vendorID="64" w:dllVersion="131078" w:nlCheck="1" w:checkStyle="0"/>
  <w:attachedTemplate r:id="rId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2 11:27:1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FD2C14E-4BF9-4131-9524-E5171CB5119E"/>
    <w:docVar w:name="LW_COVERPAGE_TYPE" w:val="1"/>
    <w:docVar w:name="LW_CROSSREFERENCE" w:val="&lt;UNUSED&gt;"/>
    <w:docVar w:name="LW_DocType" w:val="COM"/>
    <w:docVar w:name="LW_EMISSION" w:val="28.5.2020"/>
    <w:docVar w:name="LW_EMISSION_ISODATE" w:val="2020-05-28"/>
    <w:docVar w:name="LW_EMISSION_LOCATION" w:val="BRX"/>
    <w:docVar w:name="LW_EMISSION_PREFIX" w:val="Bruxelles, den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103"/>
    <w:docVar w:name="LW_REF.II.NEW.CP_YEAR" w:val="2020"/>
    <w:docVar w:name="LW_REF.INST.NEW" w:val="COM"/>
    <w:docVar w:name="LW_REF.INST.NEW_ADOPTED" w:val="final"/>
    <w:docVar w:name="LW_REF.INST.NEW_TEXT" w:val="(2020) 4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oprettelse af et instrument for teknisk støtte"/>
    <w:docVar w:name="LW_TYPE.DOC.CP" w:val="EUROPA-PARLAMENTETS OG RÅDETS FORORDN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a-DK"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da-DK"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aliases w:val="1st level - Bullet List Paragraph,List Paragraph1,Lettre d'introduction,Medium Grid 1 - Accent 21,Fiche List Paragraph,body,Odsek zoznamu2,Odsek zoznamu1,No TOC,Dot pt,F5 List Paragraph,Paragraphe EI,Paragraphe de liste1,No Spacing1,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1st level - Bullet List Paragraph Char,List Paragraph1 Char,Lettre d'introduction Char,Medium Grid 1 - Accent 21 Char,Fiche List Paragraph Char,body Char,Odsek zoznamu2 Char,Odsek zoznamu1 Char,No TOC Char,Dot pt Char,L Char"/>
    <w:link w:val="ListParagraph"/>
    <w:uiPriority w:val="34"/>
    <w:qFormat/>
    <w:locked/>
    <w:rPr>
      <w:lang w:val="da-DK"/>
    </w:rPr>
  </w:style>
  <w:style w:type="paragraph" w:customStyle="1" w:styleId="Dash4">
    <w:name w:val="Dash 4"/>
    <w:basedOn w:val="Normal"/>
    <w:pPr>
      <w:numPr>
        <w:numId w:val="16"/>
      </w:numPr>
      <w:spacing w:before="0" w:after="200" w:line="360" w:lineRule="auto"/>
      <w:jc w:val="left"/>
    </w:pPr>
  </w:style>
  <w:style w:type="character" w:customStyle="1" w:styleId="Text1Char">
    <w:name w:val="Text 1 Char"/>
    <w:locked/>
    <w:rPr>
      <w:rFonts w:ascii="Times New Roman" w:hAnsi="Times New Roman" w:cs="Times New Roman"/>
      <w:sz w:val="24"/>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a-DK"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da-DK"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ListParagraph">
    <w:name w:val="List Paragraph"/>
    <w:aliases w:val="1st level - Bullet List Paragraph,List Paragraph1,Lettre d'introduction,Medium Grid 1 - Accent 21,Fiche List Paragraph,body,Odsek zoznamu2,Odsek zoznamu1,No TOC,Dot pt,F5 List Paragraph,Paragraphe EI,Paragraphe de liste1,No Spacing1,L"/>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1st level - Bullet List Paragraph Char,List Paragraph1 Char,Lettre d'introduction Char,Medium Grid 1 - Accent 21 Char,Fiche List Paragraph Char,body Char,Odsek zoznamu2 Char,Odsek zoznamu1 Char,No TOC Char,Dot pt Char,L Char"/>
    <w:link w:val="ListParagraph"/>
    <w:uiPriority w:val="34"/>
    <w:qFormat/>
    <w:locked/>
    <w:rPr>
      <w:lang w:val="da-DK"/>
    </w:rPr>
  </w:style>
  <w:style w:type="paragraph" w:customStyle="1" w:styleId="Dash4">
    <w:name w:val="Dash 4"/>
    <w:basedOn w:val="Normal"/>
    <w:pPr>
      <w:numPr>
        <w:numId w:val="16"/>
      </w:numPr>
      <w:spacing w:before="0" w:after="200" w:line="360" w:lineRule="auto"/>
      <w:jc w:val="left"/>
    </w:pPr>
  </w:style>
  <w:style w:type="character" w:customStyle="1" w:styleId="Text1Char">
    <w:name w:val="Text 1 Char"/>
    <w:locked/>
    <w:rPr>
      <w:rFonts w:ascii="Times New Roman" w:hAnsi="Times New Roman" w:cs="Times New Roman"/>
      <w:sz w:val="24"/>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s://ec.europa.eu/info/publications/annual-monitoring-reports_da" TargetMode="External"/><Relationship Id="rId1" Type="http://schemas.openxmlformats.org/officeDocument/2006/relationships/hyperlink" Target="https://ec.europa.eu/info/publications/structural-reform-support-programme-financing-decisions-and-annual-work-programmes_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035DF7AF93945BFBCEF7349104FBF" ma:contentTypeVersion="0" ma:contentTypeDescription="Create a new document." ma:contentTypeScope="" ma:versionID="4520faae18ad6378bc483200924bc68c">
  <xsd:schema xmlns:xsd="http://www.w3.org/2001/XMLSchema" xmlns:xs="http://www.w3.org/2001/XMLSchema" xmlns:p="http://schemas.microsoft.com/office/2006/metadata/properties" targetNamespace="http://schemas.microsoft.com/office/2006/metadata/properties" ma:root="true" ma:fieldsID="a298a1a8e83205e5a36c7145419b8c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B5BEC-BFBC-4F6D-B9B6-28002DC86968}">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51DEF87-7B80-47DB-B0D0-0B96E10F0E30}">
  <ds:schemaRefs>
    <ds:schemaRef ds:uri="http://schemas.microsoft.com/sharepoint/v3/contenttype/forms"/>
  </ds:schemaRefs>
</ds:datastoreItem>
</file>

<file path=customXml/itemProps3.xml><?xml version="1.0" encoding="utf-8"?>
<ds:datastoreItem xmlns:ds="http://schemas.openxmlformats.org/officeDocument/2006/customXml" ds:itemID="{E8B46175-F381-4D9B-8EB3-0C42B8A5C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156E10-1396-427A-B453-29E7A4FC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39</Pages>
  <Words>11627</Words>
  <Characters>75234</Characters>
  <Application>Microsoft Office Word</Application>
  <DocSecurity>0</DocSecurity>
  <Lines>1834</Lines>
  <Paragraphs>789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21</cp:revision>
  <dcterms:created xsi:type="dcterms:W3CDTF">2020-05-31T15:29:00Z</dcterms:created>
  <dcterms:modified xsi:type="dcterms:W3CDTF">2020-06-02T09:27:00Z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0x010100B05035DF7AF93945BFBCEF7349104FBF</vt:lpwstr>
  </property>
  <property fmtid="{D5CDD505-2E9C-101B-9397-08002B2CF9AE}" pid="11" name="IsMyDocuments">
    <vt:bool>true</vt:bool>
  </property>
  <property fmtid="{D5CDD505-2E9C-101B-9397-08002B2CF9AE}" pid="12" name="DQCStatus">
    <vt:lpwstr>Green (DQC version 03)</vt:lpwstr>
  </property>
</Properties>
</file>