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8940ED3-7B74-470A-BCDA-4CCD1496888A" style="width:450.75pt;height:338.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rFonts w:eastAsia="Arial Unicode MS"/>
          <w:noProof/>
        </w:rPr>
      </w:pPr>
      <w:r>
        <w:rPr>
          <w:noProof/>
        </w:rPr>
        <w:t>Η εκδήλωση της πανδημίας COVID-19 άλλαξε τις οικονομικές προοπτικές για τα επόμενα χρόνια στην Ένωση και στον κόσμο. Ο βραχυπρόθεσμος αντίκτυπος της κρίσης λόγω της νόσου COVID-19 στα επιμέρους κράτη μέλη θα εξαρτηθεί από τη διάρκεια και την αυστηρότητα των μέτρων περιορισμού, τη σύνθεση των παραγωγικών εκροών και τα μέτρα οικονομικής πολιτικής που θα ληφθούν για την αντιμετώπιση του άμεσου αντικτύπου της κρίσης. Οι μεσοπρόθεσμες και μακροπρόθεσμες επιπτώσεις της κρίσης θα εξαρτηθούν από την ανθεκτικότητα των οικονομιών τους. Δεδομένων των διαφορών στις βραχυπρόθεσμες οικονομικές επιπτώσεις και στον διαθέσιμο χώρο άσκησης πολιτικής, υπάρχει πραγματικός κίνδυνος η κρίση λόγω COVID-19 να προκαλέσει περαιτέρω διεύρυνση των αποκλίσεων στην Ένωση εάν δεν υπάρξει αποφασιστική πολιτική δράση.</w:t>
      </w:r>
    </w:p>
    <w:p>
      <w:pPr>
        <w:spacing w:before="0" w:after="200"/>
        <w:rPr>
          <w:rFonts w:eastAsia="Arial Unicode MS"/>
          <w:noProof/>
        </w:rPr>
      </w:pPr>
      <w:r>
        <w:rPr>
          <w:noProof/>
        </w:rPr>
        <w:t>Καθώς τα μέτρα εγκλεισμού αίρονται σταδιακά, είναι αναγκαίο να υπάρξει στρατηγικός σχεδιασμός της ανάκαμψης, να αναζωογονηθεί η οικονομία και να επανέλθουμε στον δρόμο της βιώσιμης ανάπτυξης. Αυτό απαιτεί στήριξη των δημόσιων και των ιδιωτικών επενδύσεων, αλλά και ενίσχυση των μεταρρυθμιστικών προσπαθειών των κρατών μελών για την αντιμετώπιση των υποκείμενων κοινωνικών και οικονομικών αδυναμιών των οικονομιών τους, τη βελτίωση της ανθεκτικότητάς τους και τη διευκόλυνση της επιστροφής στη βιώσιμη ανάπτυξη. Υπό το πρίσμα αυτό, είναι ζωτικής σημασίας να συνεχιστεί η στήριξη των μεταρρυθμιστικών προσπαθειών των κρατών μελών, με την παροχή ουσιαστικής τεχνικής υποστήριξης για την ενίσχυση της διοικητικής τους ικανότητας ως προς την προετοιμασία και την εφαρμογή των μεταρρυθμίσεων που θα ενισχύσουν την ανθεκτικότητα και θα στηρίξουν την ανάκαμψη.</w:t>
      </w:r>
    </w:p>
    <w:p>
      <w:pPr>
        <w:pBdr>
          <w:top w:val="nil"/>
          <w:left w:val="nil"/>
          <w:bottom w:val="nil"/>
          <w:right w:val="nil"/>
          <w:between w:val="nil"/>
          <w:bar w:val="nil"/>
        </w:pBdr>
        <w:spacing w:before="0" w:after="240"/>
        <w:rPr>
          <w:rFonts w:eastAsia="Arial Unicode MS"/>
          <w:noProof/>
        </w:rPr>
      </w:pPr>
      <w:r>
        <w:rPr>
          <w:noProof/>
        </w:rPr>
        <w:t>Ο παρών κανονισμός προτείνει τη θέσπιση ενός αυτόνομου Μέσου Τεχνικής Υποστήριξης, το οποίο θα είναι διαθέσιμο για όλα τα κράτη μέλη, ως διάδοχο του Προγράμματος Στήριξης Διαρθρωτικών Μεταρρυθμίσεων (ΠΣΔΜ)</w:t>
      </w:r>
      <w:r>
        <w:rPr>
          <w:rStyle w:val="FootnoteReference"/>
          <w:rFonts w:eastAsia="Arial Unicode MS"/>
          <w:noProof/>
        </w:rPr>
        <w:footnoteReference w:id="2"/>
      </w:r>
      <w:r>
        <w:rPr>
          <w:noProof/>
        </w:rPr>
        <w:t xml:space="preserve">. Το Μέσο Τεχνικής Υποστήριξης θα διασφαλίσει ότι η Επιτροπή μπορεί να συνεχίσει να παρέχει εξατομικευμένη εμπειρογνωσία επί τόπου, προκειμένου να διασφαλιστεί ότι τα κράτη μέλη διαθέτουν την αναγκαία θεσμική και διοικητική ικανότητα να αναπτύσσουν και να εφαρμόζουν μεταρρυθμίσεις που ενισχύουν την ανάπτυξη, και ότι είναι σε θέση να ενισχύσουν την ανθεκτικότητα των ευρωπαϊκών οικονομιών μέσω αποτελεσματικών και εύρυθμων διοικητικών δομών. Προς τον σκοπό αυτό, όπως και στο πλαίσιο του Προγράμματος Στήριξης Διαρθρωτικών Μεταρρυθμίσεων, το Μέσο θα συνοδεύει τις εθνικές αρχές των αιτούντων κρατών μελών σε όλα ή σε συγκεκριμένα στάδια της μεταρρυθμιστικής διαδικασίας. </w:t>
      </w:r>
    </w:p>
    <w:p>
      <w:pPr>
        <w:pBdr>
          <w:top w:val="nil"/>
          <w:left w:val="nil"/>
          <w:bottom w:val="nil"/>
          <w:right w:val="nil"/>
          <w:between w:val="nil"/>
          <w:bar w:val="nil"/>
        </w:pBdr>
        <w:spacing w:before="0" w:after="240"/>
        <w:rPr>
          <w:rFonts w:eastAsia="Arial Unicode MS"/>
          <w:noProof/>
        </w:rPr>
      </w:pPr>
      <w:r>
        <w:rPr>
          <w:noProof/>
        </w:rPr>
        <w:t>Για λόγους σκοπιμότητας, και με σκοπό την επίτευξη συμφωνίας το συντομότερο δυνατό από τους συννομοθέτες, η παρούσα πρόταση κανονισμού χρησιμοποιεί ως βάση το πλέον πρόσφατο κείμενο του Μέσου (Μηχανισμού) Τεχνικής Υποστήριξης που περιέχεται στην πρόταση της Επιτροπής για τη θέσπιση Προγράμματος Στήριξης Μεταρρυθμίσεων (ΠΣΜ)</w:t>
      </w:r>
      <w:r>
        <w:rPr>
          <w:rStyle w:val="FootnoteReference"/>
          <w:rFonts w:eastAsia="Arial Unicode MS"/>
          <w:noProof/>
        </w:rPr>
        <w:footnoteReference w:id="3"/>
      </w:r>
      <w:r>
        <w:rPr>
          <w:noProof/>
        </w:rPr>
        <w:t xml:space="preserve">, </w:t>
      </w:r>
      <w:r>
        <w:rPr>
          <w:noProof/>
        </w:rPr>
        <w:lastRenderedPageBreak/>
        <w:t xml:space="preserve">όπως συζητήθηκε από τους συννομοθέτες κατά τους τελευταίους μήνες. Η πρόταση για το Πρόγραμμα Στήριξης Μεταρρυθμίσεων αποσύρεται. </w:t>
      </w:r>
    </w:p>
    <w:p>
      <w:pPr>
        <w:pBdr>
          <w:top w:val="nil"/>
          <w:left w:val="nil"/>
          <w:bottom w:val="nil"/>
          <w:right w:val="nil"/>
          <w:between w:val="nil"/>
          <w:bar w:val="nil"/>
        </w:pBdr>
        <w:spacing w:before="0" w:after="240"/>
        <w:rPr>
          <w:rFonts w:eastAsia="Arial Unicode MS"/>
          <w:noProof/>
        </w:rPr>
      </w:pPr>
      <w:r>
        <w:rPr>
          <w:noProof/>
        </w:rPr>
        <w:t xml:space="preserve">Στις 31 Μαΐου 2018 η Επιτροπή πρότεινε το Πρόγραμμα Στήριξης Μεταρρυθμίσεων στο πλαίσιο των προτάσεων για τομεακά προγράμματα του Πολυετούς Δημοσιονομικού Πλαισίου (ΠΔΠ) για την περίοδο 2021-2027. Η εν λόγω πρόταση περιλάμβανε ένα μέσο (μηχανισμό) τεχνικής υποστήριξης, με στόχο τη στήριξη των προσπαθειών των κρατών μελών να ενισχύσουν την εφαρμογή των διαρθρωτικών μεταρρυθμίσεων στο πλαίσιο του Ευρωπαϊκού Εξαμήνου. Το κείμενο της εν λόγω πρότασης συζητήθηκε στο Συμβούλιο κατά τη φινλανδική και την κροατική Προεδρία και επιτεύχθηκε κατ’ αρχήν συμφωνία στο Συμβούλιο για το εν λόγω μέσο. Παράλληλα, το Ευρωπαϊκό Κοινοβούλιο ασχολείτο με την πρόταση της Επιτροπής για το Πρόγραμμα Στήριξης Μεταρρυθμίσεων και υπέβαλε το σχέδιο έκθεσής του στις 20 Απριλίου 2020. </w:t>
      </w:r>
    </w:p>
    <w:p>
      <w:pPr>
        <w:pBdr>
          <w:top w:val="nil"/>
          <w:left w:val="nil"/>
          <w:bottom w:val="nil"/>
          <w:right w:val="nil"/>
          <w:between w:val="nil"/>
          <w:bar w:val="nil"/>
        </w:pBdr>
        <w:spacing w:before="0" w:after="240"/>
        <w:rPr>
          <w:rFonts w:eastAsia="Arial Unicode MS"/>
          <w:noProof/>
        </w:rPr>
      </w:pPr>
      <w:r>
        <w:rPr>
          <w:noProof/>
        </w:rPr>
        <w:t>Παράλληλα με την παρούσα πρόταση, προκειμένου να αντιμετωπιστούν οι νέες προκλήσεις που θέτει η κρίση λόγω COVID-19, η Επιτροπή έχει επίσης προτείνει κανονισμό για τη δημιουργία Μηχανισμού Ανάκαμψης και Ανθεκτικότητας</w:t>
      </w:r>
      <w:r>
        <w:rPr>
          <w:rStyle w:val="FootnoteReference"/>
          <w:rFonts w:eastAsia="Arial Unicode MS"/>
          <w:noProof/>
        </w:rPr>
        <w:footnoteReference w:id="4"/>
      </w:r>
      <w:r>
        <w:rPr>
          <w:noProof/>
        </w:rPr>
        <w:t xml:space="preserve"> ο οποίος θα παρέχει οικονομική στήριξη μεγάλης κλίμακας για δημόσιες επενδύσεις και μεταρρυθμίσεις που θα καταστήσουν τις οικονομίες των κρατών μελών πιο ανθεκτικές και καλύτερα προετοιμασμένες για το μέλλον. Το Μέσο Τεχνικής Υποστήριξης μπορεί να στηρίξει τα κράτη μέλη στην προετοιμασία και εφαρμογή των σχεδίων ανάκαμψης και ανθεκτικότητας στο πλαίσιο του Μηχανισμού Ανάκαμψης και Ανθεκτικότητας.  </w:t>
      </w: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spacing w:after="240"/>
        <w:rPr>
          <w:rFonts w:eastAsia="Arial Unicode MS"/>
          <w:noProof/>
        </w:rPr>
      </w:pPr>
      <w:r>
        <w:rPr>
          <w:noProof/>
        </w:rPr>
        <w:t>Το Μέσο Τεχνικής Υποστήριξης δίνει στην Επιτροπή τη δυνατότητα να υποστηρίξει τις αρχές των κρατών μελών στις προσπάθειές τους να σχεδιάσουν μεταρρυθμίσεις σύμφωνα με τις δικές τους προτεραιότητες και να ενισχύσουν την ικανότητά τους να αναπτύσσουν και να εφαρμόζουν μεταρρυθμιστικές πολιτικές και στρατηγικές, καθώς και να επωφεληθούν από ορθές πρακτικές και παραδείγματα από ομολόγους τους. Η τεχνική υποστήριξη θα είναι ιδιαίτερα αναγκαία στον απόηχο της κρίσης. Ως εκ τούτου, η παρούσα πρόταση συμπληρώνει επαρκώς τις δέσμες μέτρων που προτείνονται από την Επιτροπή για την αντιμετώπιση των οικονομικών επιπτώσεων της πανδημίας COVID-19, και συγκεκριμένα τον Μηχανισμό Ανάκαμψης και Ανθεκτικότητας, το REACT EU</w:t>
      </w:r>
      <w:r>
        <w:rPr>
          <w:rStyle w:val="FootnoteReference"/>
          <w:rFonts w:eastAsia="Arial Unicode MS"/>
          <w:noProof/>
        </w:rPr>
        <w:footnoteReference w:id="5"/>
      </w:r>
      <w:r>
        <w:rPr>
          <w:noProof/>
        </w:rPr>
        <w:t xml:space="preserve"> στο πλαίσιο των διαρθρωτικών ταμείων και του Ταμείου Συνοχής, τις τροποποιημένες προτάσεις για το Ευρωπαϊκό Ταμείο Στρατηγικών Επενδύσεων (ΕΤΣΕ) και το InvestEU, καθώς και το φάσμα των μέτρων που αναπτύχθηκαν για την αντιμετώπιση της τρέχουσας πανδημίας COVID-19, όπως η «Πρωτοβουλία επενδύσεων για την αντιμετώπιση του κορονοϊού»</w:t>
      </w:r>
      <w:r>
        <w:rPr>
          <w:rStyle w:val="FootnoteReference"/>
          <w:noProof/>
        </w:rPr>
        <w:footnoteReference w:id="6"/>
      </w:r>
      <w:r>
        <w:rPr>
          <w:noProof/>
        </w:rPr>
        <w:t xml:space="preserve">. </w:t>
      </w:r>
    </w:p>
    <w:p>
      <w:pPr>
        <w:spacing w:before="0" w:after="0"/>
        <w:rPr>
          <w:rFonts w:eastAsia="Arial Unicode MS"/>
          <w:noProof/>
        </w:rPr>
      </w:pPr>
      <w:r>
        <w:rPr>
          <w:noProof/>
        </w:rPr>
        <w:t xml:space="preserve">Το Μέσο Τεχνικής Υποστήριξης βασίζεται στην επιτυχία του ΠΣΔΜ, το οποίο έχει λάβει κατ’ εξακολούθηση θετικά σχόλια από τα δικαιούχα κράτη μέλη, καθώς και υπερβάλλουσα ζήτηση όσον αφορά τους διαθέσιμους πόρους κατά τους προηγούμενους γύρους επιλογής (π.χ. για τον γύρο επιλογής του 2019, από τα 508 αιτήματα που υποβλήθηκαν, συνολικής αξίας 194 εκατ. EUR, μπόρεσαν να επιλεγούν 263 που ανέρχονταν σε συνολικά 79,3 εκατ. EUR· για τον γύρο του 2020, από τα 609 αιτήματα που υποβλήθηκαν, και που αντιστοιχούσαν σε 250 εκατ. EUR, μπόρεσαν να επιλεγούν 228, τα οποία ανέρχονταν σε συνολικά 84,7 εκατ. EUR). Το Μέσο Τεχνικής Υποστήριξης έχει σχεδιαστεί ως συνέχεια του </w:t>
      </w:r>
      <w:r>
        <w:rPr>
          <w:noProof/>
        </w:rPr>
        <w:lastRenderedPageBreak/>
        <w:t xml:space="preserve">υφιστάμενου ΠΣΔΜ και είναι συνεπές, συνεκτικό και συμπληρωματικό των υφιστάμενων πόρων για την ανάπτυξη ικανοτήτων και την τεχνική βοήθεια, οι οποίοι διατίθενται στο πλαίσιο άλλων χρηματοδοτικών προγραμμάτων της Ένωσης. Η τεχνική βοήθεια που διατίθεται στο πλαίσιο της πολιτικής για τη συνοχή έχει ως στόχο να βοηθήσει τα ενδιαφερόμενα μέρη να υλοποιήσουν προγράμματα και έργα που χρηματοδοτούνται από την Ένωση, με τη μορφή χρηματοδοτικής στήριξης για την προετοιμασία, τη διαχείριση, την αξιολόγηση, την παρακολούθηση, τον λογιστικό και άλλου είδους έλεγχο που διατίθενται μέσω του Ευρωπαϊκού Ταμείου Περιφερειακής Ανάπτυξης (ΕΤΠΑ), του Ευρωπαϊκού Κοινωνικού Ταμείου (ΕΚΤ) και του Ταμείου Συνοχής. Συνεπώς, η τεχνική βοήθεια που διατίθεται στο πλαίσιο αυτό αποσκοπεί στην ανάπτυξη ικανοτήτων για τη διαχείριση των κονδυλίων από τα ταμεία της Ένωσης και στην προώθηση της υλοποίησης έργων που συγχρηματοδοτούνται από τα ταμεία της Ένωσης, διευκολύνοντας έτσι την απορρόφηση των εν λόγω κονδυλίων. Ο κόμβος τεχνικής βοήθειας που διατίθεται στο πλαίσιο του InvestEU εστιάζει κυρίως στην προετοιμασία μεγάλων (ιδιωτικών) επενδυτικών έργων και όχι σε διαρθρωτικές μεταρρυθμίσεις. Αντίθετα, το Μέσο Τεχνικής Υποστήριξης αποσκοπεί στην παροχή στήριξης για την ανάπτυξη διοικητικών ικανοτήτων και την εφαρμογή μακροπρόθεσμων διαρθρωτικών μεταρρυθμίσεων, ώστε να συμπληρώνει επαρκώς και να προσθέτει αξία στην υφιστάμενη συνδρομή που παρέχεται από τα διάφορα τομεακά προγράμματα της Ένωσης και τις δράσεις που υλοποιούνται στο πλαίσιο των ταμείων της Ένωσης. </w:t>
      </w:r>
    </w:p>
    <w:p>
      <w:pPr>
        <w:spacing w:before="0" w:after="240"/>
        <w:rPr>
          <w:rFonts w:eastAsia="Arial Unicode MS"/>
          <w:noProof/>
        </w:rPr>
      </w:pPr>
      <w:r>
        <w:rPr>
          <w:noProof/>
        </w:rPr>
        <w:t xml:space="preserve">Επιπλέον, το Μέσο αυτό συνάδει με τις κατευθύνσεις πολιτικής που παρέχονται στο πλαίσιο του Ευρωπαϊκού Εξαμήνου, με την παροχή τεχνικής υποστήριξης για την προώθηση της εφαρμογής των ειδικών ανά χώρα συστάσεων που απευθύνονται στα κράτη μέλη στο πλαίσιο αυτό. </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spacing w:after="240"/>
        <w:rPr>
          <w:noProof/>
        </w:rPr>
      </w:pPr>
      <w:r>
        <w:rPr>
          <w:noProof/>
        </w:rPr>
        <w:t xml:space="preserve">Η πρόταση είναι συνεπής και παρέχει συμπληρωματικότητα και συνέργειες με τις άλλες πολιτικές της Ένωσης. </w:t>
      </w:r>
    </w:p>
    <w:p>
      <w:pPr>
        <w:spacing w:before="0" w:after="240"/>
        <w:rPr>
          <w:rFonts w:eastAsia="Arial Unicode MS"/>
          <w:noProof/>
        </w:rPr>
      </w:pPr>
      <w:r>
        <w:rPr>
          <w:noProof/>
        </w:rPr>
        <w:t xml:space="preserve">Στόχος της πρότασης για τη δημιουργία Μηχανισμού Ανάκαμψης και Ανθεκτικότητας είναι η παροχή χρηματοδοτικής στήριξης για δημόσιες επενδύσεις και μεταρρυθμίσεις, ιδίως στον τομέα της πράσινης και ψηφιακής μετάβασης, που καθιστούν τις οικονομίες πιο ανθεκτικές και καλύτερα προετοιμασμένες για το μέλλον. </w:t>
      </w:r>
    </w:p>
    <w:p>
      <w:pPr>
        <w:spacing w:before="0" w:after="240"/>
        <w:rPr>
          <w:noProof/>
        </w:rPr>
      </w:pPr>
      <w:r>
        <w:rPr>
          <w:noProof/>
        </w:rPr>
        <w:t xml:space="preserve">Το Μέσο Τεχνικής Υποστήριξης θα συμπληρώνει την πρόταση για τη δημιουργία Μηχανισμού Ανάκτησης και Ανθεκτικότητας, καθώς θα παρέχει στήριξη για την ενίσχυση της διοικητικής ικανότητας των κρατών μελών και, στο πλαίσιο αυτό, στήριξη για την προετοιμασία και την εφαρμογή των σχεδίων ανάκαμψης και ανθεκτικότητας στα οποία καθορίζονται οι μεταρρυθμίσεις και οι επενδύσεις που θα χρηματοδοτηθούν στο πλαίσιο του Μηχανισμού Ανάκαμψης και Ανθεκτικότητας και, γενικότερα, για την παροχή στήριξης για εθνικές μεταρρυθμιστικές δράσεις που σχετίζονται με την πράσινη και ψηφιακή μετάβαση.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rPr>
        <w:tab/>
      </w:r>
      <w:r>
        <w:rPr>
          <w:noProof/>
          <w:u w:color="000000"/>
          <w:bdr w:val="nil"/>
        </w:rPr>
        <w:t>Νομική βάση</w:t>
      </w:r>
    </w:p>
    <w:p>
      <w:pPr>
        <w:pBdr>
          <w:top w:val="nil"/>
          <w:left w:val="nil"/>
          <w:bottom w:val="nil"/>
          <w:right w:val="nil"/>
          <w:between w:val="nil"/>
          <w:bar w:val="nil"/>
        </w:pBdr>
        <w:spacing w:after="240"/>
        <w:rPr>
          <w:noProof/>
        </w:rPr>
      </w:pPr>
      <w:r>
        <w:rPr>
          <w:noProof/>
        </w:rPr>
        <w:t>Η πρόταση βασίζεται στο άρθρο 175 τρίτο εδάφιο και στο άρθρο 197 παράγραφος 2 της Συνθήκης για τη λειτουργία της Ευρωπαϊκής Ένωσης.</w:t>
      </w:r>
    </w:p>
    <w:p>
      <w:pPr>
        <w:pBdr>
          <w:top w:val="nil"/>
          <w:left w:val="nil"/>
          <w:bottom w:val="nil"/>
          <w:right w:val="nil"/>
          <w:between w:val="nil"/>
          <w:bar w:val="nil"/>
        </w:pBdr>
        <w:spacing w:before="0" w:after="240"/>
        <w:rPr>
          <w:noProof/>
        </w:rPr>
      </w:pPr>
      <w:r>
        <w:rPr>
          <w:noProof/>
        </w:rPr>
        <w:t xml:space="preserve">Σύμφωνα με το άρθρο 175 τρίτο εδάφιο της ΣΛΕΕ, εάν απαιτούνται ειδικές δράσεις πέρα από τα πλαίσια των Ταμείων και με την επιφύλαξη των μέτρων που αποφασίζονται στο πλαίσιο </w:t>
      </w:r>
      <w:r>
        <w:rPr>
          <w:noProof/>
        </w:rPr>
        <w:lastRenderedPageBreak/>
        <w:t>των άλλων πολιτικών της Ένωσης, οι ενέργειες αυτές μπορούν να θεσπίζονται από το Ευρωπαϊκό Κοινοβούλιο και το Συμβούλιο, που αποφασίζουν σύμφωνα με τη συνήθη νομοθετική διαδικασία και μετά από διαβούλευση με την Οικονομική και Κοινωνική Επιτροπή και την Επιτροπή των Περιφερειών.</w:t>
      </w:r>
    </w:p>
    <w:p>
      <w:pPr>
        <w:pBdr>
          <w:top w:val="nil"/>
          <w:left w:val="nil"/>
          <w:bottom w:val="nil"/>
          <w:right w:val="nil"/>
          <w:between w:val="nil"/>
          <w:bar w:val="nil"/>
        </w:pBdr>
        <w:spacing w:before="0" w:after="240"/>
        <w:rPr>
          <w:rFonts w:eastAsia="Arial Unicode MS"/>
          <w:noProof/>
        </w:rPr>
      </w:pPr>
      <w:r>
        <w:rPr>
          <w:noProof/>
        </w:rPr>
        <w:t>Το άρθρο 197 παράγραφος 2 της ΣΛΕΕ προβλέπει ότι η Ένωση μπορεί να υποστηρίζει τις προσπάθειες των κρατών μελών για τη βελτίωση της διοικητικής τους ικανότητας να εφαρμόζουν το δίκαιο της Ένωσης, μεταξύ άλλων μέσα από τη διευκόλυνση της ανταλλαγής πληροφοριών και την υποστήριξη προγραμμάτων κατάρτισης. Κανένα κράτος μέλος δεν υποχρεούται να προσφύγει στην υποστήριξη αυτή. Το Ευρωπαϊκό Κοινοβούλιο και το Συμβούλιο, αποφασίζοντας σύμφωνα με τη συνήθη νομοθετική διαδικασία, πρόκειται να θεσπίσουν τα μέτρα που είναι αναγκαία προς τον σκοπό αυτό, αποκλειομένης οιασδήποτε εναρμόνισης των νομοθετικών και κανονιστικών διατάξεων των κρατών μελών.</w:t>
      </w:r>
    </w:p>
    <w:p>
      <w:pPr>
        <w:pBdr>
          <w:top w:val="nil"/>
          <w:left w:val="nil"/>
          <w:bottom w:val="nil"/>
          <w:right w:val="nil"/>
          <w:between w:val="nil"/>
          <w:bar w:val="nil"/>
        </w:pBdr>
        <w:spacing w:before="0" w:after="240"/>
        <w:rPr>
          <w:noProof/>
        </w:rPr>
      </w:pPr>
      <w:r>
        <w:rPr>
          <w:noProof/>
        </w:rPr>
        <w:t xml:space="preserve">Βάσει των άρθρων 175 και 197 της ΣΛΕΕ, ο κανονισμός αποσκοπεί στην ενίσχυση της συνοχής, μέσω μέτρων που καθιστούν δυνατή την ανάκαμψη, την ανθεκτικότητα και τη σύγκλιση των οικείων κρατών μελών.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Επικουρικότητα (σε περίπτωση μη αποκλειστικής αρμοδιότητας) </w:t>
      </w:r>
    </w:p>
    <w:p>
      <w:pPr>
        <w:spacing w:after="240"/>
        <w:rPr>
          <w:noProof/>
        </w:rPr>
      </w:pPr>
      <w:r>
        <w:rPr>
          <w:noProof/>
        </w:rPr>
        <w:t>Η χρηματοδότηση των προτεινόμενων δραστηριοτήτων μέσω του προβλεπόμενου κανονισμού σέβεται τις αρχές της ευρωπαϊκής προστιθέμενης αξίας και της επικουρικότητας. Η χρηματοδότηση από τον προϋπολογισμό της Ένωσης επικεντρώνεται σε δραστηριότητες των οποίων οι στόχοι δεν είναι δυνατόν να επιτευχθούν επαρκώς μόνο από τα κράτη μέλη («κριτήριο της αναγκαιότητας»), και όπου η παρέμβαση της Ένωσης μπορεί να προσπορίσει πρόσθετη αξία σε σύγκριση με τη δράση μόνο των κρατών μελών.</w:t>
      </w:r>
    </w:p>
    <w:p>
      <w:pPr>
        <w:spacing w:before="0" w:after="240"/>
        <w:rPr>
          <w:noProof/>
        </w:rPr>
      </w:pPr>
      <w:r>
        <w:rPr>
          <w:noProof/>
        </w:rPr>
        <w:t xml:space="preserve">Στόχος του κανονισμού είναι να προωθήσει τη συνοχή της Ένωσης στηρίζοντας τις προσπάθειες των κρατών μελών να εφαρμόσουν τις αναγκαίες μεταρρυθμίσεις για την επίτευξη οικονομικής και κοινωνικής ανάκαμψης, ανθεκτικότητας και σύγκλισης, καθώς και να στηρίξει τις προσπάθειες των κρατών μελών να ενισχύσουν τη διοικητική τους ικανότητα ως προς την εφαρμογή του ενωσιακού δικαίου σε σχέση με τις προκλήσεις που αντιμετωπίζουν τα θεσμικά όργανα, η διακυβέρνηση, η δημόσια διοίκηση και ο οικονομικός και κοινωνικός τομέας. </w:t>
      </w:r>
    </w:p>
    <w:p>
      <w:pPr>
        <w:spacing w:before="0" w:after="240"/>
        <w:rPr>
          <w:rFonts w:eastAsia="Arial Unicode MS"/>
          <w:noProof/>
        </w:rPr>
      </w:pPr>
      <w:r>
        <w:rPr>
          <w:noProof/>
        </w:rPr>
        <w:t xml:space="preserve">Η λογική που διέπει τον κανονισμό είναι ότι η τεχνική υποστήριξη παρέχεται κατόπιν αιτήματος του οικείου κράτους μέλους που υποβάλλεται σε εθελοντική βάση. Ως εκ τούτου, κάθε κράτος μέλος αποφασίζει αν είναι αναγκαία η ανάληψη δράσης σε επίπεδο Ένωσης, υπό το πρίσμα των δυνατοτήτων που υπάρχουν σε εθνικό, περιφερειακό ή τοπικό επίπεδο. Η εφαρμογή μέτρων τεχνικής υποστήριξης που συνδέονται με την οικονομική και κοινωνική ανάκαμψη, την ανθεκτικότητα και τη σύγκλιση, καθώς και με την ενίσχυση της διοικητικής ικανότητας των κρατών μελών να εφαρμόζουν το δίκαιο της Ένωσης αποτελεί ζήτημα κοινού ενδιαφέροντος για την Ένωση. </w:t>
      </w:r>
    </w:p>
    <w:p>
      <w:pPr>
        <w:pBdr>
          <w:top w:val="nil"/>
          <w:left w:val="nil"/>
          <w:bottom w:val="nil"/>
          <w:right w:val="nil"/>
          <w:between w:val="nil"/>
          <w:bar w:val="nil"/>
        </w:pBdr>
        <w:spacing w:before="0" w:after="240"/>
        <w:rPr>
          <w:rFonts w:eastAsia="Arial Unicode MS"/>
          <w:noProof/>
        </w:rPr>
      </w:pPr>
      <w:r>
        <w:rPr>
          <w:noProof/>
        </w:rPr>
        <w:t xml:space="preserve">Το Μέσο Τεχνικής Υποστήριξης αντικαθιστά το ισχύον ΠΣΔΜ και αποτελεί επίσης μέρος των πρωτοβουλιών που έλαβε η Επιτροπή ως απόκριση στην πανδημία COVID-19, για να βοηθήσει τα κράτη μέλη να μετριάσουν τις τεράστιες οικονομικές και κοινωνικές επιπτώσεις. Ως εκ τούτου, η ανάληψη δράσης σε επίπεδο Ένωσης είναι απαραίτητη για την επίτευξη ταχείας και ισχυρής οικονομικής ανάκαμψης στην Ένωση. Ο στόχος αυτός δεν μπορεί να επιτευχθεί σε επαρκή βαθμό από τα κράτη μέλη όταν ενεργούν μεμονωμένα· η παρέμβαση της Ένωσης μπορεί να επιφέρει πρόσθετη αξία μέσω της θέσπισης κανονισμού που καθορίζει ένα μέσο που θα προσφέρει ενισχυμένη τεχνική υποστήριξη όσον αφορά τον σχεδιασμό και </w:t>
      </w:r>
      <w:r>
        <w:rPr>
          <w:noProof/>
        </w:rPr>
        <w:lastRenderedPageBreak/>
        <w:t>την εφαρμογή των απαραίτητων διαρθρωτικών μεταρρυθμίσεων. Η εν λόγω υποστήριξη θα συμβάλει επίσης στον μετριασμό του κοινωνικού αντικτύπου που έχει προκαλέσει η παρούσα κρίση λόγω της νόσου COVID-19.</w:t>
      </w:r>
    </w:p>
    <w:p>
      <w:pPr>
        <w:pStyle w:val="ManualHeading2"/>
        <w:rPr>
          <w:rFonts w:eastAsia="Arial Unicode MS"/>
          <w:noProof/>
          <w:u w:color="000000"/>
          <w:bdr w:val="nil"/>
        </w:rPr>
      </w:pPr>
      <w:r>
        <w:rPr>
          <w:noProof/>
          <w:u w:color="000000"/>
          <w:bdr w:val="nil"/>
        </w:rPr>
        <w:t>•</w:t>
      </w:r>
      <w:r>
        <w:rPr>
          <w:noProof/>
        </w:rPr>
        <w:tab/>
      </w:r>
      <w:r>
        <w:rPr>
          <w:noProof/>
          <w:u w:color="000000"/>
          <w:bdr w:val="nil"/>
        </w:rPr>
        <w:t>Αναλογικότητα</w:t>
      </w:r>
    </w:p>
    <w:p>
      <w:pPr>
        <w:pBdr>
          <w:top w:val="nil"/>
          <w:left w:val="nil"/>
          <w:bottom w:val="nil"/>
          <w:right w:val="nil"/>
          <w:between w:val="nil"/>
          <w:bar w:val="nil"/>
        </w:pBdr>
        <w:spacing w:after="240"/>
        <w:rPr>
          <w:rFonts w:eastAsia="Arial Unicode MS"/>
          <w:noProof/>
        </w:rPr>
      </w:pPr>
      <w:r>
        <w:rPr>
          <w:noProof/>
        </w:rPr>
        <w:t>Η πρόταση είναι σύμφωνη με την αρχή της αναλογικότητας, δεδομένου ότι περιορίζεται στο ελάχιστο αναγκαίο για την επίτευξη του δεδηλωμένου της στόχου σε ευρωπαϊκό επίπεδο και δεν υπερβαίνει το μέτρο που είναι αναγκαίο για τον σκοπό αυτό. Ο εθελοντικός χαρακτήρας του Μέσου Τεχνικής Υποστήριξης και ο συναινετικός χαρακτήρας της συνεργασίας καθ’ όλη τη διάρκεια της διαδικασίας αποτελούν πρόσθετη εγγύηση για την τήρηση της αρχής της αναλογικότητας και για την ανάπτυξη αμοιβαίας εμπιστοσύνης και συνεργασίας μεταξύ των κρατών μελών και της Επιτροπής.</w:t>
      </w:r>
    </w:p>
    <w:p>
      <w:pPr>
        <w:pStyle w:val="ManualHeading2"/>
        <w:rPr>
          <w:rFonts w:eastAsia="Arial Unicode MS"/>
          <w:noProof/>
          <w:u w:color="000000"/>
          <w:bdr w:val="nil"/>
        </w:rPr>
      </w:pPr>
      <w:r>
        <w:rPr>
          <w:noProof/>
          <w:u w:color="000000"/>
          <w:bdr w:val="nil"/>
        </w:rPr>
        <w:t>•</w:t>
      </w:r>
      <w:r>
        <w:rPr>
          <w:noProof/>
        </w:rPr>
        <w:tab/>
      </w:r>
      <w:r>
        <w:rPr>
          <w:noProof/>
          <w:u w:color="000000"/>
          <w:bdr w:val="nil"/>
        </w:rPr>
        <w:t>Επιλογή της νομικής πράξης</w:t>
      </w:r>
    </w:p>
    <w:p>
      <w:pPr>
        <w:pBdr>
          <w:top w:val="nil"/>
          <w:left w:val="nil"/>
          <w:bottom w:val="nil"/>
          <w:right w:val="nil"/>
          <w:between w:val="nil"/>
          <w:bar w:val="nil"/>
        </w:pBdr>
        <w:spacing w:after="240"/>
        <w:rPr>
          <w:rFonts w:eastAsia="Arial Unicode MS"/>
          <w:noProof/>
        </w:rPr>
      </w:pPr>
      <w:r>
        <w:rPr>
          <w:noProof/>
        </w:rPr>
        <w:t>Οι στόχοι που περιγράφονται στα προηγούμενα κεφάλαια δεν μπορούν να επιτευχθούν με την εναρμόνιση των νομοθεσιών ή με την εθελοντική δράση των κρατών μελών. Μόνο ένας κανονισμός θα καθιστούσε δυνατή την επίτευξή τους. Ένας κανονισμός που θα ισχύει για όλα τα κράτη μέλη είναι επίσης το καταλληλότερο νομικό μέσο για την οργάνωση της παροχής τεχνικής υποστήριξης με σκοπό να διασφαλιστεί η ίση μεταχείριση των κρατών μελών.</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rPr>
        <w:tab/>
      </w:r>
      <w:r>
        <w:rPr>
          <w:noProof/>
          <w:u w:color="000000"/>
          <w:bdr w:val="nil"/>
        </w:rPr>
        <w:t>Εκ των υστέρων αξιολογήσεις / έλεγχοι καταλληλότητας της ισχύουσας νομοθεσίας</w:t>
      </w:r>
    </w:p>
    <w:p>
      <w:pPr>
        <w:pBdr>
          <w:top w:val="nil"/>
          <w:left w:val="nil"/>
          <w:bottom w:val="nil"/>
          <w:right w:val="nil"/>
          <w:between w:val="nil"/>
          <w:bar w:val="nil"/>
        </w:pBdr>
        <w:spacing w:after="240"/>
        <w:rPr>
          <w:noProof/>
        </w:rPr>
      </w:pPr>
      <w:r>
        <w:rPr>
          <w:noProof/>
        </w:rPr>
        <w:t>Το Μέσο Τεχνικής Υποστήριξης αποτελεί συνέχεια του υφιστάμενου ΠΣΔΜ 2017-2020, βάσει του κανονισμού (ΕΕ) 2017/825, όπως τροποποιήθηκε με τον κανονισμό (ΕΕ) 2018/1671</w:t>
      </w:r>
      <w:r>
        <w:rPr>
          <w:rStyle w:val="FootnoteReference"/>
          <w:noProof/>
        </w:rPr>
        <w:footnoteReference w:id="7"/>
      </w:r>
      <w:r>
        <w:rPr>
          <w:noProof/>
        </w:rPr>
        <w:t>. Η υλοποίηση του ΠΣΔΜ ξεκίνησε με την έγκριση του ετήσιου προγράμματος εργασίας του 2017</w:t>
      </w:r>
      <w:r>
        <w:rPr>
          <w:rStyle w:val="FootnoteReference"/>
          <w:noProof/>
        </w:rPr>
        <w:footnoteReference w:id="8"/>
      </w:r>
      <w:r>
        <w:rPr>
          <w:noProof/>
        </w:rPr>
        <w:t xml:space="preserve"> τον Σεπτέμβριο του 2017 και συνεχίστηκε με την έγκριση των επόμενων προγραμμάτων εργασίας</w:t>
      </w:r>
      <w:r>
        <w:rPr>
          <w:rStyle w:val="FootnoteReference"/>
          <w:noProof/>
        </w:rPr>
        <w:footnoteReference w:id="9"/>
      </w:r>
      <w:r>
        <w:rPr>
          <w:noProof/>
        </w:rPr>
        <w:t>. Σύμφωνα με το άρθρο 16 του κανονισμού ΠΣΔΜ, η Επιτροπή υποβάλει στο Ευρωπαϊκό Κοινοβούλιο και στο Συμβούλιο ετήσιες εκθέσεις παρακολούθησης σχετικά με την εφαρμογή του προγράμματος</w:t>
      </w:r>
      <w:r>
        <w:rPr>
          <w:rStyle w:val="FootnoteReference"/>
          <w:noProof/>
        </w:rPr>
        <w:footnoteReference w:id="10"/>
      </w:r>
      <w:r>
        <w:rPr>
          <w:noProof/>
        </w:rPr>
        <w:t xml:space="preserve"> και ανεξάρτητη έκθεση ενδιάμεσης αξιολόγησης και έκθεση εκ των υστέρων αξιολόγησης. </w:t>
      </w:r>
    </w:p>
    <w:p>
      <w:pPr>
        <w:autoSpaceDE w:val="0"/>
        <w:autoSpaceDN w:val="0"/>
        <w:adjustRightInd w:val="0"/>
        <w:spacing w:before="0" w:after="240"/>
        <w:rPr>
          <w:rFonts w:eastAsia="Arial Unicode MS"/>
          <w:noProof/>
        </w:rPr>
      </w:pPr>
      <w:r>
        <w:rPr>
          <w:noProof/>
        </w:rPr>
        <w:t xml:space="preserve">Σε έγγραφο εργασίας των υπηρεσιών της Επιτροπής που συνοδεύει την ανεξάρτητη έκθεση ενδιάμεσης αξιολόγησης, και το οποίο θα εγκριθεί σύντομα από την Επιτροπή, εξετάστηκαν οι επιδόσεις του ΠΣΔΜ με βάση τα κριτήρια αξιολόγησης (συνάφεια, αποτελεσματικότητα, αποδοτικότητα, συνοχή και ενωσιακή προστιθέμενη αξία) και αντλήθηκε μια σειρά από διδάγματα. Παρά το γεγονός ότι το πρόγραμμα εγκρίθηκε πρόσφατα και πολλά έργα τεχνικής </w:t>
      </w:r>
      <w:r>
        <w:rPr>
          <w:noProof/>
        </w:rPr>
        <w:lastRenderedPageBreak/>
        <w:t>υποστήριξης εξακολουθούν να βρίσκονται στα αρχικά στάδια της εφαρμογής, τα πορίσματα δείχνουν ότι το ΠΣΔΜ προχωρά ικανοποιητικά προς την επίτευξη των στόχων του. Συγκεκριμένα η αξιολόγηση δείχνει ότι ο σχεδιασμός του ΠΣΔΜ ευθυγραμμίζεται με τις πραγματικές ανάγκες των κρατών μελών και χρησιμεύει ως κατάλληλο μέσο για τη στήριξη των κρατών μελών στην ενίσχυση της διοικητικής και θεσμικής τους ικανότητας. Ο υψηλός βαθμός ευελιξίας και η απουσία απαιτήσεων συγχρηματοδότησης δίνουν τη δυνατότητα να μεταφραστούν οι ανάγκες των κρατών μελών σε εφικτές δράσεις με ρεαλιστικά χρονοδιαγράμματα και να εκπληρωθούν οι προσδοκίες των κρατών μελών. Η ανταλλαγή ορθών πρακτικών μεταξύ των κρατών μελών αξιολογήθηκε επίσης ως έχουσα σημαντική προστιθέμενη αξία. Επιπλέον, το ΠΣΔΜ είναι καλά ενσωματωμένο στη διαδικασία οικονομικής διακυβέρνησης της Ένωσης. Οι ετήσιοι κύκλοι του ΠΣΔΜ και του Ευρωπαϊκού Εξαμήνου αλληλοτροφοδοτούνται επαρκώς μεταξύ τους, γεγονός που καθιστά δυνατή μια ολοκληρωμένη και συντονισμένη προσέγγιση όσον αφορά τις διαρθρωτικές μεταρρυθμίσεις στα κράτη μέλη. Ο υψηλός βαθμός δέσμευσης από όλα τα ενδιαφερόμενα μέρη, το υψηλό επίπεδο εμπειρογνωσίας των παρόχων τεχνικής υποστήριξης και οι ευνοϊκές πολιτικές συνθήκες θεωρούνται παράγοντες που επηρεάζουν θετικά την επίτευξη των αποτελεσμάτων των έργων του ΠΣΔΜ. Η έλλειψη συνεργασίας μεταξύ των ενδιαφερομένων μερών και οι μεταβαλλόμενες ή αβέβαιες πολιτικές συνθήκες θεωρείται ότι επηρεάζουν αρνητικά την επιτυχή υλοποίηση των έργων τεχνικής υποστήριξης.</w:t>
      </w:r>
    </w:p>
    <w:p>
      <w:pPr>
        <w:pStyle w:val="ManualHeading2"/>
        <w:rPr>
          <w:rFonts w:eastAsia="Arial Unicode MS"/>
          <w:noProof/>
          <w:u w:color="000000"/>
          <w:bdr w:val="nil"/>
        </w:rPr>
      </w:pPr>
      <w:r>
        <w:rPr>
          <w:noProof/>
          <w:u w:color="000000"/>
          <w:bdr w:val="nil"/>
        </w:rPr>
        <w:t>•</w:t>
      </w:r>
      <w:r>
        <w:rPr>
          <w:noProof/>
        </w:rPr>
        <w:tab/>
      </w:r>
      <w:r>
        <w:rPr>
          <w:noProof/>
          <w:u w:color="000000"/>
          <w:bdr w:val="nil"/>
        </w:rPr>
        <w:t>Διαβουλεύσεις με τα ενδιαφερόμενα μέρη</w:t>
      </w:r>
    </w:p>
    <w:p>
      <w:pPr>
        <w:rPr>
          <w:noProof/>
        </w:rPr>
      </w:pPr>
      <w:r>
        <w:rPr>
          <w:noProof/>
        </w:rPr>
        <w:t>Λόγω της επείγουσας ανάγκης να καταρτιστεί η πρόταση ώστε να μπορεί να εγκριθεί εγκαίρως από τους συννομοθέτες, δεν ήταν δυνατόν να διεξαχθεί επίσημη διαβούλευση με τα ενδιαφερόμενα μέρη. Οι απόψεις των ενδιαφερόμενων μερών ελήφθησαν υπόψη και κατά τη νομοθετική διαδικασία σχετικά με την πρόταση για το πρόγραμμα στήριξης μεταρρυθμίσεων.</w:t>
      </w:r>
    </w:p>
    <w:p>
      <w:pPr>
        <w:pStyle w:val="ManualHeading2"/>
        <w:rPr>
          <w:rFonts w:eastAsia="Arial Unicode MS"/>
          <w:noProof/>
          <w:u w:color="000000"/>
          <w:bdr w:val="nil"/>
        </w:rPr>
      </w:pPr>
      <w:r>
        <w:rPr>
          <w:noProof/>
          <w:u w:color="000000"/>
          <w:bdr w:val="nil"/>
        </w:rPr>
        <w:t>•</w:t>
      </w:r>
      <w:r>
        <w:rPr>
          <w:noProof/>
        </w:rPr>
        <w:tab/>
      </w:r>
      <w:r>
        <w:rPr>
          <w:noProof/>
          <w:u w:color="000000"/>
          <w:bdr w:val="nil"/>
        </w:rPr>
        <w:t>Εκτίμηση επιπτώσεων</w:t>
      </w:r>
    </w:p>
    <w:p>
      <w:pPr>
        <w:keepNext/>
        <w:tabs>
          <w:tab w:val="left" w:pos="0"/>
        </w:tabs>
        <w:outlineLvl w:val="1"/>
        <w:rPr>
          <w:noProof/>
        </w:rPr>
      </w:pPr>
      <w:r>
        <w:rPr>
          <w:noProof/>
        </w:rPr>
        <w:t>Λόγω του επείγοντος χαρακτήρα της πρότασης, δεν διενεργήθηκε νέα εκτίμηση επιπτώσεων. Εν πάση περιπτώσει, η παρούσα πρόταση κανονισμού βασίζεται στο πιο πρόσφατο διαθέσιμο κείμενο της ομάδας εργασίας του Συμβουλίου σχετικά με την πρόταση για το ΠΣΜ όσον αφορά το Μέσο Τεχνικής Υποστήριξης και συνάδει με το κοινό σχέδιο έκθεσης της Επιτροπής Προϋπολογισμών και της Επιτροπής Οικονομικής και Νομισματικής Πολιτικής του Ευρωπαϊκού Κοινοβουλίου σχετικά με τα μέσα τεχνικής υποστήριξης που περιέχονται στην πρόταση για το ΠΣΜ, η οποία δημοσιεύτηκε στις 20 Απριλίου 2020. Η παρούσα πρόταση αντικαθιστά εν μέρει την αρχική πρόταση της Επιτροπής για το ΠΣΜ (COD...), η οποία βασίστηκε σε εκτίμηση επιπτώσεων, τα κύρια πορίσματα της οποίας εξακολουθούν να ισχύουν, τηρουμένων των αναλογιών.</w:t>
      </w:r>
    </w:p>
    <w:p>
      <w:pPr>
        <w:pStyle w:val="ManualHeading2"/>
        <w:rPr>
          <w:rFonts w:eastAsia="Arial Unicode MS"/>
          <w:noProof/>
          <w:u w:color="000000"/>
          <w:bdr w:val="nil"/>
        </w:rPr>
      </w:pPr>
      <w:r>
        <w:rPr>
          <w:noProof/>
          <w:u w:color="000000"/>
          <w:bdr w:val="nil"/>
        </w:rPr>
        <w:t>•</w:t>
      </w:r>
      <w:r>
        <w:rPr>
          <w:noProof/>
        </w:rPr>
        <w:tab/>
      </w:r>
      <w:r>
        <w:rPr>
          <w:noProof/>
          <w:u w:color="000000"/>
          <w:bdr w:val="nil"/>
        </w:rPr>
        <w:t>Θεμελιώδη δικαιώματα</w:t>
      </w:r>
    </w:p>
    <w:p>
      <w:pPr>
        <w:spacing w:after="360"/>
        <w:rPr>
          <w:noProof/>
        </w:rPr>
      </w:pPr>
      <w:r>
        <w:rPr>
          <w:noProof/>
        </w:rPr>
        <w:t>Η πρόταση έχει θετικό αντίκτυπο στη διαφύλαξη και την ανάπτυξη των θεμελιωδών δικαιωμάτων της Ένωσης, εφόσον τα κράτη μέλη ζητούν και λαμβάνουν στήριξη σε συναφείς τομείς. Για παράδειγμα, η στήριξη σε τομείς όπως οι αγορές εργασίας και η κοινωνική ασφάλιση, η ιατροφαρμακευτική περίθαλψη, η εκπαίδευση, το περιβάλλον, η ιδιοκτησία, η δημόσια διοίκηση και το δικαστικό σύστημα μπορεί να στηρίξει τα θεμελιώδη δικαιώματα της Ένωσης, όπως είναι η αξιοπρέπεια, η ελευθερία, η ισότητα, τα δικαιώματα των πολιτών και η δικαιοσύνη.</w:t>
      </w:r>
    </w:p>
    <w:p>
      <w:pPr>
        <w:pStyle w:val="ManualHeading1"/>
        <w:rPr>
          <w:noProof/>
        </w:rPr>
      </w:pPr>
      <w:r>
        <w:rPr>
          <w:noProof/>
        </w:rPr>
        <w:lastRenderedPageBreak/>
        <w:t>4.</w:t>
      </w:r>
      <w:r>
        <w:rPr>
          <w:noProof/>
        </w:rPr>
        <w:tab/>
        <w:t>ΔΗΜΟΣΙΟΝΟΜΙΚΕΣ ΕΠΙΠΤΩΣΕΙΣ</w:t>
      </w:r>
    </w:p>
    <w:p>
      <w:pPr>
        <w:pBdr>
          <w:top w:val="nil"/>
          <w:left w:val="nil"/>
          <w:bottom w:val="nil"/>
          <w:right w:val="nil"/>
          <w:between w:val="nil"/>
          <w:bar w:val="nil"/>
        </w:pBdr>
        <w:spacing w:after="240"/>
        <w:rPr>
          <w:rFonts w:eastAsia="Arial Unicode MS"/>
          <w:noProof/>
        </w:rPr>
      </w:pPr>
      <w:r>
        <w:rPr>
          <w:noProof/>
        </w:rPr>
        <w:t xml:space="preserve">Το χρηματοδοτικό κονδύλιο για την εκτέλεση του Μέσου Τεχνικής Υποστήριξης για την περίοδο από την 1η Ιανουαρίου 2021 έως τις 31 Δεκεμβρίου 2027 ανέρχεται σε 864 406 000 EUR (σε τρέχουσες τιμές). </w:t>
      </w:r>
    </w:p>
    <w:p>
      <w:pPr>
        <w:pBdr>
          <w:top w:val="nil"/>
          <w:left w:val="nil"/>
          <w:bottom w:val="nil"/>
          <w:right w:val="nil"/>
          <w:between w:val="nil"/>
          <w:bar w:val="nil"/>
        </w:pBdr>
        <w:spacing w:before="0" w:after="360"/>
        <w:rPr>
          <w:noProof/>
        </w:rPr>
      </w:pPr>
      <w:r>
        <w:rPr>
          <w:noProof/>
        </w:rPr>
        <w:t xml:space="preserve">Το νομοθετικό δημοσιονομικό δελτίο παρέχει τις κατάλληλες εξηγήσεις σχετικά με το χρηματοδοτικό κονδύλιο. </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rPr>
        <w:tab/>
      </w:r>
      <w:r>
        <w:rPr>
          <w:noProof/>
          <w:u w:color="000000"/>
          <w:bdr w:val="nil"/>
        </w:rPr>
        <w:t>Σχέδια εφαρμογής και ρυθμίσεις παρακολούθησης, αξιολόγησης και υποβολής εκθέσεων</w:t>
      </w:r>
    </w:p>
    <w:p>
      <w:pPr>
        <w:spacing w:after="240"/>
        <w:rPr>
          <w:noProof/>
        </w:rPr>
      </w:pPr>
      <w:r>
        <w:rPr>
          <w:noProof/>
        </w:rPr>
        <w:t xml:space="preserve">Προκειμένου να παρακολουθείται η απόδοση του παρόντος κανονισμού ως προς την επίτευξη των στόχων του Μέσου Τεχνικής Υποστήριξης, έχουν προσδιοριστεί και θα συλλέγονται περιοδικά ορισμένοι βασικοί δείκτες επιδόσεων. Θα καθοριστούν συγκεκριμένοι δείκτες αποτελεσμάτων και επιπτώσεων σε σχέση με τα συγκεκριμένα έργα, με βασικές γραμμές και στόχους, προκειμένου να παρακολουθείται η πρόοδος που σημειώνεται όσον αφορά τους τελικούς στόχους και να αξιολογείται ο αντίκτυπος των εφαρμοζόμενων μεταρρυθμίσεων. </w:t>
      </w:r>
    </w:p>
    <w:p>
      <w:pPr>
        <w:spacing w:before="0" w:after="240"/>
        <w:rPr>
          <w:noProof/>
        </w:rPr>
      </w:pPr>
      <w:r>
        <w:rPr>
          <w:noProof/>
        </w:rPr>
        <w:t>Θα διεξαχθεί ενδιάμεση αξιολόγηση και εκ των υστέρων αξιολόγηση με σκοπό την αξιολόγηση της αποτελεσματικότητας, της αποδοτικότητας, της συνάφειας και της συνοχής του Μέσου. Οι αξιολογήσεις θα διενεργούνται σύμφωνα με τη διοργανική συμφωνία της 13ης Απριλίου 2016</w:t>
      </w:r>
      <w:r>
        <w:rPr>
          <w:rStyle w:val="FootnoteReference"/>
          <w:noProof/>
        </w:rPr>
        <w:footnoteReference w:id="11"/>
      </w:r>
      <w:r>
        <w:rPr>
          <w:noProof/>
        </w:rPr>
        <w:t xml:space="preserve">. Οι αξιολογήσεις θα περιλαμβάνουν τα διδάγματα που αντλήθηκαν για να εντοπιστούν τυχόν ελλείψεις και/ή προβλήματα ή δυνατότητες περαιτέρω βελτίωσης των δράσεων ή των αποτελεσμάτων τους και συμβολής στη μεγιστοποίηση της αξιοποίησης και του αντικτύπου τους. </w:t>
      </w:r>
    </w:p>
    <w:p>
      <w:pPr>
        <w:spacing w:before="0" w:after="240"/>
        <w:rPr>
          <w:noProof/>
        </w:rPr>
      </w:pPr>
      <w:r>
        <w:rPr>
          <w:noProof/>
        </w:rPr>
        <w:t>Η ενδιάμεση αξιολόγηση του κανονισμού θα πραγματοποιηθεί μόλις υπάρξουν επαρκείς πληροφορίες σχετικά με την εφαρμογή του, αλλά όχι αργότερα από τέσσερα έτη μετά την έναρξη της εφαρμογής. Το αργότερο τρία έτη μετά τη λήξη της περιόδου εφαρμογής του κανονισμού, η Επιτροπή θα διενεργήσει εκ των υστέρων τελική αξιολόγηση. Η Επιτροπή θα κοινοποιήσει στο Ευρωπαϊκό Κοινοβούλιο, στο Συμβούλιο, στην Ευρωπαϊκή Οικονομική και Κοινωνική Επιτροπή και στην Επιτροπή των Περιφερειών τα συμπεράσματα των αξιολογήσεων τα οποία θα συνοδεύονται από τις παρατηρήσεις της.</w:t>
      </w:r>
    </w:p>
    <w:p>
      <w:pPr>
        <w:pStyle w:val="ManualHeading2"/>
        <w:rPr>
          <w:rFonts w:eastAsia="Arial Unicode MS"/>
          <w:noProof/>
          <w:u w:color="000000"/>
          <w:bdr w:val="nil"/>
        </w:rPr>
      </w:pPr>
      <w:r>
        <w:rPr>
          <w:noProof/>
          <w:u w:color="000000"/>
          <w:bdr w:val="nil"/>
        </w:rPr>
        <w:t>•</w:t>
      </w:r>
      <w:r>
        <w:rPr>
          <w:noProof/>
        </w:rPr>
        <w:tab/>
      </w:r>
      <w:r>
        <w:rPr>
          <w:noProof/>
          <w:u w:color="000000"/>
          <w:bdr w:val="nil"/>
        </w:rPr>
        <w:t>Αναλυτική επεξήγηση των επιμέρους διατάξεων της πρότασης</w:t>
      </w:r>
    </w:p>
    <w:p>
      <w:pPr>
        <w:spacing w:after="240"/>
        <w:rPr>
          <w:noProof/>
        </w:rPr>
      </w:pPr>
      <w:r>
        <w:rPr>
          <w:noProof/>
        </w:rPr>
        <w:t>Ο κανονισμός θεσπίζει Μέσο Τεχνικής Υποστήριξης, που θα στηρίξει, με τεχνικά μέτρα, τα κράτη μέλη για τη διενέργεια θεσμικών, διοικητικών και διαρθρωτικών μεταρρυθμίσεων που θα υποστηρίζουν την ανάπτυξη και θα ενισχύουν την ανθεκτικότητα (άρθρο 1).</w:t>
      </w:r>
    </w:p>
    <w:p>
      <w:pPr>
        <w:spacing w:before="0" w:after="240"/>
        <w:rPr>
          <w:noProof/>
        </w:rPr>
      </w:pPr>
      <w:r>
        <w:rPr>
          <w:noProof/>
        </w:rPr>
        <w:t xml:space="preserve">Γενικός στόχος του Μέσου Τεχνικής Υποστήριξης είναι να προωθήσει τη συνοχή της Ένωσης στηρίζοντας τις προσπάθειες των κρατών μελών να εφαρμόσουν τις αναγκαίες μεταρρυθμίσεις για την επίτευξη οικονομικής και κοινωνικής ανάκαμψης, ανθεκτικότητας και σύγκλισης, καθώς και να στηρίξει τις προσπάθειες των κρατών μελών να ενισχύσουν τη διοικητική τους ικανότητα ως προς την εφαρμογή του ενωσιακού δικαίου σε σχέση με τις </w:t>
      </w:r>
      <w:r>
        <w:rPr>
          <w:noProof/>
        </w:rPr>
        <w:lastRenderedPageBreak/>
        <w:t>προκλήσεις που αντιμετωπίζουν τα θεσμικά όργανα, η διακυβέρνηση, η δημόσια διοίκηση και ο οικονομικός και κοινωνικός τομέας. (Άρθρο 3)</w:t>
      </w:r>
    </w:p>
    <w:p>
      <w:pPr>
        <w:spacing w:before="0" w:after="240"/>
        <w:rPr>
          <w:noProof/>
        </w:rPr>
      </w:pPr>
      <w:r>
        <w:rPr>
          <w:noProof/>
        </w:rPr>
        <w:t>Οι ειδικοί στόχοι του Μέσου (άρθρο 4) είναι να συνδράμει τις εθνικές αρχές στη βελτίωση της τους ικανότητάς τους να σχεδιάζουν, να αναπτύσσουν και να εφαρμόζουν μεταρρυθμίσεις, μεταξύ άλλων μέσω της ανταλλαγής ορθών πρακτικών, κατάλληλων διαδικασιών και μεθοδολογιών, καθώς και της αποτελεσματικότερης και αποδοτικότερης διαχείρισης των ανθρώπινων πόρων. Οι εν λόγω ειδικοί στόχοι επιδιώκονται σε στενή συνεργασία με τα οικεία κράτη μέλη.</w:t>
      </w:r>
    </w:p>
    <w:p>
      <w:pPr>
        <w:spacing w:before="0" w:after="240"/>
        <w:rPr>
          <w:noProof/>
        </w:rPr>
      </w:pPr>
      <w:r>
        <w:rPr>
          <w:noProof/>
        </w:rPr>
        <w:t>Το πεδίο εφαρμογής της αίτησης είναι ένα ευρύ φάσμα τομέων πολιτικής που περιλαμβάνουν τομείς που σχετίζονται με τη διαχείριση δημόσιων οικονομικών και περιουσιακών στοιχείων, τις θεσμικές και διοικητικές μεταρρυθμίσεις, το επιχειρηματικό περιβάλλον, τις αγορές προϊόντων, υπηρεσιών και εργασίας, την εκπαίδευση και κατάρτιση, τη δημόσια υγεία, εκπαίδευση και τον χρηματοπιστωτικό τομέα (άρθρο 5).  Ιδιαίτερη έμφαση δίνεται σε δράσεις που προωθούν την πράσινη και την ψηφιακή μετάβαση.</w:t>
      </w:r>
    </w:p>
    <w:p>
      <w:pPr>
        <w:spacing w:before="0" w:after="240"/>
        <w:rPr>
          <w:noProof/>
        </w:rPr>
      </w:pPr>
      <w:r>
        <w:rPr>
          <w:noProof/>
        </w:rPr>
        <w:t>Το συνολικό χρηματοδοτικό κονδύλιο για την υλοποίηση του μηχανισμού για την περίοδο 2021-2027 ανέρχεται σε 864 406 000 EUR σε τρέχουσες τιμές (άρθρο 6). Εκτός από το εν λόγω χρηματοδοτικό κονδύλιο, τα κράτη μέλη μπορούν να μεταφέρουν οικειοθελώς, σύμφωνα με το άρθρο 21 του κανονισμού [διάδοχος του ΚΚΔ]</w:t>
      </w:r>
      <w:r>
        <w:rPr>
          <w:rStyle w:val="FootnoteReference"/>
          <w:noProof/>
        </w:rPr>
        <w:footnoteReference w:id="12"/>
      </w:r>
      <w:r>
        <w:rPr>
          <w:noProof/>
        </w:rPr>
        <w:t>, πόρους τεχνικής βοήθειας από προγράμματα υπό καθεστώς επιμερισμένης διαχείρισης στο Μέσο Τεχνικής Υποστήριξης. Οι μεταφερόμενοι πόροι υλοποιούνται σύμφωνα με τους κανόνες του εν λόγω Μέσου και θα πρέπει να χρησιμοποιούνται αποκλειστικά προς όφελος του οικείου κράτους μέλους (άρθρο 6 παράγραφος 3 και άρθρο 10).</w:t>
      </w:r>
    </w:p>
    <w:p>
      <w:pPr>
        <w:spacing w:before="0" w:after="200"/>
        <w:rPr>
          <w:noProof/>
        </w:rPr>
      </w:pPr>
      <w:r>
        <w:rPr>
          <w:noProof/>
        </w:rPr>
        <w:t>Οι προτάσεις της Επιτροπής για το Πολυετές Δημοσιονομικό Πλαίσιο 2021-2027 θέτουν έναν πιο φιλόδοξο στόχο για την ενσωμάτωση της διάστασης του κλίματος σε όλα τα προγράμματα της ΕΕ, αποσκοπώντας γενικά στη συμβολή κατά 25 % των δαπανών της ΕΕ στην επίτευξη κλιματικών στόχων. Η συμβολή του εν λόγω Μέσου στην επίτευξη αυτού του γενικού στόχου θα παρακολουθείται μέσω ενωσιακού συστήματος δεικτών για το κλίμα στο κατάλληλο επίπεδο ανάλυσης, καθώς και με τη χρήση ακριβέστερων μεθοδολογιών, εφόσον είναι διαθέσιμες (αιτιολογική σκέψη 10).</w:t>
      </w:r>
    </w:p>
    <w:p>
      <w:pPr>
        <w:spacing w:before="0" w:after="240"/>
        <w:rPr>
          <w:noProof/>
        </w:rPr>
      </w:pPr>
      <w:r>
        <w:rPr>
          <w:noProof/>
        </w:rPr>
        <w:t xml:space="preserve">Το Μέσο Τεχνικής Υποστήριξης θα πρέπει να στηρίζει την εφαρμογή μεταρρυθμίσεων που υποστηρίζουν την ανάπτυξη και ενισχύουν την ανθεκτικότητα και οι οποίες αναλαμβάνονται με πρωτοβουλία των κρατών μελών, ή στο πλαίσιο διαδικασιών οικονομικής διακυβέρνησης ή δράσεων που σχετίζονται με την εφαρμογή του δικαίου της Ένωσης και με προτεραιότητες πολιτικής της Ένωσης, και μεταρρυθμίσεις σε σχέση με την εφαρμογή προγραμμάτων οικονομικής προσαρμογής. Το Μέσο θα πρέπει επίσης να παρέχει τεχνική υποστήριξη για την προετοιμασία και εφαρμογή μεταρρυθμίσεων που θα αναληφθούν στο πλαίσιο του Μηχανισμού Ανάκαμψης και Ανθεκτικότητας (άρθρο 8). </w:t>
      </w:r>
    </w:p>
    <w:p>
      <w:pPr>
        <w:spacing w:before="0" w:after="240"/>
        <w:rPr>
          <w:noProof/>
        </w:rPr>
      </w:pPr>
      <w:r>
        <w:rPr>
          <w:noProof/>
        </w:rPr>
        <w:t xml:space="preserve">Η Επιτροπή θα αναλύσει τα αιτήματα υποστήριξης βάσει του επείγοντος χαρακτήρα, του εύρους και του βάθους των προβλημάτων που εντοπίστηκαν, των αναγκών στήριξης του σχετικού τομέα πολιτικής, της ανάλυσης των κοινωνικοοικονομικών δεικτών και της γενικής διοικητικής ικανότητας του κράτους μέλους. Βάσει της ανάλυσης αυτής και λαμβάνοντας υπόψη τα υφιστάμενα μέτρα και δράσεις που χρηματοδοτούνται από άλλα ταμεία ή προγράμματα της Ένωσης, η Επιτροπή θα καταλήξει σε συμφωνία με το κράτος μέλος </w:t>
      </w:r>
      <w:r>
        <w:rPr>
          <w:noProof/>
        </w:rPr>
        <w:lastRenderedPageBreak/>
        <w:t>σχετικά με τους τομείς προτεραιότητας προς στήριξη, τους στόχους, ένα ενδεικτικό χρονοδιάγραμμα, το πεδίο εφαρμογής των μέτρων στήριξης που πρόκειται να παρασχεθούν, καθώς και την εκτιμώμενη συνολική χρηματοδοτική συνεισφορά, που πρόκειται να καθοριστεί στο πλαίσιο σχεδίου συνεργασίας και στήριξης (άρθρο 8).</w:t>
      </w:r>
    </w:p>
    <w:p>
      <w:pPr>
        <w:spacing w:before="0" w:after="240"/>
        <w:rPr>
          <w:noProof/>
        </w:rPr>
      </w:pPr>
      <w:r>
        <w:rPr>
          <w:noProof/>
        </w:rPr>
        <w:t>Το είδος των δράσεων που είναι επιλέξιμες για χρηματοδότηση στο πλαίσιο του Μέσου Τεχνικής Υποστήριξης θα περιλαμβάνει, μεταξύ άλλων, την εμπειρογνωσία σε σχέση με την παροχή συμβουλών πολιτικής και/ή την αλλαγή πολιτικών, τη διαμόρφωση στρατηγικών και χαρτών πορείας μεταρρυθμίσεων, καθώς και σε σχέση με νομοθετικές, θεσμικές, διαρθρωτικές και διοικητικές μεταρρυθμίσεις· διάθεση εμπειρογνωμόνων, συμπεριλαμβανομένων επιτόπιων εμπειρογνωμόνων· ανάπτυξη ικανοτήτων και σχετικές υποστηρικτικές δράσεις σε όλα τα επίπεδα διακυβέρνησης οι οποίες συμβάλλουν επίσης στην ενδυνάμωση της κοινωνίας των πολιτών (άρθρο 7). Οι δράσεις που χρηματοδοτούνται δυνάμει του Μέσου Τεχνικής Υποστήριξης μπορούν να λάβουν στήριξη από άλλα ενωσιακά προγράμματα, μέσα ή ταμεία στο πλαίσιο του προϋπολογισμού της Ένωσης, υπό την προϋπόθεση ότι η στήριξη αυτή δεν καλύπτει τις ίδιες δαπάνες (άρθρο 11).</w:t>
      </w:r>
    </w:p>
    <w:p>
      <w:pPr>
        <w:spacing w:before="0" w:after="200"/>
        <w:rPr>
          <w:noProof/>
        </w:rPr>
      </w:pPr>
      <w:r>
        <w:rPr>
          <w:noProof/>
        </w:rPr>
        <w:t>Η Επιτροπή θα εγκρίνει προγράμματα εργασίας για την εφαρμογή του Μέσου Τεχνικής Υποστήριξης μέσω εκτελεστικών πράξεων που θα καθορίζουν τα μέτρα για την παροχή τεχνικής υποστήριξης και όλα τα στοιχεία που απαιτούνται βάσει του δημοσιονομικού κανονισμού</w:t>
      </w:r>
      <w:r>
        <w:rPr>
          <w:rStyle w:val="FootnoteReference"/>
          <w:noProof/>
        </w:rPr>
        <w:footnoteReference w:id="13"/>
      </w:r>
      <w:r>
        <w:rPr>
          <w:noProof/>
        </w:rPr>
        <w:t xml:space="preserve"> (άρθρο 12).</w:t>
      </w:r>
    </w:p>
    <w:p>
      <w:pPr>
        <w:spacing w:before="0" w:after="200"/>
        <w:rPr>
          <w:noProof/>
        </w:rPr>
      </w:pPr>
      <w:r>
        <w:rPr>
          <w:noProof/>
        </w:rPr>
        <w:t>Διατυπώνονται διατάξεις σχετικά με τις δραστηριότητες επικοινωνίας με το Ευρωπαϊκό Κοινοβούλιο και το Συμβούλιο και με το ευρύ κοινό (άρθρα 9 και 17) καθώς και διατάξεις για τη συμπληρωματικότητα (άρθρο 13), την παρακολούθηση ( άρθρο 14), τις ετήσιες εκθέσεις (άρθρο 15) και την αξιολόγηση (άρθρο 16).</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2020/0103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 θέσπιση Μέσου Τεχνικής Υποστήριξης</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175 τρίτο εδάφιο και το άρθρο 197 παράγραφος 2,</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4"/>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15"/>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 xml:space="preserve">Σύμφωνα με τα άρθρα 120 και 121 της Συνθήκης για τη λειτουργία της Ευρωπαϊκής Ένωσης (στο εξής: Συνθήκη), τα κράτη μέλη καλούνται να ασκούν την οικονομική τους πολιτική με σκοπό να συμβάλλουν στην υλοποίηση των στόχων της Ένωσης και στο πλαίσιο των γενικών προσανατολισμών που συντάσσει το Συμβούλιο. Σύμφωνα με το άρθρο 148 της Συνθήκης, τα κράτη μέλη εφαρμόζουν πολιτικές για την απασχόληση που λαμβάνουν υπόψη τις κατευθυντήριες γραμμές για την απασχόληση. Επομένως, ο συντονισμός των οικονομικών πολιτικών των κρατών μελών αποτελεί θέμα κοινού ενδιαφέροντος. </w:t>
      </w:r>
    </w:p>
    <w:p>
      <w:pPr>
        <w:pStyle w:val="ManualConsidrant"/>
        <w:rPr>
          <w:noProof/>
        </w:rPr>
      </w:pPr>
      <w:r>
        <w:t>(2)</w:t>
      </w:r>
      <w:r>
        <w:tab/>
      </w:r>
      <w:r>
        <w:rPr>
          <w:noProof/>
        </w:rPr>
        <w:t>Το άρθρο 175 της Συνθήκης προβλέπει, μεταξύ άλλων, ότι τα κράτη μέλη θα πρέπει να συντονίζουν την οικονομική τους πολιτική με σκοπό να επιτύχουν τους στόχους της οικονομικής, κοινωνικής και εδαφικής συνοχής που ορίζονται στο άρθρο 174.</w:t>
      </w:r>
    </w:p>
    <w:p>
      <w:pPr>
        <w:pStyle w:val="ManualConsidrant"/>
        <w:rPr>
          <w:noProof/>
        </w:rPr>
      </w:pPr>
      <w:r>
        <w:t>(3)</w:t>
      </w:r>
      <w:r>
        <w:tab/>
      </w:r>
      <w:r>
        <w:rPr>
          <w:noProof/>
        </w:rPr>
        <w:t xml:space="preserve">Η εκδήλωση της πανδημίας COVID-19 στις αρχές του 2020 άλλαξε τις οικονομικές προοπτικές για τα επόμενα χρόνια στην ΕΕ και στον κόσμο. Στην Ένωση έχουν προκύψει νέες προτεραιότητες, οι οποίες συνδέονται με την κρίση και επικεντρώνονται ιδίως στην ανάκαμψη και την ανθεκτικότητα. Οι προτεραιότητες αυτές απαιτούν επείγουσα και συντονισμένη απόκριση από την Ένωση για την αντιμετώπιση των οικονομικών συνεπειών για τα κράτη μέλη και για τον μετριασμό των κοινωνικών και οικονομικών επιπτώσεων. Η τρέχουσα πανδημία COVID-19 καθώς και η προηγούμενη οικονομική και χρηματοπιστωτική κρίση έδειξαν ότι η ανάπτυξη υγιών και ανθεκτικών οικονομιών και χρηματοπιστωτικών συστημάτων βασισμένων σε ισχυρές οικονομικές και κοινωνικές δομές βοηθά τα κράτη μέλη να ανταποκρίνονται αποτελεσματικότερα στις κρίσεις και να ανακάμπτουν ταχύτερα από </w:t>
      </w:r>
      <w:r>
        <w:rPr>
          <w:noProof/>
        </w:rPr>
        <w:lastRenderedPageBreak/>
        <w:t>αυτές. Συνεπώς, οι μεταρρυθμίσεις που ενισχύουν την ανάπτυξη και οι επενδύσεις για την αντιμετώπιση των διαρθρωτικών αδυναμιών των οικονομιών και την ενίσχυση της ανθεκτικότητάς τους θα είναι ουσιαστικής σημασίας για να επανέλθουν οι οικονομίες και οι κοινωνίες σε πορεία βιώσιμης ανάκαμψης και να ξεπεραστούν οι οικονομικές, κοινωνικές και εδαφικές αποκλίσεις στην Ένωση.</w:t>
      </w:r>
    </w:p>
    <w:p>
      <w:pPr>
        <w:pStyle w:val="ManualConsidrant"/>
        <w:rPr>
          <w:noProof/>
        </w:rPr>
      </w:pPr>
      <w:r>
        <w:t>(4)</w:t>
      </w:r>
      <w:r>
        <w:tab/>
      </w:r>
      <w:r>
        <w:rPr>
          <w:noProof/>
        </w:rPr>
        <w:t xml:space="preserve">Σε επίπεδο Ένωσης, το Ευρωπαϊκό Εξάμηνο συντονισμού των οικονομικών πολιτικών αποτελεί το πλαίσιο για τον προσδιορισμό των εθνικών μεταρρυθμιστικών προτεραιοτήτων και την παρακολούθηση της εφαρμογής τους. Τα κράτη μέλη αναπτύσσουν τις δικές τους εθνικές πολυετείς επενδυτικές στρατηγικές για τη στήριξη των εν λόγω μεταρρυθμιστικών προτεραιοτήτων. Οι στρατηγικές αυτές υποβάλλονται μαζί με τα ετήσια εθνικά προγράμματα μεταρρυθμίσεων ως ένας τρόπος προσδιορισμού και συντονισμού των προτεραιοτήτων που θα υποστηριχθούν από εθνική και/ή ενωσιακή χρηματοδότηση. Θα πρέπει επίσης να συμβάλλουν στη συνεπή χρήση της ενωσιακής χρηματοδότησης και στη μεγιστοποίηση της προστιθέμενης αξίας της χρηματοδοτικής στήριξης που θα λαμβάνεται ιδίως από τα προγράμματα που υποστηρίζονται από την Ένωση στο πλαίσιο των διαρθρωτικών ταμείων και του Ταμείου Συνοχής, καθώς και από άλλα προγράμματα. </w:t>
      </w:r>
    </w:p>
    <w:p>
      <w:pPr>
        <w:pStyle w:val="ManualConsidrant"/>
        <w:rPr>
          <w:noProof/>
        </w:rPr>
      </w:pPr>
      <w:r>
        <w:t>(5)</w:t>
      </w:r>
      <w:r>
        <w:tab/>
      </w:r>
      <w:r>
        <w:rPr>
          <w:noProof/>
        </w:rPr>
        <w:t>Με τον κανονισμό (ΕΕ) 2017/825 του Ευρωπαϊκού Κοινοβουλίου και του Συμβουλίου</w:t>
      </w:r>
      <w:r>
        <w:rPr>
          <w:rStyle w:val="FootnoteReference"/>
          <w:noProof/>
          <w:szCs w:val="24"/>
        </w:rPr>
        <w:footnoteReference w:id="16"/>
      </w:r>
      <w:r>
        <w:rPr>
          <w:noProof/>
        </w:rPr>
        <w:t xml:space="preserve"> θεσπίστηκε το Πρόγραμμα Στήριξης των Διαρθρωτικών Μεταρρυθμίσεων (ΠΣΔΜ) για την περίοδο 2017-2020, με προϋπολογισμό 142 800 000 EUR. Το ΠΣΔΜ δημιουργήθηκε για να ενισχύσει την ικανότητα των κρατών μελών να προετοιμάζουν και να εφαρμόζουν διοικητικές και διαρθρωτικές μεταρρυθμίσεις που υποστηρίζουν την ανάπτυξη, μεταξύ άλλων μέσω της βοήθειας για την αποδοτική και αποτελεσματική χρήση των κονδυλίων από τα ταμεία της Ένωσης. Η τεχνική υποστήριξη στο πλαίσιο του προγράμματος αυτού παρέχεται από την Επιτροπή κατόπιν αιτήματος κράτους μέλους και μπορεί να καλύψει ευρύ φάσμα τομέων πολιτικής. Ο παρών κανονισμός έχει σχεδιαστεί ως συνέχεια του εν λόγω προγράμματος, το οποίο έχει λάβει θετικά σχόλια από τα κράτη μέλη. </w:t>
      </w:r>
    </w:p>
    <w:p>
      <w:pPr>
        <w:pStyle w:val="ManualConsidrant"/>
        <w:rPr>
          <w:noProof/>
        </w:rPr>
      </w:pPr>
      <w:r>
        <w:t>(6)</w:t>
      </w:r>
      <w:r>
        <w:tab/>
      </w:r>
      <w:r>
        <w:rPr>
          <w:noProof/>
        </w:rPr>
        <w:t xml:space="preserve">Τα κράτη μέλη έλαβαν στο παρελθόν όλο και μεγαλύτερη τεχνική υποστήριξη στο πλαίσιο του ΠΣΔΜ, και, ως εκ τούτου, μέσω του παρόντος κανονισμού, θα πρέπει να θεσπιστεί ένα Μέσο Τεχνικής Υποστήριξης για τη συνέχιση της στήριξης των κρατών μελών κατά την εφαρμογή μεταρρυθμίσεων. </w:t>
      </w:r>
    </w:p>
    <w:p>
      <w:pPr>
        <w:pStyle w:val="ManualConsidrant"/>
        <w:rPr>
          <w:noProof/>
        </w:rPr>
      </w:pPr>
      <w:r>
        <w:t>(7)</w:t>
      </w:r>
      <w:r>
        <w:tab/>
      </w:r>
      <w:r>
        <w:rPr>
          <w:noProof/>
        </w:rPr>
        <w:t xml:space="preserve">Αντικατοπτρίζοντας την Ευρωπαϊκή Πράσινη Συμφωνία ως την αναπτυξιακή στρατηγική της Ευρώπης και τη μετάφραση των δεσμεύσεων της Ένωσης για την εφαρμογή της συμφωνίας του Παρισιού και των στόχων βιώσιμης ανάπτυξης των Ηνωμένων Εθνών, το Μέσο Τεχνικής Υποστήριξης θα συμβάλει στην ενσωμάτωση δράσεων για το κλίμα και στην επίτευξη του συνολικού στόχου του 25 % των δαπανών του προϋπολογισμού της ΕΕ υπέρ στόχων που σχετίζονται με το κλίμα. Σχετικές δράσεις θα πρέπει να προσδιοριστούν κατά τη διάρκεια της κατάρτισης και της εφαρμογής του Μέσου, και να αξιολογηθούν εκ νέου στο πλαίσιο των σχετικών διαδικασιών αξιολόγησης και αναθεώρησης. Είναι επίσης αναγκαίο να αντιμετωπιστούν οι ευρύτερες περιβαλλοντικές και κοινωνικές προκλήσεις εντός της Ένωσης, συμπεριλαμβανομένης της προστασίας του φυσικού κεφαλαίου και της </w:t>
      </w:r>
      <w:r>
        <w:rPr>
          <w:noProof/>
        </w:rPr>
        <w:lastRenderedPageBreak/>
        <w:t xml:space="preserve">στήριξης της κυκλικής οικονομίας, με τήρηση του θεματολογίου για τη βιώσιμη ανάπτυξη με ορίζοντα το 2030. </w:t>
      </w:r>
    </w:p>
    <w:p>
      <w:pPr>
        <w:pStyle w:val="ManualConsidrant"/>
        <w:rPr>
          <w:noProof/>
        </w:rPr>
      </w:pPr>
      <w:r>
        <w:t>(8)</w:t>
      </w:r>
      <w:r>
        <w:tab/>
      </w:r>
      <w:r>
        <w:rPr>
          <w:noProof/>
        </w:rPr>
        <w:t xml:space="preserve">Ο γενικός στόχος του Μέσου Τεχνικής Υποστήριξης θα πρέπει να είναι η προώθηση της οικονομικής, κοινωνικής και εδαφικής συνοχής της Ένωσης, μέσω της στήριξης των προσπαθειών των κρατών μελών για εφαρμογή των μεταρρυθμίσεων που είναι αναγκαίες για την επίτευξη οικονομικής και κοινωνικής ανάκαμψης, ανθεκτικότητας και σύγκλισης. Προς τούτο, το Μέσο θα πρέπει να στηρίζει την ενίσχυση της διοικητικής ικανότητας των κρατών μελών να εφαρμόζουν το δίκαιο της Ένωσης, σε σχέση με τις προκλήσεις που αντιμετωπίζουν τα θεσμικά όργανα, η διακυβέρνηση, η δημόσια διοίκηση, καθώς και ο οικονομικός και κοινωνικός τομέας. </w:t>
      </w:r>
    </w:p>
    <w:p>
      <w:pPr>
        <w:pStyle w:val="ManualConsidrant"/>
        <w:rPr>
          <w:noProof/>
        </w:rPr>
      </w:pPr>
      <w:r>
        <w:t>(9)</w:t>
      </w:r>
      <w:r>
        <w:tab/>
      </w:r>
      <w:r>
        <w:rPr>
          <w:noProof/>
        </w:rPr>
        <w:t>Οι ειδικοί στόχοι του Μέσου Τεχνικής Υποστήριξης θα πρέπει να συνίστανται στη στήριξη των προσπαθειών των εθνικών αρχών να σχεδιάζουν, να αναπτύσσουν και να εφαρμόζουν μεταρρυθμίσεις, μεταξύ άλλων μέσω της ανταλλαγής ορθών πρακτικών, κατάλληλων διαδικασιών και μεθοδολογιών, καθώς και μέσω της αποτελεσματικότερης και αποδοτικότερης διαχείρισης των ανθρώπινων πόρων.</w:t>
      </w:r>
    </w:p>
    <w:p>
      <w:pPr>
        <w:pStyle w:val="ManualConsidrant"/>
        <w:rPr>
          <w:noProof/>
        </w:rPr>
      </w:pPr>
      <w:r>
        <w:t>(10)</w:t>
      </w:r>
      <w:r>
        <w:tab/>
      </w:r>
      <w:r>
        <w:rPr>
          <w:noProof/>
        </w:rPr>
        <w:t xml:space="preserve">Έχοντας ως στόχο τη συνδρομή των κρατών μελών κατά την αντιμετώπιση των μεταρρυθμιστικών αναγκών σε όλους τους βασικούς οικονομικούς και κοινωνικούς τομείς, η τεχνική υποστήριξη θα πρέπει να εξακολουθήσει να παρέχεται από την Επιτροπή, κατόπιν αιτήματος κράτους μέλους, σε ευρύ φάσμα τομέων πολιτικής, που περιλαμβάνουν τομείς που σχετίζονται με τη διαχείριση των δημόσιων οικονομικών και των περιουσιακών στοιχείων, τη θεσμική και διοικητική μεταρρύθμιση, το επιχειρηματικό περιβάλλον, τον χρηματοπιστωτικό τομέα, τις αγορές προϊόντων, υπηρεσιών και εργασίας, την εκπαίδευση και κατάρτιση, τη βιώσιμη ανάπτυξη, τη δημόσια υγεία και την κοινωνική πρόνοια. Ιδιαίτερη έμφαση θα πρέπει να δοθεί στις δράσεις που προωθούν την πράσινη και την ψηφιακή μετάβαση. </w:t>
      </w:r>
    </w:p>
    <w:p>
      <w:pPr>
        <w:pStyle w:val="ManualConsidrant"/>
        <w:rPr>
          <w:noProof/>
        </w:rPr>
      </w:pPr>
      <w:r>
        <w:t>(11)</w:t>
      </w:r>
      <w:r>
        <w:tab/>
      </w:r>
      <w:r>
        <w:rPr>
          <w:noProof/>
        </w:rPr>
        <w:t>Ο παρών κανονισμός θεσπίζει χρηματοδοτικό κονδύλιο για το Μέσο Τεχνικής Υποστήριξης, το οποίο θα συνιστά το βασικό ποσό αναφοράς, κατά την έννοια της διοργανικής συμφωνίας για τη δημοσιονομική πειθαρχία, τη συνεργασία σε δημοσιονομικά θέματα και τη χρηστή δημοσιονομική διαχείριση</w:t>
      </w:r>
      <w:r>
        <w:rPr>
          <w:rStyle w:val="FootnoteReference"/>
          <w:noProof/>
          <w:szCs w:val="24"/>
        </w:rPr>
        <w:footnoteReference w:id="17"/>
      </w:r>
      <w:r>
        <w:rPr>
          <w:noProof/>
        </w:rPr>
        <w:t xml:space="preserve">, για το Ευρωπαϊκό Κοινοβούλιο και το Συμβούλιο κατά την ετήσια διαδικασία του προϋπολογισμού. </w:t>
      </w:r>
    </w:p>
    <w:p>
      <w:pPr>
        <w:pStyle w:val="ManualConsidrant"/>
        <w:rPr>
          <w:noProof/>
        </w:rPr>
      </w:pPr>
      <w:r>
        <w:t>(12)</w:t>
      </w:r>
      <w:r>
        <w:tab/>
      </w:r>
      <w:r>
        <w:rPr>
          <w:noProof/>
        </w:rPr>
        <w:t>Για να καλυφθούν οι πρόσθετες ανάγκες στο πλαίσιο του Μέσου Τεχνικής Υποστήριξης, τα κράτη μέλη θα πρέπει να έχουν τη δυνατότητα να μεταφέρουν στον προϋπολογισμό του Μέσου πόρους προγραμματισμένους σε επιμερισμένη διαχείριση στο πλαίσιο των ταμείων της Ένωσης, σύμφωνα με τη διαδικασία που ακολουθεί. Οι μεταφερόμενοι πόροι θα πρέπει να υλοποιούνται σύμφωνα με τους κανόνες του εν λόγω Μέσου και θα πρέπει να χρησιμοποιούνται αποκλειστικά προς όφελος του οικείου κράτους μέλους. Η Επιτροπή θα πρέπει να παρέχει ανατροφοδότηση στο οικείο κράτος μέλος σχετικά με τη χρήση πρόσθετων εθελοντικών συνεισφορών.</w:t>
      </w:r>
    </w:p>
    <w:p>
      <w:pPr>
        <w:pStyle w:val="ManualConsidrant"/>
        <w:rPr>
          <w:noProof/>
        </w:rPr>
      </w:pPr>
      <w:r>
        <w:t>(13)</w:t>
      </w:r>
      <w:r>
        <w:tab/>
      </w:r>
      <w:r>
        <w:rPr>
          <w:noProof/>
        </w:rPr>
        <w:t xml:space="preserve">Το Μέσο Τεχνικής Υποστήριξης θα πρέπει να παρέχεται κατόπιν αιτήματος, ώστε να υποστηρίζει την εφαρμογή μεταρρυθμίσεων που αναλαμβάνονται με πρωτοβουλία των κρατών μελών, μεταρρυθμίσεων στο πλαίσιο διαδικασιών οικονομικής διακυβέρνησης ή δράσεων που σχετίζονται με την εφαρμογή του δικαίου της Ένωσης, και μεταρρυθμίσεων σε σχέση με την εφαρμογή προγραμμάτων οικονομικής </w:t>
      </w:r>
      <w:r>
        <w:rPr>
          <w:noProof/>
        </w:rPr>
        <w:lastRenderedPageBreak/>
        <w:t>προσαρμογής. Θα πρέπει επίσης να παρέχει τεχνική υποστήριξη για την προετοιμασία και την υλοποίηση των σχεδίων ανάκαμψης που θα υλοποιηθούν δυνάμει του κανονισμού (ΕΕ) YYY/XX.</w:t>
      </w:r>
    </w:p>
    <w:p>
      <w:pPr>
        <w:pStyle w:val="ManualConsidrant"/>
        <w:rPr>
          <w:noProof/>
        </w:rPr>
      </w:pPr>
      <w:r>
        <w:t>(14)</w:t>
      </w:r>
      <w:r>
        <w:tab/>
      </w:r>
      <w:r>
        <w:rPr>
          <w:noProof/>
        </w:rPr>
        <w:t>Σύμφωνα με τους ήδη ισχύοντες κανόνες και την υφιστάμενη πρακτική στο πλαίσιο του προηγούμενου προγράμματος, του ΠΣΔΜ, θα πρέπει να καθιερωθεί ελαφρά διαδικασία για την υποβολή αιτημάτων τεχνικής υποστήριξης. Για τον λόγο αυτόν, τα αιτήματα των κρατών μελών θα πρέπει να υποβάλλονται έως τις 31 Οκτωβρίου ενός ημερολογιακού έτους.</w:t>
      </w:r>
      <w:r>
        <w:rPr>
          <w:i/>
          <w:noProof/>
          <w:szCs w:val="24"/>
        </w:rPr>
        <w:t xml:space="preserve"> </w:t>
      </w:r>
      <w:r>
        <w:rPr>
          <w:noProof/>
        </w:rPr>
        <w:t>Θα πρέπει να καθοριστούν κατάλληλα κριτήρια για την ανάλυση των αιτημάτων που υποβάλλονται από τα κράτη μέλη με τήρηση της γενικής αρχής της ίσης μεταχείρισης, της χρηστής δημοσιονομικής διαχείρισης και της διαφάνειας. Τα κριτήρια αυτά θα πρέπει να βασίζονται στον επείγοντα χαρακτήρα, στη σοβαρότητα και την έκταση των προβλημάτων, καθώς και στις ανάγκες υποστήριξης που εντοπίζονται σε σχέση με τους τομείς πολιτικής στους οποίους προβλέπεται τεχνική υποστήριξη.</w:t>
      </w:r>
    </w:p>
    <w:p>
      <w:pPr>
        <w:pStyle w:val="ManualConsidrant"/>
        <w:rPr>
          <w:noProof/>
        </w:rPr>
      </w:pPr>
      <w:r>
        <w:t>(15)</w:t>
      </w:r>
      <w:r>
        <w:tab/>
      </w:r>
      <w:r>
        <w:rPr>
          <w:noProof/>
        </w:rPr>
        <w:t xml:space="preserve">Θα πρέπει επίσης να προσδιοριστεί το περιεχόμενο των σχεδίων συνεργασίας και στήριξης που περιγράφουν λεπτομερώς τα μέτρα παροχής τεχνικής υποστήριξης στα κράτη μέλη. Για τον σκοπό αυτό, τα προβλεπόμενα μέτρα τεχνικής υποστήριξης και η σχετική εκτιμώμενη συνολική χρηματοδοτική συνεισφορά θα πρέπει να λαμβάνουν υπόψη τις δράσεις και τις δραστηριότητες που χρηματοδοτούνται από ταμεία ή προγράμματα της Ένωσης. </w:t>
      </w:r>
    </w:p>
    <w:p>
      <w:pPr>
        <w:pStyle w:val="ManualConsidrant"/>
        <w:rPr>
          <w:noProof/>
        </w:rPr>
      </w:pPr>
      <w:r>
        <w:t>(16)</w:t>
      </w:r>
      <w:r>
        <w:tab/>
      </w:r>
      <w:r>
        <w:rPr>
          <w:noProof/>
        </w:rPr>
        <w:t xml:space="preserve">Για λόγους λογοδοσίας, διαφάνειας και εξασφάλισης της προβολής της δράσης της Ένωσης, υπό ορισμένες προϋποθέσεις που προστατεύουν τις ευαίσθητες πληροφορίες, η Επιτροπή θα πρέπει να κοινοποιεί στο Ευρωπαϊκό Κοινοβούλιο και το Συμβούλιο τα σχέδια συνεργασίας και στήριξης και να διεξαγάγει δραστηριότητες επικοινωνίας κατά περίπτωση. </w:t>
      </w:r>
    </w:p>
    <w:p>
      <w:pPr>
        <w:pStyle w:val="ManualConsidrant"/>
        <w:rPr>
          <w:noProof/>
        </w:rPr>
      </w:pPr>
      <w:r>
        <w:t>(17)</w:t>
      </w:r>
      <w:r>
        <w:tab/>
      </w:r>
      <w:r>
        <w:rPr>
          <w:noProof/>
        </w:rPr>
        <w:t xml:space="preserve">Θα πρέπει να θεσπιστούν διατάξεις σχετικά με την εφαρμογή του Μέσου Τεχνικής Υποστήριξης, ιδίως τους τρόπους διαχείρισης, τις μορφές χρηματοδότησης των μέτρων τεχνικής υποστήριξης και το περιεχόμενο των προγραμμάτων εργασίας, τα οποία θα πρέπει να εγκριθούν μέσω εκτελεστικών πράξεων. Λόγω της σημασίας που έχει η διατήρηση των προσπαθειών των κρατών μελών για την επιδίωξη και την εφαρμογή των μεταρρυθμίσεων, είναι αναγκαίο να επιτραπεί ποσοστό συγχρηματοδότησης για επιδοτήσεις μέχρι το 100 % των επιλέξιμων δαπανών. Για να επιτραπεί η ταχεία κινητοποίηση της τεχνικής υποστήριξης σε περίπτωση επείγουσας ανάγκης, θα πρέπει να προβλεφθεί η θέσπιση ειδικών μέτρων για περιορισμένο χρονικό διάστημα. Για τον σκοπό αυτό, θα πρέπει να προβλεφθεί περιορισμένο ποσό του προϋπολογισμού στο πλαίσιο του προγράμματος εργασίας του Μέσου Τεχνικής Υποστήριξης για ειδικά μέτρα. </w:t>
      </w:r>
    </w:p>
    <w:p>
      <w:pPr>
        <w:pStyle w:val="ManualConsidrant"/>
        <w:rPr>
          <w:noProof/>
        </w:rPr>
      </w:pPr>
      <w:r>
        <w:t>(18)</w:t>
      </w:r>
      <w:r>
        <w:tab/>
      </w:r>
      <w:r>
        <w:rPr>
          <w:noProof/>
        </w:rPr>
        <w:t>Προκειμένου να διασφαλιστεί η αποτελεσματική και συνεκτική κατανομή των κονδυλίων από τον προϋπολογισμό της Ένωσης και να τηρηθεί η αρχή της χρηστής δημοσιονομικής διαχείρισης, οι δράσεις στο πλαίσιο του παρόντος κανονισμού θα πρέπει να είναι συνεπείς και συμπληρωματικές με τα τρέχοντα προγράμματα της Ένωσης, αποφεύγοντας ταυτόχρονα τη διπλή χρηματοδότηση για τις ίδιες δαπάνες. Ειδικότερα, η Επιτροπή και τα κράτη μέλη θα πρέπει να διασφαλίζουν, σε όλα τα στάδια της διαδικασίας, τον αποτελεσματικό συντονισμό προκειμένου να διασφαλίζεται η συνέπεια, η συνοχή, η συμπληρωματικότητα και η συνέργεια μεταξύ των πηγών χρηματοδότησης, συμπεριλαμβανομένης της τεχνικής βοήθειας αυτής.</w:t>
      </w:r>
    </w:p>
    <w:p>
      <w:pPr>
        <w:pStyle w:val="ManualConsidrant"/>
        <w:rPr>
          <w:noProof/>
        </w:rPr>
      </w:pPr>
      <w:r>
        <w:t>(19)</w:t>
      </w:r>
      <w:r>
        <w:tab/>
      </w:r>
      <w:r>
        <w:rPr>
          <w:noProof/>
        </w:rPr>
        <w:t xml:space="preserve">Σύμφωνα με τα σημεία 22 και 23 της διοργανικής συμφωνίας για τη βελτίωση του νομοθετικού έργου, της 13ης Απριλίου 2016, υφίσταται η ανάγκη αξιολόγησης του </w:t>
      </w:r>
      <w:r>
        <w:rPr>
          <w:noProof/>
        </w:rPr>
        <w:lastRenderedPageBreak/>
        <w:t xml:space="preserve">Μέσου που θεσπίζεται με τον παρόντα κανονισμό με βάση πληροφορίες που θα συλλέγονται μέσω ειδικών απαιτήσεων παρακολούθησης, ενώ παράλληλα θα αποφεύγονται η υπερβολική ρύθμιση και ο διοικητικός φόρτος, ιδίως για τα κράτη μέλη. Κατά περίπτωση, οι απαιτήσεις αυτές μπορεί να περιλαμβάνουν μετρήσιμους δείκτες, ως βάση για την αξιολόγηση του αντικτύπου του Μέσου στην πράξη. </w:t>
      </w:r>
    </w:p>
    <w:p>
      <w:pPr>
        <w:pStyle w:val="ManualConsidrant"/>
        <w:rPr>
          <w:noProof/>
        </w:rPr>
      </w:pPr>
      <w:r>
        <w:t>(20)</w:t>
      </w:r>
      <w:r>
        <w:tab/>
      </w:r>
      <w:r>
        <w:rPr>
          <w:noProof/>
        </w:rPr>
        <w:t xml:space="preserve">Είναι σκόπιμο η Επιτροπή να υποβάλλει ετήσια έκθεση στο Ευρωπαϊκό Κοινοβούλιο και στο Συμβούλιο σχετικά με την εφαρμογή του παρόντος κανονισμού. Θα πρέπει να πραγματοποιηθεί ανεξάρτητη ενδιάμεση αξιολόγηση, η οποία να εξετάζει την επίτευξη των στόχων του Μέσου που θεσπίζεται με τον παρόντα κανονισμό, την αποτελεσματικότητα της χρήσης των πόρων του και την προστιθέμενη αξία του. Μια ανεξάρτητη εκ των υστέρων αξιολόγηση θα πρέπει, επιπροσθέτως, να ασχοληθεί με τον μακροπρόθεσμο αντίκτυπο του Μέσου. </w:t>
      </w:r>
    </w:p>
    <w:p>
      <w:pPr>
        <w:pStyle w:val="ManualConsidrant"/>
        <w:rPr>
          <w:noProof/>
        </w:rPr>
      </w:pPr>
      <w:r>
        <w:t>(21)</w:t>
      </w:r>
      <w:r>
        <w:tab/>
      </w:r>
      <w:r>
        <w:rPr>
          <w:noProof/>
        </w:rPr>
        <w:t>Θα πρέπει να καθοριστούν τα προγράμματα εργασίας για την εφαρμογή της τεχνικής υποστήριξης. Προκειμένου να εξασφαλιστούν ενιαίες προϋποθέσεις για την εκτέλεση του παρόντος κανονισμού, θα πρέπει να ανατεθούν στην Επιτροπή εκτελεστικές αρμοδιότητες. Στον παρόντα κανονισμό εφαρμόζονται οι οριζόντιοι δημοσιονομικοί κανόνες που έχουν εγκριθεί από το Ευρωπαϊκό Κοινοβούλιο και το Συμβούλιο βάσει του άρθρου 322 της Συνθήκης. Οι εν λόγω κανόνες θεσπίζονται στον κανονισμό (ΕΕ, Ευρατόμ) 2018/1046 του Ευρωπαϊκού Κοινοβουλίου και του Συμβουλίου (στο εξής: δημοσιονομικός κανονισμός)</w:t>
      </w:r>
      <w:r>
        <w:rPr>
          <w:rStyle w:val="FootnoteReference"/>
          <w:noProof/>
          <w:szCs w:val="24"/>
        </w:rPr>
        <w:footnoteReference w:id="18"/>
      </w:r>
      <w:r>
        <w:rPr>
          <w:noProof/>
        </w:rPr>
        <w:t xml:space="preserve"> και καθορίζουν ιδίως τη διαδικασία κατάρτισης και εκτέλεσης του προϋπολογισμού μέσω επιχορηγήσεων, προμηθειών, βραβείων, έμμεσης εκτέλεσης, προβλέπουν δε ελέγχους της ευθύνης των οικονομικών φορέων. Οι κανόνες που θεσπίζονται βάσει του άρθρου 322 της ΣΛΕΕ αφορούν επίσης την προστασία του προϋπολογισμού της Ένωσης σε περίπτωση γενικευμένων ελλείψεων όσον αφορά το κράτος δικαίου στα κράτη μέλη, δεδομένου ότι ο σεβασμός του κράτους δικαίου αποτελεί απαραίτητη προϋπόθεση για τη χρηστή δημοσιονομική διαχείριση και την αποτελεσματική χρηματοδότηση από την ΕΕ.</w:t>
      </w:r>
    </w:p>
    <w:p>
      <w:pPr>
        <w:pStyle w:val="ManualConsidrant"/>
        <w:rPr>
          <w:noProof/>
        </w:rPr>
      </w:pPr>
      <w:r>
        <w:t>(22)</w:t>
      </w:r>
      <w:r>
        <w:tab/>
      </w:r>
      <w:r>
        <w:rPr>
          <w:noProof/>
        </w:rPr>
        <w:t>Σύμφωνα με τον δημοσιονομικό κανονισμό, τον κανονισμό (ΕΕ, Ευρατόμ) αριθ. 883/2013 του Ευρωπαϊκού Κοινοβουλίου και του Συμβουλίου</w:t>
      </w:r>
      <w:r>
        <w:rPr>
          <w:rStyle w:val="FootnoteReference"/>
          <w:noProof/>
          <w:szCs w:val="24"/>
        </w:rPr>
        <w:footnoteReference w:id="19"/>
      </w:r>
      <w:r>
        <w:rPr>
          <w:noProof/>
        </w:rPr>
        <w:t>, τον κανονισμό (Ευρατόμ, ΕΚ) αριθ. 2988/95 του Συμβουλίου</w:t>
      </w:r>
      <w:r>
        <w:rPr>
          <w:rStyle w:val="FootnoteReference"/>
          <w:noProof/>
          <w:szCs w:val="24"/>
        </w:rPr>
        <w:footnoteReference w:id="20"/>
      </w:r>
      <w:r>
        <w:rPr>
          <w:noProof/>
        </w:rPr>
        <w:t>, τον κανονισμό (Ευρατόμ, ΕΚ) αριθ. 2185/96 του Συμβουλίου</w:t>
      </w:r>
      <w:r>
        <w:rPr>
          <w:rStyle w:val="FootnoteReference"/>
          <w:noProof/>
          <w:szCs w:val="24"/>
        </w:rPr>
        <w:footnoteReference w:id="21"/>
      </w:r>
      <w:r>
        <w:rPr>
          <w:noProof/>
        </w:rPr>
        <w:t xml:space="preserve"> και τον κανονισμό (ΕΕ) αριθ. 2017/1939 του Συμβουλίου</w:t>
      </w:r>
      <w:r>
        <w:rPr>
          <w:rStyle w:val="FootnoteReference"/>
          <w:noProof/>
          <w:szCs w:val="24"/>
        </w:rPr>
        <w:footnoteReference w:id="22"/>
      </w:r>
      <w:r>
        <w:rPr>
          <w:noProof/>
        </w:rPr>
        <w:t xml:space="preserve">, </w:t>
      </w:r>
      <w:r>
        <w:rPr>
          <w:noProof/>
        </w:rPr>
        <w:lastRenderedPageBreak/>
        <w:t>τα οικονομικά συμφέροντα της Ένωσης πρέπει να προστατεύονται με αναλογικά μέτρα, συμπεριλαμβανομένης της πρόληψης, της ανίχνευσης, της διόρθωσης και της διερεύνησης παρατυπιών και απάτης, της ανάκτησης απολεσθέντων κεφαλαίων, αχρεωστήτως καταβληθέντων ή μη ορθώς χρησιμοποιηθέντων κονδυλίων και, όταν χρειάζεται, της επιβολής διοικητικών κυρώσεων. Ειδικότερα, σύμφωνα με τον κανονισμό (ΕΕ, Ευρατόμ) αριθ. 883/2013 και τον κανονισμό (Ευρατόμ, ΕΚ) αριθ. 2185/96, η Ευρωπαϊκή Υπηρεσία Καταπολέμησης της Απάτης (OLAF) μπορεί να διενεργεί διοικητικές έρευνες, καθώς και επιτόπιους ελέγχους και επιθεωρήσεις, με σκοπό να διαπιστωθεί αν υπάρχει απάτη, διαφθορά ή άλλη παράνομη δραστηριότητα εις βάρος των οικονομικών συμφερόντων της Ένωσης. Σύμφωνα με τον κανονισμό (ΕΕ) 2017/1939, η Ευρωπαϊκή Εισαγγελία μπορεί να διερευνά και να ασκεί δίωξη σε υποθέσεις απάτης και άλλων αξιόποινων πράξεων που θίγουν τα οικονομικά συμφέροντα της Ένωσης, όπως προβλέπεται στην οδηγία (ΕΕ) 2017/1371 του Ευρωπαϊκού Κοινοβουλίου και του Συμβουλίου</w:t>
      </w:r>
      <w:r>
        <w:rPr>
          <w:rStyle w:val="FootnoteReference"/>
          <w:noProof/>
          <w:szCs w:val="24"/>
        </w:rPr>
        <w:footnoteReference w:id="23"/>
      </w:r>
      <w:r>
        <w:rPr>
          <w:noProof/>
        </w:rPr>
        <w:t>. Σύμφωνα με τον δημοσιονομικό κανονισμό, πρόσωπα ή οντότητες που είναι αποδέκτες κονδυλίων από τα ταμεία της Ένωσης πρέπει να συνεργάζονται πλήρως για την προστασία των οικονομικών συμφερόντων της Ένωσης, να παρέχουν τα αναγκαία δικαιώματα και την πρόσβαση που απαιτείται στην Επιτροπή, την OLAF, την Ευρωπαϊκή Εισαγγελία και το Ευρωπαϊκό Ελεγκτικό Συνέδριο και να μεριμνούν ώστε τυχόν τρίτοι που συμμετέχουν στην εκτέλεση κονδυλίων από τα ταμεία της Ένωσης να εκχωρούν ισοδύναμα δικαιώματα στην Επιτροπή, την OLAF, την Ευρωπαϊκή Εισαγγελία και το Ευρωπαϊκό Ελεγκτικό Συνέδριο.</w:t>
      </w:r>
    </w:p>
    <w:p>
      <w:pPr>
        <w:pStyle w:val="ManualConsidrant"/>
        <w:rPr>
          <w:noProof/>
        </w:rPr>
      </w:pPr>
      <w:r>
        <w:t>(23)</w:t>
      </w:r>
      <w:r>
        <w:tab/>
      </w:r>
      <w:r>
        <w:rPr>
          <w:noProof/>
        </w:rPr>
        <w:t>Δεδομένου ότι ο στόχος του παρόντος κανονισμού δεν μπορεί να επιτευχθεί επαρκώς μόνο από τα κράτη μέλη, αλλά μπορεί να επιτευχθεί καλύτερα σε επίπεδο Ένωσης, η Ένωση μπορεί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όπως διατυπώνεται στο εν λόγω άρθρο, ο παρών κανονισμός δεν υπερβαίνει τα αναγκαία όρια για την επίτευξη του εν λόγω στόχου.</w:t>
      </w:r>
    </w:p>
    <w:p>
      <w:pPr>
        <w:pStyle w:val="ManualConsidrant"/>
        <w:rPr>
          <w:noProof/>
        </w:rPr>
      </w:pPr>
      <w:r>
        <w:t>(24)</w:t>
      </w:r>
      <w:r>
        <w:tab/>
      </w:r>
      <w:r>
        <w:rPr>
          <w:noProof/>
        </w:rPr>
        <w:t>Ο παρών κανονισμός δεν θα πρέπει να επηρεάσει τη συνέχιση και την τροποποίηση μέτρων στήριξης που εγκρίθηκαν από την Επιτροπή βάσει του κανονισμού (ΕΕ) 2017/825 ή άλλης ενωσιακής νομοθετικής πράξης που εφαρμόζεται στην εν λόγω συνδρομή έως τις 31 Δεκεμβρίου 2020. Επομένως, τα μέτρα που εγκρίνονται βάσει του κανονισμού (ΕΕ) 2017/825 θα πρέπει να παραμείνουν σε ισχύ. Προς τούτο, θα πρέπει επίσης να θεσπιστεί μεταβατική διάταξη.</w:t>
      </w:r>
    </w:p>
    <w:p>
      <w:pPr>
        <w:pStyle w:val="ManualConsidrant"/>
        <w:rPr>
          <w:noProof/>
        </w:rPr>
      </w:pPr>
      <w:r>
        <w:t>(25)</w:t>
      </w:r>
      <w:r>
        <w:tab/>
      </w:r>
      <w:r>
        <w:rPr>
          <w:noProof/>
        </w:rPr>
        <w:t xml:space="preserve">Για να καταστεί δυνατή η άμεση εφαρμογή των μέτρων που προβλέπονται στον παρόντα κανονισμό, ο παρών κανονισμός πρέπει να αρχίσει να ισχύει την επομένη της δημοσίευσής του στην Επίσημη Εφημερίδα της Ευρωπαϊκής Ένωσης, </w:t>
      </w:r>
    </w:p>
    <w:p>
      <w:pPr>
        <w:pStyle w:val="Formuledadoption"/>
        <w:rPr>
          <w:noProof/>
        </w:rPr>
      </w:pPr>
      <w:r>
        <w:rPr>
          <w:noProof/>
        </w:rPr>
        <w:lastRenderedPageBreak/>
        <w:t>ΕΞΕΔΩΣΑΝ ΤΟΝ ΠΑΡΟΝΤΑ ΚΑΝΟΝΙΣΜΟ:</w:t>
      </w:r>
    </w:p>
    <w:p>
      <w:pPr>
        <w:pStyle w:val="ChapterTitle"/>
        <w:rPr>
          <w:noProof/>
        </w:rPr>
      </w:pPr>
      <w:r>
        <w:rPr>
          <w:noProof/>
        </w:rPr>
        <w:t xml:space="preserve">ΚΕΦΑΛΑΙΟ Ι </w:t>
      </w:r>
    </w:p>
    <w:p>
      <w:pPr>
        <w:pStyle w:val="ChapterTitle"/>
        <w:rPr>
          <w:noProof/>
        </w:rPr>
      </w:pPr>
      <w:r>
        <w:rPr>
          <w:noProof/>
        </w:rPr>
        <w:t>Γενικές διατάξεις</w:t>
      </w:r>
    </w:p>
    <w:p>
      <w:pPr>
        <w:pStyle w:val="Titrearticle"/>
        <w:rPr>
          <w:noProof/>
        </w:rPr>
      </w:pPr>
      <w:r>
        <w:rPr>
          <w:noProof/>
        </w:rPr>
        <w:t xml:space="preserve">Άρθρο 1  </w:t>
      </w:r>
      <w:r>
        <w:rPr>
          <w:noProof/>
        </w:rPr>
        <w:br/>
        <w:t>Αντικείμενο</w:t>
      </w:r>
    </w:p>
    <w:p>
      <w:pPr>
        <w:spacing w:after="240"/>
        <w:rPr>
          <w:noProof/>
        </w:rPr>
      </w:pPr>
      <w:r>
        <w:rPr>
          <w:noProof/>
        </w:rPr>
        <w:t xml:space="preserve">Ο παρών κανονισμός θεσπίζει Μέσο Τεχνικής Υποστήριξης (στο εξής: Μέσο). </w:t>
      </w:r>
    </w:p>
    <w:p>
      <w:pPr>
        <w:spacing w:before="0" w:after="240"/>
        <w:rPr>
          <w:noProof/>
        </w:rPr>
      </w:pPr>
      <w:r>
        <w:rPr>
          <w:noProof/>
        </w:rPr>
        <w:t>Καθορίζει τους στόχους του Μέσου, τον προϋπολογισμό για την περίοδο 2021-2027, τις μορφές ενωσιακής χρηματοδότησης και τους κανόνες για την παροχή της εν λόγω χρηματοδότησης.</w:t>
      </w:r>
    </w:p>
    <w:p>
      <w:pPr>
        <w:pStyle w:val="Titrearticle"/>
        <w:rPr>
          <w:noProof/>
        </w:rPr>
      </w:pPr>
      <w:r>
        <w:rPr>
          <w:noProof/>
        </w:rPr>
        <w:t xml:space="preserve">Άρθρο 2  </w:t>
      </w:r>
      <w:r>
        <w:rPr>
          <w:noProof/>
        </w:rPr>
        <w:br/>
        <w:t>Ορισμοί</w:t>
      </w:r>
    </w:p>
    <w:p>
      <w:pPr>
        <w:spacing w:before="0" w:after="240" w:line="276" w:lineRule="auto"/>
        <w:jc w:val="left"/>
        <w:rPr>
          <w:noProof/>
        </w:rPr>
      </w:pPr>
      <w:r>
        <w:rPr>
          <w:noProof/>
        </w:rPr>
        <w:t>Για τους σκοπούς του παρόντος κανονισμού, ισχύουν οι ακόλουθοι ορισμοί:</w:t>
      </w:r>
    </w:p>
    <w:p>
      <w:pPr>
        <w:pStyle w:val="Point1"/>
        <w:rPr>
          <w:noProof/>
        </w:rPr>
      </w:pPr>
      <w:r>
        <w:t>(1)</w:t>
      </w:r>
      <w:r>
        <w:tab/>
      </w:r>
      <w:r>
        <w:rPr>
          <w:noProof/>
        </w:rPr>
        <w:t>«τεχνική υποστήριξη»: μέτρα που βοηθούν τα κράτη μέλη να πραγματοποιούν θεσμικές, διοικητικές και αναπτυξιακού χαρακτήρα μεταρρυθμίσεις που ενισχύουν την ανθεκτικότητα·</w:t>
      </w:r>
    </w:p>
    <w:p>
      <w:pPr>
        <w:pStyle w:val="Point1"/>
        <w:rPr>
          <w:noProof/>
        </w:rPr>
      </w:pPr>
      <w:r>
        <w:t>(2)</w:t>
      </w:r>
      <w:r>
        <w:tab/>
      </w:r>
      <w:r>
        <w:rPr>
          <w:noProof/>
        </w:rPr>
        <w:t xml:space="preserve">«εθνική αρχή»: μία ή περισσότερες δημόσιες αρχές σε επίπεδο κυβέρνησης, συμπεριλαμβανομένων εκείνων σε περιφερειακό και τοπικό επίπεδο, καθώς και οργανώσεις των κρατών μελών κατά την έννοια του άρθρου 2 παράγραφος 42 του δημοσιονομικού κανονισμού, οι οποίες συνεργάζονται σε πνεύμα εταιρικής σχέσης σύμφωνα με το θεσμικό και νομικό πλαίσιο των κρατών μελών· </w:t>
      </w:r>
    </w:p>
    <w:p>
      <w:pPr>
        <w:pStyle w:val="Point1"/>
        <w:rPr>
          <w:noProof/>
        </w:rPr>
      </w:pPr>
      <w:r>
        <w:t>(3)</w:t>
      </w:r>
      <w:r>
        <w:tab/>
      </w:r>
      <w:r>
        <w:rPr>
          <w:noProof/>
        </w:rPr>
        <w:t>«ταμεία της Ένωσης»: τα ταμεία που διέπονται από τον κανονισμό (ΕΕ) ΕΕΕ/XX του Ευρωπαϊκού Κοινοβουλίου και του Συμβουλίου [διάδοχος του ΚΚΔ]</w:t>
      </w:r>
      <w:r>
        <w:rPr>
          <w:rStyle w:val="FootnoteReference"/>
          <w:noProof/>
        </w:rPr>
        <w:footnoteReference w:id="24"/>
      </w:r>
      <w:r>
        <w:rPr>
          <w:noProof/>
        </w:rPr>
        <w:t xml:space="preserve">· </w:t>
      </w:r>
    </w:p>
    <w:p>
      <w:pPr>
        <w:pStyle w:val="Point1"/>
        <w:rPr>
          <w:noProof/>
        </w:rPr>
      </w:pPr>
      <w:r>
        <w:t>(4)</w:t>
      </w:r>
      <w:r>
        <w:tab/>
      </w:r>
      <w:r>
        <w:rPr>
          <w:noProof/>
        </w:rPr>
        <w:t>«διεθνής οργανισμός»: οργανισμός κατά την έννοια του άρθρου 156 του δημοσιονομικού κανονισμού, καθώς και οργανισμοί εξομοιούμενοι με παρόμοιο διεθνή οργανισμό σύμφωνα με το εν λόγω άρθρο.</w:t>
      </w:r>
    </w:p>
    <w:p>
      <w:pPr>
        <w:pStyle w:val="Titrearticle"/>
        <w:rPr>
          <w:noProof/>
        </w:rPr>
      </w:pPr>
      <w:r>
        <w:rPr>
          <w:noProof/>
        </w:rPr>
        <w:t xml:space="preserve">Άρθρο 3 </w:t>
      </w:r>
      <w:r>
        <w:rPr>
          <w:noProof/>
        </w:rPr>
        <w:br/>
        <w:t>Γενικός στόχος</w:t>
      </w:r>
    </w:p>
    <w:p>
      <w:pPr>
        <w:rPr>
          <w:noProof/>
        </w:rPr>
      </w:pPr>
      <w:r>
        <w:rPr>
          <w:noProof/>
        </w:rPr>
        <w:t xml:space="preserve">Γενικός στόχος του Μέσου είναι να προωθήσει την οικονομική, κοινωνική και εδαφική συνοχή της Ένωσης στηρίζοντας τις προσπάθειες των κρατών μελών να εφαρμόσουν τις αναγκαίες μεταρρυθμίσεις για την επίτευξη οικονομικής και κοινωνικής ανάκαμψης, ανθεκτικότητας και ανοδικής οικονομικής και κοινωνικής σύγκλισης, καθώς και να στηρίξει τις προσπάθειες των κρατών μελών να ενισχύσουν τη διοικητική τους ικανότητα ως προς την εφαρμογή του ενωσιακού δικαίου σε σχέση με τις προκλήσεις που αντιμετωπίζουν τα θεσμικά όργανα, η διακυβέρνηση, η δημόσια διοίκηση και ο οικονομικός και κοινωνικός τομέας. </w:t>
      </w:r>
    </w:p>
    <w:p>
      <w:pPr>
        <w:pStyle w:val="Titrearticle"/>
        <w:rPr>
          <w:noProof/>
        </w:rPr>
      </w:pPr>
      <w:r>
        <w:rPr>
          <w:noProof/>
        </w:rPr>
        <w:lastRenderedPageBreak/>
        <w:t xml:space="preserve">Άρθρο 4  </w:t>
      </w:r>
      <w:r>
        <w:rPr>
          <w:noProof/>
        </w:rPr>
        <w:br/>
        <w:t>Ειδικοί στόχοι</w:t>
      </w:r>
    </w:p>
    <w:p>
      <w:pPr>
        <w:spacing w:before="0" w:after="200"/>
        <w:rPr>
          <w:noProof/>
        </w:rPr>
      </w:pPr>
      <w:r>
        <w:rPr>
          <w:noProof/>
        </w:rPr>
        <w:t>Για την επίτευξη του γενικού στόχου που ορίζεται στο άρθρο 3, το Μέσο έχει ως ειδικούς στόχους να συνδράμει τις εθνικές αρχές στη βελτίωση της ικανότητάς τους να σχεδιάζουν, να αναπτύσσουν και να εφαρμόζουν μεταρρυθμίσεις, μεταξύ άλλων μέσω της ανταλλαγής ορθών πρακτικών, κατάλληλων διαδικασιών και μεθοδολογιών, καθώς και της αποτελεσματικότερης και αποδοτικότερης διαχείρισης των ανθρώπινων πόρων. Οι εν λόγω ειδικοί στόχοι επιδιώκονται σε στενή συνεργασία με τα οικεία κράτη μέλη.</w:t>
      </w:r>
    </w:p>
    <w:p>
      <w:pPr>
        <w:pStyle w:val="Titrearticle"/>
        <w:rPr>
          <w:noProof/>
        </w:rPr>
      </w:pPr>
      <w:r>
        <w:rPr>
          <w:noProof/>
        </w:rPr>
        <w:t xml:space="preserve">Άρθρο 5  </w:t>
      </w:r>
      <w:r>
        <w:rPr>
          <w:noProof/>
        </w:rPr>
        <w:br/>
        <w:t>Πεδίο εφαρμογής</w:t>
      </w:r>
    </w:p>
    <w:p>
      <w:pPr>
        <w:spacing w:before="0" w:after="200"/>
        <w:rPr>
          <w:noProof/>
        </w:rPr>
      </w:pPr>
      <w:r>
        <w:rPr>
          <w:noProof/>
        </w:rPr>
        <w:t xml:space="preserve">Οι ειδικοί στόχοι που ορίζονται στο άρθρο 4 αναφέρονται σε τομείς πολιτικής που σχετίζονται με τη συνοχή, την ανταγωνιστικότητα, την εκπαίδευση, την παραγωγικότητα, την έρευνα και την καινοτομία, την έξυπνη, δίκαιη, βιώσιμη και χωρίς αποκλεισμούς ανάπτυξη, την απασχόληση και τις επενδύσεις, με ιδιαίτερη έμφαση στις δράσεις που προάγουν την πράσινη και την ψηφιακή μετάβαση, και ιδίως όσον αφορά έναν ή περισσότερους από τους παρακάτω τομείς: </w:t>
      </w:r>
    </w:p>
    <w:p>
      <w:pPr>
        <w:pStyle w:val="Point1"/>
        <w:rPr>
          <w:noProof/>
        </w:rPr>
      </w:pPr>
      <w:r>
        <w:rPr>
          <w:noProof/>
        </w:rPr>
        <w:t>α)</w:t>
      </w:r>
      <w:r>
        <w:rPr>
          <w:noProof/>
        </w:rPr>
        <w:tab/>
        <w:t>τη διαχείριση των δημόσιων οικονομικών και των περιουσιακών στοιχείων, τη διαδικασία του προϋπολογισμού, το μακροδημοσιονομικό πλαίσιο, τη διαχείριση του χρέους και των ταμειακών διαθέσιμων, την πολιτική δαπανών και τη φορολογική πολιτική, τη φορολογική συμμόρφωση, τον επιθετικό φορολογικό σχεδιασμό, τη φορολογική απάτη και τη φοροδιαφυγή, καθώς και τη διαχείριση των εσόδων και την τελωνειακή ένωση·</w:t>
      </w:r>
    </w:p>
    <w:p>
      <w:pPr>
        <w:pStyle w:val="Point1"/>
        <w:rPr>
          <w:noProof/>
        </w:rPr>
      </w:pPr>
      <w:r>
        <w:rPr>
          <w:noProof/>
        </w:rPr>
        <w:t>β)</w:t>
      </w:r>
      <w:r>
        <w:rPr>
          <w:noProof/>
        </w:rPr>
        <w:tab/>
        <w:t>τη θεσμική μεταρρύθμιση και την αποτελεσματική και προσανατολισμένη στις υπηρεσίες λειτουργία της δημόσιας διοίκησης και της ηλεκτρονικής διακυβέρνησης, μεταξύ άλλων μέσω της απλούστευσης, όπου απαιτείται, των κανόνων, το αποτελεσματικό κράτος δικαίου, τη μεταρρύθμιση του δικαστικού συστήματος και την ενίσχυση της καταπολέμησης της απάτης, της διαφθοράς και της νομιμοποίησης εσόδων από παράνομες δραστηριότητες·</w:t>
      </w:r>
    </w:p>
    <w:p>
      <w:pPr>
        <w:pStyle w:val="Point1"/>
        <w:rPr>
          <w:noProof/>
        </w:rPr>
      </w:pPr>
      <w:r>
        <w:rPr>
          <w:noProof/>
        </w:rPr>
        <w:t>γ)</w:t>
      </w:r>
      <w:r>
        <w:rPr>
          <w:noProof/>
        </w:rPr>
        <w:tab/>
        <w:t>το επιχειρηματικό περιβάλλον, μεταξύ άλλων για τις μικρομεσαίες επιχειρήσεις και τις επιχειρήσεις κοινωνικής οικονομίας, την επαναβιομηχανοποίηση, την ανάπτυξη του ιδιωτικού τομέα, τις αγορές προϊόντων και υπηρεσιών, τις επενδύσεις, τη συμμετοχή του κοινού σε επιχειρήσεις, τις διαδικασίες ιδιωτικοποιήσεων, το εμπόριο και τις άμεσες ξένες επενδύσεις, τον ανταγωνισμό και τις δημόσιες προμήθειες, τη βιώσιμη τομεακή ανάπτυξη και τη στήριξη της έρευνας και της καινοτομίας, καθώς και της ψηφιοποίησης·</w:t>
      </w:r>
    </w:p>
    <w:p>
      <w:pPr>
        <w:pStyle w:val="Point1"/>
        <w:rPr>
          <w:noProof/>
        </w:rPr>
      </w:pPr>
      <w:r>
        <w:rPr>
          <w:noProof/>
        </w:rPr>
        <w:t>δ)</w:t>
      </w:r>
      <w:r>
        <w:rPr>
          <w:noProof/>
        </w:rPr>
        <w:tab/>
        <w:t xml:space="preserve">την εκπαίδευση και κατάρτιση, τις πολιτικές για την αγορά εργασίας, συμπεριλαμβανομένου του κοινωνικού διαλόγου για τη δημιουργία θέσεων εργασίας, την αναβάθμιση και τον αναπροσανατολισμό των δεξιοτήτων, ιδίως όσον αφορά τις ψηφιακές δεξιότητες, την παιδεία στα μέσα ενημέρωσης, την ενεργή συμμετοχή των πολιτών στα κοινά, την καταπολέμηση της φτώχειας και της υπερβάλλουσας εισοδηματικής ανισότητας, την ισότητα των φύλων, την προώθηση της κοινωνικής ένταξης, τα επαρκή και χωρίς αποκλεισμούς συστήματα κοινωνικής ασφάλισης και κοινωνικής πρόνοιας, τα προσβάσιμα και οικονομικά προσιτά συστήματα δημόσιας υγείας και υγειονομικής </w:t>
      </w:r>
      <w:r>
        <w:rPr>
          <w:noProof/>
        </w:rPr>
        <w:lastRenderedPageBreak/>
        <w:t>περίθαλψης, καθώς και τις πολιτικές για τη συνοχή, το άσυλο, τη μετανάστευση και τα σύνορα·</w:t>
      </w:r>
    </w:p>
    <w:p>
      <w:pPr>
        <w:pStyle w:val="Point1"/>
        <w:rPr>
          <w:noProof/>
        </w:rPr>
      </w:pPr>
      <w:r>
        <w:rPr>
          <w:noProof/>
        </w:rPr>
        <w:t>ε)</w:t>
      </w:r>
      <w:r>
        <w:rPr>
          <w:noProof/>
        </w:rPr>
        <w:tab/>
        <w:t>τις πολιτικές για την εφαρμογή της ψηφιακής και της πράσινης μετάβασης, τις λύσεις ηλεκτρονικής διακυβέρνησης, τις ηλεκτρονικές δημόσιες συμβάσεις, τη συνδεσιμότητα, την πρόσβαση σε δεδομένα και την διακυβέρνησή τους, την ηλεκτρονική μάθηση, τη χρήση λύσεων τεχνητής νοημοσύνης, τον περιβαλλοντικό πυλώνα της βιώσιμης ανάπτυξης και της προστασίας του περιβάλλοντος, τη δράση για το κλίμα, την κινητικότητα, την προώθηση της κυκλικής οικονομίας, την ενεργειακή απόδοση και την αποδοτική χρήση των πόρων, τις ανανεώσιμες πηγές ενέργειας, την επίτευξη της ενεργειακής διαφοροποίησης και την κατοχύρωση της ενεργειακής ασφάλειας, καθώς και για τον αγροτικό τομέα, την προστασία του εδάφους και της βιοποικιλότητας, την αλιεία και τη βιώσιμη ανάπτυξη των αγροτικών περιοχών· και</w:t>
      </w:r>
    </w:p>
    <w:p>
      <w:pPr>
        <w:pStyle w:val="Point1"/>
        <w:rPr>
          <w:noProof/>
        </w:rPr>
      </w:pPr>
      <w:r>
        <w:rPr>
          <w:noProof/>
        </w:rPr>
        <w:t>στ)</w:t>
      </w:r>
      <w:r>
        <w:rPr>
          <w:noProof/>
        </w:rPr>
        <w:tab/>
        <w:t>τις πολιτικές για τον χρηματοπιστωτικό τομέα, μεταξύ των οποίων: η προώθηση της απόκτησης χρηματοοικονομικών γνώσεων, της χρηματοπιστωτικής σταθερότητας, της πρόσβασης στη χρηματοδότηση και του δανεισμού προς την πραγματική οικονομία· και η παραγωγή, παροχή και ποιοτική παρακολούθηση δεδομένων και στατιστικών στοιχείων.</w:t>
      </w:r>
    </w:p>
    <w:p>
      <w:pPr>
        <w:pStyle w:val="Titrearticle"/>
        <w:rPr>
          <w:noProof/>
        </w:rPr>
      </w:pPr>
      <w:r>
        <w:rPr>
          <w:noProof/>
        </w:rPr>
        <w:t xml:space="preserve">Άρθρο 6  </w:t>
      </w:r>
      <w:r>
        <w:rPr>
          <w:noProof/>
        </w:rPr>
        <w:br/>
        <w:t>Προϋπολογισμός</w:t>
      </w:r>
    </w:p>
    <w:p>
      <w:pPr>
        <w:pStyle w:val="ManualNumPar1"/>
        <w:rPr>
          <w:noProof/>
        </w:rPr>
      </w:pPr>
      <w:r>
        <w:t>1.</w:t>
      </w:r>
      <w:r>
        <w:tab/>
      </w:r>
      <w:r>
        <w:rPr>
          <w:noProof/>
        </w:rPr>
        <w:t>Το δημοσιονομικό κονδύλιο για την εφαρμογή του Μέσου για την περίοδο 2021-2027 ορίζεται σε 864 406 000 EUR σε τρέχουσες τιμές.</w:t>
      </w:r>
    </w:p>
    <w:p>
      <w:pPr>
        <w:pStyle w:val="ManualNumPar1"/>
        <w:rPr>
          <w:noProof/>
        </w:rPr>
      </w:pPr>
      <w:r>
        <w:t>2.</w:t>
      </w:r>
      <w:r>
        <w:tab/>
      </w:r>
      <w:r>
        <w:rPr>
          <w:noProof/>
        </w:rPr>
        <w:t xml:space="preserve">Το χρηματοδοτικό κονδύλιο που προορίζεται για το Μέσο μπορεί επίσης να καλύπτει δαπάνες για δραστηριότητες προπαρασκευής, παρακολούθησης, λογιστικού ή άλλου ελέγχου και αξιολόγησης, οι οποίες απαιτούνται για τη διαχείριση του Μέσου και την επίτευξη των στόχων του, και ειδικότερα δαπάνες για μελέτες, συνεδριάσεις εμπειρογνωμόνων, δράσεις πληροφόρησης και επικοινωνίας, συμπεριλαμβανομένης της εταιρικής επικοινωνίας για τις πολιτικές προτεραιότητες της Ένωσης, στο βαθμό που αφορούν τους γενικούς στόχους του παρόντος κανονισμού, δαπάνες για δίκτυα τεχνολογίας των πληροφοριών που επικεντρώνονται στην επεξεργασία και ανταλλαγή πληροφοριών, συμπεριλαμβανομένων των εταιρικών εργαλείων τεχνολογίας των πληροφοριών, καθώς και όλες τις άλλες δαπάνες τεχνικής και διοικητικής συνδρομής που βαρύνουν την Επιτροπή στο πλαίσιο της διαχείρισης του Μέσου. Οι δαπάνες μπορούν επίσης να καλύπτουν το κόστος για άλλες υποστηρικτικές δραστηριότητες, όπως ο έλεγχος της ποιότητας και η παρακολούθηση επιτόπιων έργων τεχνικής υποστήριξης, καθώς και το κόστος της παροχής συμβουλών από ομοτίμους και εμπειρογνώμονες για την αξιολόγηση και την εφαρμογή διαρθρωτικών μεταρρυθμίσεων. </w:t>
      </w:r>
    </w:p>
    <w:p>
      <w:pPr>
        <w:pStyle w:val="ManualNumPar1"/>
        <w:rPr>
          <w:noProof/>
        </w:rPr>
      </w:pPr>
      <w:r>
        <w:t>3.</w:t>
      </w:r>
      <w:r>
        <w:tab/>
      </w:r>
      <w:r>
        <w:rPr>
          <w:noProof/>
        </w:rPr>
        <w:t>Οι πόροι που διατίθενται στα κράτη μέλη στο πλαίσιο της επιμερισμένης διαχείρισης μπορούν, κατόπιν αιτήματος των κρατών μελών, να μεταφερθούν στο Μέσο. Η Επιτροπή μεριμνά για την εκτέλεση των εν λόγω πόρων άμεσα, σύμφωνα με το άρθρο 62 παράγραφος 1 στοιχείο α) του δημοσιονομικού κανονισμού, ή έμμεσα, σύμφωνα με το στοιχείο γ) του εν λόγω άρθρου. Οι πόροι αυτοί χρησιμοποιούνται προς όφελος του οικείου κράτους μέλους.</w:t>
      </w:r>
    </w:p>
    <w:p>
      <w:pPr>
        <w:pStyle w:val="Text1"/>
        <w:rPr>
          <w:noProof/>
        </w:rPr>
      </w:pPr>
    </w:p>
    <w:p>
      <w:pPr>
        <w:pStyle w:val="ChapterTitle"/>
        <w:rPr>
          <w:noProof/>
        </w:rPr>
      </w:pPr>
      <w:r>
        <w:rPr>
          <w:noProof/>
        </w:rPr>
        <w:lastRenderedPageBreak/>
        <w:t xml:space="preserve">ΚΕΦΑΛΑΙΟ II </w:t>
      </w:r>
    </w:p>
    <w:p>
      <w:pPr>
        <w:pStyle w:val="ChapterTitle"/>
        <w:rPr>
          <w:noProof/>
        </w:rPr>
      </w:pPr>
      <w:r>
        <w:rPr>
          <w:noProof/>
        </w:rPr>
        <w:t>Τεχνική υποστήριξη</w:t>
      </w:r>
    </w:p>
    <w:p>
      <w:pPr>
        <w:pStyle w:val="Titrearticle"/>
        <w:rPr>
          <w:noProof/>
        </w:rPr>
      </w:pPr>
      <w:r>
        <w:rPr>
          <w:noProof/>
        </w:rPr>
        <w:t xml:space="preserve">Άρθρο 7 </w:t>
      </w:r>
      <w:r>
        <w:rPr>
          <w:noProof/>
        </w:rPr>
        <w:br/>
        <w:t xml:space="preserve">Επιλέξιμες δράσεις για τεχνική υποστήριξη </w:t>
      </w:r>
    </w:p>
    <w:p>
      <w:pPr>
        <w:spacing w:before="0" w:after="240"/>
        <w:rPr>
          <w:noProof/>
        </w:rPr>
      </w:pPr>
      <w:r>
        <w:rPr>
          <w:noProof/>
        </w:rPr>
        <w:t xml:space="preserve">Σύμφωνα με τους στόχους που ορίζονται στα άρθρα 3 και 4, το Μέσο χρηματοδοτεί ιδίως τα ακόλουθα είδη δράσεων: </w:t>
      </w:r>
    </w:p>
    <w:p>
      <w:pPr>
        <w:pStyle w:val="Point1"/>
        <w:rPr>
          <w:noProof/>
        </w:rPr>
      </w:pPr>
      <w:r>
        <w:rPr>
          <w:noProof/>
        </w:rPr>
        <w:t>α)</w:t>
      </w:r>
      <w:r>
        <w:rPr>
          <w:noProof/>
        </w:rPr>
        <w:tab/>
        <w:t>εμπειρογνωσία σε σχέση με την παροχή συμβουλών πολιτικής, την αλλαγή πολιτικών, τη διαμόρφωση στρατηγικών και χαρτών πορείας μεταρρυθμίσεων, καθώς και σε σχέση με νομοθετικές, θεσμικές, διαρθρωτικές και διοικητικές μεταρρυθμίσεις·</w:t>
      </w:r>
    </w:p>
    <w:p>
      <w:pPr>
        <w:pStyle w:val="Point1"/>
        <w:rPr>
          <w:noProof/>
        </w:rPr>
      </w:pPr>
      <w:r>
        <w:rPr>
          <w:noProof/>
        </w:rPr>
        <w:t>β)</w:t>
      </w:r>
      <w:r>
        <w:rPr>
          <w:noProof/>
        </w:rPr>
        <w:tab/>
        <w:t>βραχυπρόθεσμη ή μακροπρόθεσμη διάθεση εμπειρογνωμόνων, συμπεριλαμβανομένων επιτόπιων εμπειρογνωμόνων, για την εκτέλεση καθηκόντων σε συγκεκριμένους τομείς ή για τη διεξαγωγή επιχειρησιακών δραστηριοτήτων, όπου είναι αναγκαίο, με υποστήριξη διερμηνείας, μετάφρασης και συνεργασίας, διοικητική συνδρομή και εγκαταστάσεις υποδομής και εξοπλισμού·</w:t>
      </w:r>
    </w:p>
    <w:p>
      <w:pPr>
        <w:pStyle w:val="Point1"/>
        <w:rPr>
          <w:noProof/>
        </w:rPr>
      </w:pPr>
      <w:r>
        <w:rPr>
          <w:noProof/>
        </w:rPr>
        <w:t>γ)</w:t>
      </w:r>
      <w:r>
        <w:rPr>
          <w:noProof/>
        </w:rPr>
        <w:tab/>
        <w:t xml:space="preserve">ανάπτυξη θεσμικών, διοικητικών ή τομεακών ικανοτήτων και σχετικές υποστηρικτικές δράσεις σε όλα τα επίπεδα διακυβέρνησης, οι οποίες συμβάλλουν επίσης στην ενδυνάμωση της κοινωνίας των πολιτών, συμπεριλαμβανομένων των κοινωνικών εταίρων, κατά περίπτωση, και ιδίως: </w:t>
      </w:r>
    </w:p>
    <w:p>
      <w:pPr>
        <w:pStyle w:val="Point2"/>
        <w:rPr>
          <w:noProof/>
        </w:rPr>
      </w:pPr>
      <w:r>
        <w:rPr>
          <w:noProof/>
        </w:rPr>
        <w:t>i)</w:t>
      </w:r>
      <w:r>
        <w:rPr>
          <w:noProof/>
        </w:rPr>
        <w:tab/>
        <w:t>σεμινάρια, συνέδρια και εργαστήρια·</w:t>
      </w:r>
    </w:p>
    <w:p>
      <w:pPr>
        <w:pStyle w:val="Point2"/>
        <w:rPr>
          <w:noProof/>
        </w:rPr>
      </w:pPr>
      <w:r>
        <w:rPr>
          <w:noProof/>
        </w:rPr>
        <w:t>ii)</w:t>
      </w:r>
      <w:r>
        <w:rPr>
          <w:noProof/>
        </w:rPr>
        <w:tab/>
        <w:t xml:space="preserve">επισκέψεις εργασίας στα οικεία κράτη μέλη ή τρίτες χώρες με σκοπό να δοθεί η δυνατότητα στους υπαλλήλους να αποκτήσουν ή να αυξήσουν την εμπειρογνωσία ή τις γνώσεις τους σε σχετικά θέματα· </w:t>
      </w:r>
    </w:p>
    <w:p>
      <w:pPr>
        <w:pStyle w:val="Point2"/>
        <w:rPr>
          <w:noProof/>
        </w:rPr>
      </w:pPr>
      <w:r>
        <w:rPr>
          <w:noProof/>
        </w:rPr>
        <w:t>iii)</w:t>
      </w:r>
      <w:r>
        <w:rPr>
          <w:noProof/>
        </w:rPr>
        <w:tab/>
        <w:t>δράσεις κατάρτισης και ανάπτυξη επιγραμμικών ή άλλου τύπου ενοτήτων κατάρτισης για τη στήριξη των αναγκαίων επαγγελματικών δεξιοτήτων και γνώσεων που αφορούν τις σχετικές μεταρρυθμίσεις·</w:t>
      </w:r>
    </w:p>
    <w:p>
      <w:pPr>
        <w:pStyle w:val="Point1"/>
        <w:rPr>
          <w:noProof/>
        </w:rPr>
      </w:pPr>
      <w:r>
        <w:rPr>
          <w:noProof/>
        </w:rPr>
        <w:t>δ)</w:t>
      </w:r>
      <w:r>
        <w:rPr>
          <w:noProof/>
        </w:rPr>
        <w:tab/>
        <w:t>συλλογή δεδομένων και στατιστικών στοιχείων, ανάπτυξη κοινών μεθοδολογιών και, κατά περίπτωση, δεικτών ή σημείων αναφοράς για συγκριτική αξιολόγηση·</w:t>
      </w:r>
    </w:p>
    <w:p>
      <w:pPr>
        <w:pStyle w:val="Point1"/>
        <w:rPr>
          <w:noProof/>
        </w:rPr>
      </w:pPr>
      <w:r>
        <w:rPr>
          <w:noProof/>
        </w:rPr>
        <w:t>ε)</w:t>
      </w:r>
      <w:r>
        <w:rPr>
          <w:noProof/>
        </w:rPr>
        <w:tab/>
        <w:t>οργάνωση της τοπικής επιχειρησιακής στήριξης σε τομείς όπως το άσυλο, η μετανάστευση και ο έλεγχος των συνόρων·</w:t>
      </w:r>
    </w:p>
    <w:p>
      <w:pPr>
        <w:pStyle w:val="Point1"/>
        <w:rPr>
          <w:noProof/>
        </w:rPr>
      </w:pPr>
      <w:r>
        <w:rPr>
          <w:noProof/>
        </w:rPr>
        <w:t>στ)</w:t>
      </w:r>
      <w:r>
        <w:rPr>
          <w:noProof/>
        </w:rPr>
        <w:tab/>
        <w:t>ανάπτυξη ικανοτήτων τεχνολογίας των πληροφοριών, συμπεριλαμβανομένης της εμπειρογνωσίας σε σχέση με την ανάπτυξη, τη συντήρηση, τη λειτουργία και τον ποιοτικό έλεγχο των υποδομών και των εφαρμογών ΤΠ που απαιτούνται για την εφαρμογή των σχετικών μεταρρυθμίσεων, κυβερνοασφάλεια, καθώς και εμπειρογνωσία σχετικά με προγράμματα προσανατολισμένα στην ψηφιοποίηση των δημοσίων υπηρεσιών·</w:t>
      </w:r>
    </w:p>
    <w:p>
      <w:pPr>
        <w:pStyle w:val="Point1"/>
        <w:rPr>
          <w:noProof/>
        </w:rPr>
      </w:pPr>
      <w:r>
        <w:rPr>
          <w:noProof/>
        </w:rPr>
        <w:t>ζ)</w:t>
      </w:r>
      <w:r>
        <w:rPr>
          <w:noProof/>
        </w:rPr>
        <w:tab/>
        <w:t>μελέτες, έρευνες, αναλύσεις και επισκοπήσεις, αξιολογήσεις και εκτιμήσεις επιπτώσεων, και ανάπτυξη και δημοσίευση οδηγών, εκθέσεων και εκπαιδευτικού υλικού·</w:t>
      </w:r>
    </w:p>
    <w:p>
      <w:pPr>
        <w:pStyle w:val="Point1"/>
        <w:rPr>
          <w:noProof/>
        </w:rPr>
      </w:pPr>
      <w:r>
        <w:rPr>
          <w:noProof/>
        </w:rPr>
        <w:lastRenderedPageBreak/>
        <w:t>η)</w:t>
      </w:r>
      <w:r>
        <w:rPr>
          <w:noProof/>
        </w:rPr>
        <w:tab/>
        <w:t>έργα επικοινωνίας για μάθηση, συμπεριλαμβανομένης της ηλεκτρονικής μάθησης, συνεργασία, ευαισθητοποίηση, δραστηριότητες διάδοσης και ανταλλαγή ορθών πρακτικών· διοργάνωση εκστρατειών ευαισθητοποίησης και ενημέρωσης, εκστρατειών και εκδηλώσεων στα μέσα ενημέρωσης, συμπεριλαμβανομένης της εταιρικής επικοινωνίας και, κατά περίπτωση, της επικοινωνίας μέσω κοινωνικών δικτύων·</w:t>
      </w:r>
    </w:p>
    <w:p>
      <w:pPr>
        <w:pStyle w:val="Point1"/>
        <w:rPr>
          <w:noProof/>
        </w:rPr>
      </w:pPr>
      <w:r>
        <w:rPr>
          <w:noProof/>
        </w:rPr>
        <w:t>θ)</w:t>
      </w:r>
      <w:r>
        <w:rPr>
          <w:noProof/>
        </w:rPr>
        <w:tab/>
        <w:t>κατάρτιση και δημοσίευση υλικού για τη διάδοση πληροφοριών και των αποτελεσμάτων της τεχνικής υποστήριξης που παρέχεται στο πλαίσιο του Μέσου, μεταξύ άλλων μέσα από την ανάπτυξη, τη λειτουργία και τη συντήρηση συστημάτων και εργαλείων που χρησιμοποιούν τεχνολογίες πληροφοριών και επικοινωνιών· και</w:t>
      </w:r>
    </w:p>
    <w:p>
      <w:pPr>
        <w:pStyle w:val="Point1"/>
        <w:rPr>
          <w:noProof/>
        </w:rPr>
      </w:pPr>
      <w:r>
        <w:rPr>
          <w:noProof/>
        </w:rPr>
        <w:t>ι)</w:t>
      </w:r>
      <w:r>
        <w:rPr>
          <w:noProof/>
        </w:rPr>
        <w:tab/>
        <w:t>κάθε άλλη συναφή δραστηριότητα στήριξης των γενικών και ειδικών στόχων που ορίζονται στα άρθρα 3 και 4.</w:t>
      </w:r>
    </w:p>
    <w:p>
      <w:pPr>
        <w:pStyle w:val="Titrearticle"/>
        <w:rPr>
          <w:noProof/>
        </w:rPr>
      </w:pPr>
      <w:r>
        <w:rPr>
          <w:noProof/>
        </w:rPr>
        <w:t xml:space="preserve">Άρθρο 8 </w:t>
      </w:r>
      <w:r>
        <w:rPr>
          <w:noProof/>
        </w:rPr>
        <w:br/>
        <w:t>Αίτημα για τεχνική υποστήριξη</w:t>
      </w:r>
    </w:p>
    <w:p>
      <w:pPr>
        <w:pStyle w:val="ManualNumPar1"/>
        <w:rPr>
          <w:noProof/>
        </w:rPr>
      </w:pPr>
      <w:r>
        <w:t>1.</w:t>
      </w:r>
      <w:r>
        <w:tab/>
      </w:r>
      <w:r>
        <w:rPr>
          <w:noProof/>
        </w:rPr>
        <w:t>Ένα κράτος μέλος που επιθυμεί να λάβει τεχνική υποστήριξη στο πλαίσιο του Μέσου υποβάλλει σχετικό αίτημα στην Επιτροπή, όπου προσδιορίζει τους τομείς πολιτικής και τις προτεραιότητες προς υποστήριξη εντός του πεδίου εφαρμογής του Μέσου, όπως αυτό ορίζεται στο άρθρο 5. Τα αιτήματα αυτά υποβάλλονται έως τις 31 Οκτωβρίου ενός ημερολογιακού έτους. Η Επιτροπή μπορεί να παρέχει κατευθυντήριες γραμμές σχετικά με τα κύρια στοιχεία τα οποία θα πρέπει να περιλαμβάνονται στο αίτημα υποστήριξης.</w:t>
      </w:r>
    </w:p>
    <w:p>
      <w:pPr>
        <w:pStyle w:val="ManualNumPar1"/>
        <w:rPr>
          <w:noProof/>
        </w:rPr>
      </w:pPr>
      <w:r>
        <w:t>2.</w:t>
      </w:r>
      <w:r>
        <w:tab/>
      </w:r>
      <w:r>
        <w:rPr>
          <w:noProof/>
        </w:rPr>
        <w:t>Τα κράτη μέλη μπορούν να υποβάλλουν αίτημα τεχνικής υποστήριξης στις ακόλουθες περιπτώσεις που συνδέονται με:</w:t>
      </w:r>
    </w:p>
    <w:p>
      <w:pPr>
        <w:pStyle w:val="Point1"/>
        <w:rPr>
          <w:noProof/>
        </w:rPr>
      </w:pPr>
      <w:r>
        <w:rPr>
          <w:noProof/>
        </w:rPr>
        <w:t>α)</w:t>
      </w:r>
      <w:r>
        <w:rPr>
          <w:noProof/>
        </w:rPr>
        <w:tab/>
        <w:t>την εφαρμογή μεταρρυθμίσεων από τα κράτη μέλη, τις οποίες αναλαμβάνουν με δική τους πρωτοβουλία, ιδίως για τη στήριξη της ανάκαμψης [σύμφωνα με τον κανονισμό (ΕΕ) ΕΕΕ/XX], την επίτευξη βιώσιμης οικονομικής ανάπτυξης και δημιουργίας θέσεων εργασίας και την ενίσχυση της ανθεκτικότητας·</w:t>
      </w:r>
    </w:p>
    <w:p>
      <w:pPr>
        <w:pStyle w:val="Point1"/>
        <w:rPr>
          <w:noProof/>
        </w:rPr>
      </w:pPr>
      <w:r>
        <w:rPr>
          <w:noProof/>
        </w:rPr>
        <w:t>β)</w:t>
      </w:r>
      <w:r>
        <w:rPr>
          <w:noProof/>
        </w:rPr>
        <w:tab/>
        <w:t>την εφαρμογή προγραμμάτων οικονομικής προσαρμογής για τα κράτη μέλη που λαμβάνουν χρηματοδοτική συνδρομή από την Ένωση βάσει υφιστάμενων μέσων, ιδίως σύμφωνα με τον κανονισμό (ΕΕ) αριθ. 472/2013 του Ευρωπαϊκού Κοινοβουλίου και του Συμβουλίου</w:t>
      </w:r>
      <w:r>
        <w:rPr>
          <w:rStyle w:val="FootnoteReference"/>
          <w:noProof/>
        </w:rPr>
        <w:footnoteReference w:id="25"/>
      </w:r>
      <w:r>
        <w:rPr>
          <w:noProof/>
        </w:rPr>
        <w:t xml:space="preserve"> για τα κράτη μέλη με νόμισμα το ευρώ και με τον κανονισμό (ΕΚ) αριθ. 332/2002 του Συμβουλίου</w:t>
      </w:r>
      <w:r>
        <w:rPr>
          <w:rStyle w:val="FootnoteReference"/>
          <w:noProof/>
        </w:rPr>
        <w:footnoteReference w:id="26"/>
      </w:r>
      <w:r>
        <w:rPr>
          <w:noProof/>
        </w:rPr>
        <w:t xml:space="preserve"> για τα κράτη μέλη που δεν έχουν ως νόμισμα το ευρώ·</w:t>
      </w:r>
    </w:p>
    <w:p>
      <w:pPr>
        <w:pStyle w:val="Point1"/>
        <w:rPr>
          <w:noProof/>
        </w:rPr>
      </w:pPr>
      <w:r>
        <w:rPr>
          <w:noProof/>
        </w:rPr>
        <w:t>γ)</w:t>
      </w:r>
      <w:r>
        <w:rPr>
          <w:noProof/>
        </w:rPr>
        <w:tab/>
        <w:t xml:space="preserve">την εφαρμογή μεταρρυθμίσεων που υποστηρίζουν την ανάπτυξη και ενισχύουν την ανθεκτικότητα στο πλαίσιο διαδικασιών οικονομικής διακυβέρνησης, και ιδίως ειδικών ανά χώρα συστάσεων που εκδίδονται στο πλαίσιο του </w:t>
      </w:r>
      <w:r>
        <w:rPr>
          <w:noProof/>
        </w:rPr>
        <w:lastRenderedPageBreak/>
        <w:t>Ευρωπαϊκού Εξαμήνου ή δράσεων που συνδέονται με την εφαρμογή του ενωσιακού δικαίου·</w:t>
      </w:r>
    </w:p>
    <w:p>
      <w:pPr>
        <w:pStyle w:val="Point1"/>
        <w:rPr>
          <w:noProof/>
        </w:rPr>
      </w:pPr>
      <w:r>
        <w:rPr>
          <w:noProof/>
        </w:rPr>
        <w:t>δ)</w:t>
      </w:r>
      <w:r>
        <w:rPr>
          <w:noProof/>
        </w:rPr>
        <w:tab/>
        <w:t>την κατάρτιση σχεδίων ανάκαμψης και ανθεκτικότητας σύμφωνα με τον κανονισμό (ΕΕ) ΕΕΕ/XX και την εφαρμογή τους, την οποία αναλαμβάνουν τα κράτη μέλη·</w:t>
      </w:r>
    </w:p>
    <w:p>
      <w:pPr>
        <w:pStyle w:val="ManualNumPar1"/>
        <w:rPr>
          <w:noProof/>
        </w:rPr>
      </w:pPr>
      <w:r>
        <w:t>3.</w:t>
      </w:r>
      <w:r>
        <w:tab/>
      </w:r>
      <w:r>
        <w:rPr>
          <w:noProof/>
        </w:rPr>
        <w:t>Λαμβάνοντας υπόψη τις αρχές της διαφάνειας, της ίσης μεταχείρισης και της χρηστής δημοσιονομικής διαχείρισης, και κατόπιν διαλόγου με το αιτούν κράτος μέλος, μεταξύ άλλων στο πλαίσιο του Ευρωπαϊκού Εξαμήνου, η Επιτροπή αναλύει το αίτημα υποστήριξης που αναφέρεται στην παράγραφο 1 με βάση τον επείγοντα χαρακτήρα, το εύρος και το βάθος των προβλημάτων που εντοπίστηκαν, τις ανάγκες υποστήριξης όσον αφορά τους σχετικούς τομείς πολιτικής, την ανάλυση των κοινωνικοοικονομικών δεικτών και την εν γένει διοικητική ικανότητα του κράτους μέλους.</w:t>
      </w:r>
    </w:p>
    <w:p>
      <w:pPr>
        <w:spacing w:before="0" w:after="200"/>
        <w:ind w:left="850"/>
        <w:rPr>
          <w:noProof/>
        </w:rPr>
      </w:pPr>
      <w:r>
        <w:rPr>
          <w:noProof/>
        </w:rPr>
        <w:t xml:space="preserve">Βάσει αυτής της ανάλυσης, και λαμβάνοντας υπόψη τις υφιστάμενες δράσεις και μέτρα που χρηματοδοτούνται από ταμεία της Ένωσης ή άλλα ενωσιακά προγράμματα, η Επιτροπή καταλήγει σε συμφωνία με το οικείο κράτος μέλος όσον αφορά τους τομείς προτεραιότητας προς στήριξη, τους στόχους, ένα ενδεικτικό χρονοδιάγραμμα, το πεδίο εφαρμογής των μέτρων στήριξης που πρόκειται να παρασχεθούν, καθώς και την εκτιμώμενη συνολική χρηματοδοτική συνεισφορά για την εν λόγω στήριξη, η οποία καθορίζεται στο πλαίσιο σχεδίου συνεργασίας και στήριξης. </w:t>
      </w:r>
    </w:p>
    <w:p>
      <w:pPr>
        <w:pStyle w:val="ManualNumPar1"/>
        <w:rPr>
          <w:strike/>
          <w:noProof/>
        </w:rPr>
      </w:pPr>
      <w:r>
        <w:t>4.</w:t>
      </w:r>
      <w:r>
        <w:tab/>
      </w:r>
      <w:r>
        <w:rPr>
          <w:noProof/>
        </w:rPr>
        <w:t>Το σχέδιο συνεργασίας και στήριξης που αναφέρεται στην παράγραφο 3 προσδιορίζει, χωριστά από άλλη τεχνική υποστήριξη, τα μέτρα που συνδέονται με τα σχέδια ανάκαμψης και ανθεκτικότητας για τα κράτη μέλη σύμφωνα με τον κανονισμό (ΕΕ) ΕΕΕ/XX.</w:t>
      </w:r>
    </w:p>
    <w:p>
      <w:pPr>
        <w:pStyle w:val="Titrearticle"/>
        <w:rPr>
          <w:noProof/>
        </w:rPr>
      </w:pPr>
      <w:r>
        <w:rPr>
          <w:noProof/>
        </w:rPr>
        <w:t xml:space="preserve">Άρθρο 9 </w:t>
      </w:r>
      <w:r>
        <w:rPr>
          <w:noProof/>
        </w:rPr>
        <w:br/>
        <w:t>Παροχή πληροφοριών στο Ευρωπαϊκό Κοινοβούλιο και στο Συμβούλιο και επικοινωνία σχετικά με τα σχέδια συνεργασίας και στήριξης.</w:t>
      </w:r>
    </w:p>
    <w:p>
      <w:pPr>
        <w:pStyle w:val="ManualNumPar1"/>
        <w:rPr>
          <w:noProof/>
        </w:rPr>
      </w:pPr>
      <w:r>
        <w:t>1.</w:t>
      </w:r>
      <w:r>
        <w:tab/>
      </w:r>
      <w:r>
        <w:rPr>
          <w:noProof/>
        </w:rPr>
        <w:t xml:space="preserve">Η Επιτροπή, με τη συγκατάθεση του οικείου κράτους μέλους, διαβιβάζει χωρίς αδικαιολόγητη καθυστέρηση στο Ευρωπαϊκό Κοινοβούλιο και στο Συμβούλιο το σχέδιο συνεργασίας και στήριξης. Το οικείο κράτος μέλος μπορεί να αρνηθεί να δώσει τη συγκατάθεσή του σε περίπτωση ευαίσθητων ή εμπιστευτικών πληροφοριών, η δημοσιοποίηση των οποίων θα έθετε σε κίνδυνο τα δημόσια συμφέροντά του. </w:t>
      </w:r>
    </w:p>
    <w:p>
      <w:pPr>
        <w:pStyle w:val="ManualNumPar1"/>
        <w:rPr>
          <w:noProof/>
        </w:rPr>
      </w:pPr>
      <w:r>
        <w:t>2.</w:t>
      </w:r>
      <w:r>
        <w:tab/>
      </w:r>
      <w:r>
        <w:rPr>
          <w:noProof/>
        </w:rPr>
        <w:t xml:space="preserve">Παρά τις διατάξεις της παραγράφου 1, η Επιτροπή διαβιβάζει στο Ευρωπαϊκό Κοινοβούλιο και το Συμβούλιο το σχέδιο συνεργασίας και στήριξης στις ακόλουθες περιπτώσεις: </w:t>
      </w:r>
    </w:p>
    <w:p>
      <w:pPr>
        <w:pStyle w:val="Point1"/>
        <w:rPr>
          <w:noProof/>
        </w:rPr>
      </w:pPr>
      <w:r>
        <w:rPr>
          <w:noProof/>
        </w:rPr>
        <w:t>α)</w:t>
      </w:r>
      <w:r>
        <w:rPr>
          <w:noProof/>
        </w:rPr>
        <w:tab/>
        <w:t>αμέσως μόλις το οικείο κράτος μέλος διαγράψει όλες τις ευαίσθητες ή εμπιστευτικές πληροφορίες, η δημοσιοποίηση των οποίων θα έθετε σε κίνδυνο τα δημόσια συμφέροντά του·</w:t>
      </w:r>
    </w:p>
    <w:p>
      <w:pPr>
        <w:pStyle w:val="Point1"/>
        <w:rPr>
          <w:noProof/>
        </w:rPr>
      </w:pPr>
      <w:r>
        <w:rPr>
          <w:noProof/>
        </w:rPr>
        <w:t>β)</w:t>
      </w:r>
      <w:r>
        <w:rPr>
          <w:noProof/>
        </w:rPr>
        <w:tab/>
        <w:t>μετά από εύλογο χρονικό διάστημα, όταν η δημοσιοποίηση των σχετικών πληροφοριών δεν θα επηρεάσει δυσμενώς την εφαρμογή των μέτρων στήριξης και, σε κάθε περίπτωση, το αργότερο δύο μήνες μετά τη λήψη των εν λόγω μέτρων βάσει του σχεδίου συνεργασίας και στήριξης.</w:t>
      </w:r>
    </w:p>
    <w:p>
      <w:pPr>
        <w:pStyle w:val="ManualNumPar1"/>
        <w:rPr>
          <w:noProof/>
        </w:rPr>
      </w:pPr>
      <w:r>
        <w:lastRenderedPageBreak/>
        <w:t>3.</w:t>
      </w:r>
      <w:r>
        <w:tab/>
      </w:r>
      <w:r>
        <w:rPr>
          <w:noProof/>
        </w:rPr>
        <w:t>Η Επιτροπή μπορεί να αναλάβει δραστηριότητες επικοινωνίας ώστε να διασφαλίσει την προβολή της ενωσιακής χρηματοδότησης για τα μέτρα στήριξης που προβλέπονται στα σχέδια συνεργασίας και στήριξης, μεταξύ άλλων μέσω κοινών δραστηριοτήτων επικοινωνίας με τις οικείες εθνικές αρχές.</w:t>
      </w:r>
    </w:p>
    <w:p>
      <w:pPr>
        <w:pStyle w:val="Titrearticle"/>
        <w:rPr>
          <w:noProof/>
        </w:rPr>
      </w:pPr>
      <w:r>
        <w:rPr>
          <w:noProof/>
        </w:rPr>
        <w:t xml:space="preserve">Άρθρο 10 </w:t>
      </w:r>
      <w:r>
        <w:rPr>
          <w:noProof/>
        </w:rPr>
        <w:br/>
        <w:t>Μεταφορές πόρων στο Μέσο</w:t>
      </w:r>
    </w:p>
    <w:p>
      <w:pPr>
        <w:pStyle w:val="ManualNumPar1"/>
        <w:rPr>
          <w:noProof/>
        </w:rPr>
      </w:pPr>
      <w:r>
        <w:t>1.</w:t>
      </w:r>
      <w:r>
        <w:tab/>
      </w:r>
      <w:r>
        <w:rPr>
          <w:noProof/>
        </w:rPr>
        <w:t>Εκτός από το χρηματοδοτικό κονδύλιο που καθορίζεται στο άρθρο 6 παράγραφος 1, ο προϋπολογισμός τεχνικής υποστήριξης μπορεί να χρηματοδοτείται με εθελοντικές μεταφορές από τα κράτη μέλη, οι οποίες πραγματοποιούνται σύμφωνα με το άρθρο 21 του κανονισμού [διάδοχος του ΚΚΔ] και σύμφωνα με τη διαδικασία που προβλέπεται στο εν λόγω άρθρο, όπως αναφέρεται στο άρθρο 6 παράγραφος 3 του παρόντος κανονισμού.</w:t>
      </w:r>
    </w:p>
    <w:p>
      <w:pPr>
        <w:pStyle w:val="ManualNumPar1"/>
        <w:rPr>
          <w:noProof/>
        </w:rPr>
      </w:pPr>
      <w:r>
        <w:t>2.</w:t>
      </w:r>
      <w:r>
        <w:tab/>
      </w:r>
      <w:r>
        <w:rPr>
          <w:noProof/>
        </w:rPr>
        <w:t>Μεταφορά που πραγματοποιείται από κράτος μέλος σύμφωνα με την παράγραφο 1, χρησιμοποιείται αποκλειστικά στο εν λόγω κράτος μέλος.</w:t>
      </w:r>
    </w:p>
    <w:p>
      <w:pPr>
        <w:pStyle w:val="Titrearticle"/>
        <w:rPr>
          <w:noProof/>
        </w:rPr>
      </w:pPr>
      <w:r>
        <w:rPr>
          <w:noProof/>
        </w:rPr>
        <w:t xml:space="preserve">Άρθρο 11 </w:t>
      </w:r>
      <w:r>
        <w:rPr>
          <w:noProof/>
        </w:rPr>
        <w:br/>
        <w:t>Συμπληρωματική χρηματοδότηση</w:t>
      </w:r>
    </w:p>
    <w:p>
      <w:pPr>
        <w:rPr>
          <w:noProof/>
        </w:rPr>
      </w:pPr>
      <w:r>
        <w:rPr>
          <w:noProof/>
        </w:rPr>
        <w:t>Οι δράσεις που χρηματοδοτούνται δυνάμει του Μέσου μπορούν να λάβουν στήριξη από άλλα ενωσιακά προγράμματα, μέσα ή ταμεία στο πλαίσιο του προϋπολογισμού της Ένωσης, υπό την προϋπόθεση ότι η στήριξη αυτή δεν καλύπτει τις ίδιες δαπάνες.</w:t>
      </w:r>
    </w:p>
    <w:p>
      <w:pPr>
        <w:pStyle w:val="Titrearticle"/>
        <w:rPr>
          <w:noProof/>
        </w:rPr>
      </w:pPr>
      <w:r>
        <w:rPr>
          <w:noProof/>
        </w:rPr>
        <w:t xml:space="preserve">Άρθρο 12 </w:t>
      </w:r>
      <w:r>
        <w:rPr>
          <w:noProof/>
        </w:rPr>
        <w:br/>
        <w:t>Εφαρμογή της τεχνικής υποστήριξης</w:t>
      </w:r>
    </w:p>
    <w:p>
      <w:pPr>
        <w:pStyle w:val="ManualNumPar1"/>
        <w:rPr>
          <w:noProof/>
        </w:rPr>
      </w:pPr>
      <w:r>
        <w:t>1.</w:t>
      </w:r>
      <w:r>
        <w:tab/>
      </w:r>
      <w:r>
        <w:rPr>
          <w:noProof/>
        </w:rPr>
        <w:t xml:space="preserve">Η Επιτροπή υλοποιεί το Μέσο σύμφωνα με τον δημοσιονομικό κανονισμό. </w:t>
      </w:r>
    </w:p>
    <w:p>
      <w:pPr>
        <w:pStyle w:val="ManualNumPar1"/>
        <w:rPr>
          <w:noProof/>
        </w:rPr>
      </w:pPr>
      <w:r>
        <w:t>2.</w:t>
      </w:r>
      <w:r>
        <w:tab/>
      </w:r>
      <w:r>
        <w:rPr>
          <w:noProof/>
        </w:rPr>
        <w:t>Τα μέτρα που λαμβάνονται στο πλαίσιο του Μέσου μπορούν να εφαρμόζονται είτε άμεσα από την Επιτροπή είτε, έμμεσα, από οντότητες και πρόσωπα εκτός των κρατών μελών, σύμφωνα με το άρθρο XX του δημοσιονομικού κανονισμού. Ειδικότερα, η ενωσιακή στήριξη για δράσεις δυνάμει του άρθρου 7 λαμβάνει τις ακόλουθες μορφές:</w:t>
      </w:r>
    </w:p>
    <w:p>
      <w:pPr>
        <w:pStyle w:val="Point1"/>
        <w:rPr>
          <w:noProof/>
        </w:rPr>
      </w:pPr>
      <w:r>
        <w:rPr>
          <w:noProof/>
        </w:rPr>
        <w:t>α)</w:t>
      </w:r>
      <w:r>
        <w:rPr>
          <w:noProof/>
        </w:rPr>
        <w:tab/>
        <w:t>επιχορηγήσεις·</w:t>
      </w:r>
    </w:p>
    <w:p>
      <w:pPr>
        <w:pStyle w:val="Point1"/>
        <w:rPr>
          <w:noProof/>
        </w:rPr>
      </w:pPr>
      <w:r>
        <w:rPr>
          <w:noProof/>
        </w:rPr>
        <w:t>β)</w:t>
      </w:r>
      <w:r>
        <w:rPr>
          <w:noProof/>
        </w:rPr>
        <w:tab/>
        <w:t>δημόσιες συμβάσεις·</w:t>
      </w:r>
    </w:p>
    <w:p>
      <w:pPr>
        <w:pStyle w:val="Point1"/>
        <w:rPr>
          <w:noProof/>
        </w:rPr>
      </w:pPr>
      <w:r>
        <w:rPr>
          <w:noProof/>
        </w:rPr>
        <w:t>γ)</w:t>
      </w:r>
      <w:r>
        <w:rPr>
          <w:noProof/>
        </w:rPr>
        <w:tab/>
        <w:t>επιστροφή δαπανών που πραγματοποιήθηκαν από εξωτερικούς εμπειρογνώμονες, συμπεριλαμβανομένων εμπειρογνωμόνων από τις εθνικές, περιφερειακές ή τοπικές αρχές των κρατών μελών που παρέχουν ή λαμβάνουν στήριξη·</w:t>
      </w:r>
    </w:p>
    <w:p>
      <w:pPr>
        <w:pStyle w:val="Point1"/>
        <w:rPr>
          <w:noProof/>
        </w:rPr>
      </w:pPr>
      <w:r>
        <w:rPr>
          <w:noProof/>
        </w:rPr>
        <w:t>δ)</w:t>
      </w:r>
      <w:r>
        <w:rPr>
          <w:noProof/>
        </w:rPr>
        <w:tab/>
        <w:t>συνεισφορές σε καταπιστευματικά ταμεία που έχουν συσταθεί από διεθνείς οργανισμούς· και</w:t>
      </w:r>
    </w:p>
    <w:p>
      <w:pPr>
        <w:pStyle w:val="Point1"/>
        <w:rPr>
          <w:noProof/>
        </w:rPr>
      </w:pPr>
      <w:r>
        <w:rPr>
          <w:noProof/>
        </w:rPr>
        <w:t>ε)</w:t>
      </w:r>
      <w:r>
        <w:rPr>
          <w:noProof/>
        </w:rPr>
        <w:tab/>
        <w:t>δράσεις που υλοποιούνται μέσω έμμεσης διαχείρισης.</w:t>
      </w:r>
    </w:p>
    <w:p>
      <w:pPr>
        <w:pStyle w:val="ManualNumPar1"/>
        <w:rPr>
          <w:noProof/>
        </w:rPr>
      </w:pPr>
      <w:r>
        <w:t>3.</w:t>
      </w:r>
      <w:r>
        <w:tab/>
      </w:r>
      <w:r>
        <w:rPr>
          <w:noProof/>
        </w:rPr>
        <w:t>Οι επιχορηγήσεις μπορούν να χορηγούνται στις εθνικές αρχές των κρατών μελών, στον όμιλο της Ευρωπαϊκής Τράπεζας Επενδύσεων, σε διεθνείς οργανισμούς, δημόσιους ή ιδιωτικούς φορείς και οντότητες που έχουν συσταθεί νομίμως:</w:t>
      </w:r>
    </w:p>
    <w:p>
      <w:pPr>
        <w:pStyle w:val="Point1"/>
        <w:rPr>
          <w:noProof/>
        </w:rPr>
      </w:pPr>
      <w:r>
        <w:rPr>
          <w:noProof/>
        </w:rPr>
        <w:t>α)</w:t>
      </w:r>
      <w:r>
        <w:rPr>
          <w:noProof/>
        </w:rPr>
        <w:tab/>
        <w:t>σε κράτη μέλη·</w:t>
      </w:r>
    </w:p>
    <w:p>
      <w:pPr>
        <w:pStyle w:val="Point1"/>
        <w:rPr>
          <w:noProof/>
        </w:rPr>
      </w:pPr>
      <w:r>
        <w:rPr>
          <w:noProof/>
        </w:rPr>
        <w:lastRenderedPageBreak/>
        <w:t>β)</w:t>
      </w:r>
      <w:r>
        <w:rPr>
          <w:noProof/>
        </w:rPr>
        <w:tab/>
        <w:t>σε χώρες της Ευρωπαϊκής Ζώνης Ελεύθερων Συναλλαγών που είναι συμβαλλόμενα μέρη στη συμφωνία για τον Ευρωπαϊκό Οικονομικό Χώρο, σύμφωνα με τους όρους που καθορίζονται σ’ αυτήν.</w:t>
      </w:r>
    </w:p>
    <w:p>
      <w:pPr>
        <w:spacing w:before="0" w:after="200"/>
        <w:ind w:left="130" w:firstLine="720"/>
        <w:rPr>
          <w:noProof/>
        </w:rPr>
      </w:pPr>
      <w:r>
        <w:rPr>
          <w:noProof/>
        </w:rPr>
        <w:t>Το ποσοστό συγχρηματοδότησης για τις επιχορηγήσεις ανέρχεται στο 100 % των επιλέξιμων δαπανών.</w:t>
      </w:r>
    </w:p>
    <w:p>
      <w:pPr>
        <w:pStyle w:val="ManualNumPar1"/>
        <w:rPr>
          <w:noProof/>
        </w:rPr>
      </w:pPr>
      <w:r>
        <w:t>4.</w:t>
      </w:r>
      <w:r>
        <w:tab/>
      </w:r>
      <w:r>
        <w:rPr>
          <w:noProof/>
        </w:rPr>
        <w:t>Τα μέτρα τεχνικής υποστήριξης μπορούν να εφαρμόζονται σε συνεργασία με οντότητες άλλων κρατών μελών και διεθνείς οργανισμούς.</w:t>
      </w:r>
    </w:p>
    <w:p>
      <w:pPr>
        <w:pStyle w:val="ManualNumPar1"/>
        <w:rPr>
          <w:noProof/>
        </w:rPr>
      </w:pPr>
      <w:r>
        <w:t>5.</w:t>
      </w:r>
      <w:r>
        <w:tab/>
      </w:r>
      <w:r>
        <w:rPr>
          <w:noProof/>
        </w:rPr>
        <w:t xml:space="preserve">Η τεχνική υποστήριξη μπορεί επίσης να παρέχεται από μεμονωμένους εμπειρογνώμονες, οι οποίοι μπορεί να κληθούν να συνεισφέρουν σε επιλεγμένες δραστηριότητες που διοργανώνονται όποτε είναι αναγκαίο για την επίτευξη των ειδικών στόχων που ορίζονται στο άρθρο 4. </w:t>
      </w:r>
    </w:p>
    <w:p>
      <w:pPr>
        <w:pStyle w:val="ManualNumPar1"/>
        <w:rPr>
          <w:noProof/>
        </w:rPr>
      </w:pPr>
      <w:r>
        <w:t>6.</w:t>
      </w:r>
      <w:r>
        <w:tab/>
      </w:r>
      <w:r>
        <w:rPr>
          <w:noProof/>
        </w:rPr>
        <w:t>Η Επιτροπή, για να εφαρμόσει την τεχνική υποστήριξη, εγκρίνει προγράμματα εργασίας μέσω εκτελεστικών πράξεων και ενημερώνει σχετικά το Ευρωπαϊκό Κοινοβούλιο και το Συμβούλιο.</w:t>
      </w:r>
    </w:p>
    <w:p>
      <w:pPr>
        <w:spacing w:before="0" w:after="200"/>
        <w:ind w:left="850"/>
        <w:rPr>
          <w:noProof/>
        </w:rPr>
      </w:pPr>
      <w:r>
        <w:rPr>
          <w:noProof/>
        </w:rPr>
        <w:t>Τα προγράμματα εργασίας ορίζουν την κατανομή για το Μέσο. Επιπλέον, καθορίζουν τα μέτρα που απαιτούνται για την εφαρμογή τους, σύμφωνα με τους γενικούς και ειδικούς στόχους που αναφέρονται στα άρθρα 3 και 4, τα κριτήρια επιλογής και χορήγησης των επιχορηγήσεων και όλα τα στοιχεία που απαιτούνται από τον δημοσιονομικό κανονισμό.</w:t>
      </w:r>
    </w:p>
    <w:p>
      <w:pPr>
        <w:pStyle w:val="ManualNumPar1"/>
        <w:rPr>
          <w:noProof/>
        </w:rPr>
      </w:pPr>
      <w:r>
        <w:t>7.</w:t>
      </w:r>
      <w:r>
        <w:tab/>
      </w:r>
      <w:r>
        <w:rPr>
          <w:noProof/>
        </w:rPr>
        <w:t xml:space="preserve">Για να διασφαλιστεί η έγκαιρη διάθεση των πόρων, ένα περιορισμένο μέρος του προγράμματος εργασίας προορίζεται για ειδικά μέτρα σε περίπτωση απρόβλεπτων και δεόντως αιτιολογημένων λόγων επείγουσας ανάγκης που απαιτούν άμεση ανταπόκριση, συμπεριλαμβανομένης σοβαρής διαταραχής της οικονομίας ή σημαντικών περιστάσεων που επηρεάζουν σοβαρά τις οικονομικές ή κοινωνικές συνθήκες σ᾽ ένα κράτος μέλος και οι οποίες διαφεύγουν του ελέγχου του. </w:t>
      </w:r>
    </w:p>
    <w:p>
      <w:pPr>
        <w:spacing w:before="0" w:after="360"/>
        <w:ind w:left="851"/>
        <w:rPr>
          <w:noProof/>
        </w:rPr>
      </w:pPr>
      <w:r>
        <w:rPr>
          <w:noProof/>
        </w:rPr>
        <w:t>Η Επιτροπή μπορεί, κατόπιν αιτήματος κράτους μέλους που επιθυμεί να λάβει τεχνική υποστήριξη, να θεσπίζει ειδικά μέτρα σύμφωνα με τους στόχους και τις δράσεις που ορίζονται στο Μέσο με στόχο την παροχή τεχνικής υποστήριξης στις εθνικές αρχές για την αντιμετώπιση επειγουσών αναγκών. Αυτά τα ειδικά μέτρα έχουν προσωρινό χαρακτήρα και συνδέονται με τις περιπτώσεις που καθορίζονται στο άρθρο 8 παράγραφος 2. Τα ειδικά μέτρα λήγουν εντός έξι μηνών και μπορούν να αντικατασταθούν από μέτρα τεχνικής υποστήριξης σύμφωνα με τους όρους που προβλέπονται στο άρθρο 8.</w:t>
      </w:r>
    </w:p>
    <w:p>
      <w:pPr>
        <w:rPr>
          <w:noProof/>
        </w:rPr>
      </w:pPr>
    </w:p>
    <w:p>
      <w:pPr>
        <w:pStyle w:val="ChapterTitle"/>
        <w:rPr>
          <w:noProof/>
        </w:rPr>
      </w:pPr>
      <w:r>
        <w:rPr>
          <w:noProof/>
        </w:rPr>
        <w:t xml:space="preserve">ΚΕΦΑΛΑΙΟ III </w:t>
      </w:r>
    </w:p>
    <w:p>
      <w:pPr>
        <w:pStyle w:val="ChapterTitle"/>
        <w:rPr>
          <w:noProof/>
        </w:rPr>
      </w:pPr>
      <w:r>
        <w:rPr>
          <w:noProof/>
        </w:rPr>
        <w:t>Συμπληρωματικότητα, παρακολούθηση και αξιολόγηση</w:t>
      </w:r>
    </w:p>
    <w:p>
      <w:pPr>
        <w:pStyle w:val="Titrearticle"/>
        <w:rPr>
          <w:noProof/>
        </w:rPr>
      </w:pPr>
      <w:r>
        <w:rPr>
          <w:noProof/>
        </w:rPr>
        <w:t xml:space="preserve">Άρθρο 13 </w:t>
      </w:r>
      <w:r>
        <w:rPr>
          <w:noProof/>
        </w:rPr>
        <w:br/>
        <w:t>Συντονισμός και συμπληρωματικότητα</w:t>
      </w:r>
    </w:p>
    <w:p>
      <w:pPr>
        <w:pStyle w:val="ManualNumPar1"/>
        <w:rPr>
          <w:noProof/>
        </w:rPr>
      </w:pPr>
      <w:r>
        <w:t>1.</w:t>
      </w:r>
      <w:r>
        <w:tab/>
      </w:r>
      <w:r>
        <w:rPr>
          <w:noProof/>
        </w:rPr>
        <w:t xml:space="preserve">Η Επιτροπή και τα οικεία κράτη μέλη, κατ’ αναλογία προς τις αντίστοιχες αρμοδιότητές τους, προωθούν συνέργειες και διασφαλίζουν τον αποτελεσματικό συντονισμό μεταξύ του Μέσου Τεχνικής Υποστήριξης και άλλων προγραμμάτων και </w:t>
      </w:r>
      <w:r>
        <w:rPr>
          <w:noProof/>
        </w:rPr>
        <w:lastRenderedPageBreak/>
        <w:t>μέσων της Ένωσης, και ιδίως με μέτρα που χρηματοδοτούνται από τα ταμεία της Ένωσης. Για τον σκοπό αυτό:</w:t>
      </w:r>
    </w:p>
    <w:p>
      <w:pPr>
        <w:pStyle w:val="Point1"/>
        <w:rPr>
          <w:noProof/>
        </w:rPr>
      </w:pPr>
      <w:r>
        <w:rPr>
          <w:noProof/>
        </w:rPr>
        <w:t>α)</w:t>
      </w:r>
      <w:r>
        <w:rPr>
          <w:noProof/>
        </w:rPr>
        <w:tab/>
        <w:t>εξασφαλίζουν τη συμπληρωματικότητα, τη συνέργεια, τη συνοχή και τη συνέπεια μεταξύ των διαφόρων μέσων σε ενωσιακό, εθνικό και, κατά περίπτωση, περιφερειακό επίπεδο, ιδίως όσον αφορά τα μέτρα που χρηματοδοτούνται από ταμεία της Ένωσης, τόσο κατά το στάδιο του σχεδιασμού όσο και κατά την υλοποίηση·</w:t>
      </w:r>
    </w:p>
    <w:p>
      <w:pPr>
        <w:pStyle w:val="Point1"/>
        <w:rPr>
          <w:noProof/>
        </w:rPr>
      </w:pPr>
      <w:r>
        <w:rPr>
          <w:noProof/>
        </w:rPr>
        <w:t>β)</w:t>
      </w:r>
      <w:r>
        <w:rPr>
          <w:noProof/>
        </w:rPr>
        <w:tab/>
        <w:t>βελτιστοποιούν τους μηχανισμούς συντονισμού ώστε να αποφεύγεται η αλληλεπικάλυψη των προσπαθειών· και</w:t>
      </w:r>
    </w:p>
    <w:p>
      <w:pPr>
        <w:pStyle w:val="Point1"/>
        <w:rPr>
          <w:noProof/>
        </w:rPr>
      </w:pPr>
      <w:r>
        <w:rPr>
          <w:noProof/>
        </w:rPr>
        <w:t>γ)</w:t>
      </w:r>
      <w:r>
        <w:rPr>
          <w:noProof/>
        </w:rPr>
        <w:tab/>
        <w:t>διασφαλίζουν τη στενή συνεργασία μεταξύ των αρμοδίων για την εφαρμογή σε ενωσιακό, εθνικό και, κατά περίπτωση, περιφερειακό επίπεδο, ώστε να εξασφαλίζονται συνεκτικές και απλουστευμένες δράσεις στήριξης στο πλαίσιο του Μέσου.</w:t>
      </w:r>
    </w:p>
    <w:p>
      <w:pPr>
        <w:pStyle w:val="ManualNumPar1"/>
        <w:rPr>
          <w:noProof/>
        </w:rPr>
      </w:pPr>
      <w:r>
        <w:t>2.</w:t>
      </w:r>
      <w:r>
        <w:tab/>
      </w:r>
      <w:r>
        <w:rPr>
          <w:noProof/>
        </w:rPr>
        <w:t>Η Επιτροπή καταβάλλει κάθε δυνατή προσπάθεια ώστε να διασφαλίζει συμπληρωματικότητα και συνέργειες με την υποστήριξη που παρέχεται από άλλους σχετικούς διεθνείς οργανισμούς.</w:t>
      </w:r>
    </w:p>
    <w:p>
      <w:pPr>
        <w:pStyle w:val="Titrearticle"/>
        <w:rPr>
          <w:noProof/>
        </w:rPr>
      </w:pPr>
      <w:r>
        <w:rPr>
          <w:noProof/>
        </w:rPr>
        <w:t xml:space="preserve">Άρθρο 14 </w:t>
      </w:r>
      <w:r>
        <w:rPr>
          <w:noProof/>
        </w:rPr>
        <w:br/>
        <w:t>Παρακολούθηση της υλοποίησης</w:t>
      </w:r>
    </w:p>
    <w:p>
      <w:pPr>
        <w:pStyle w:val="ManualNumPar1"/>
        <w:rPr>
          <w:noProof/>
        </w:rPr>
      </w:pPr>
      <w:r>
        <w:t>1.</w:t>
      </w:r>
      <w:r>
        <w:tab/>
      </w:r>
      <w:r>
        <w:rPr>
          <w:noProof/>
        </w:rPr>
        <w:t xml:space="preserve">Η Επιτροπή παρακολουθεί την υλοποίηση του Μέσου και μετρά τον βαθμό επίτευξης των γενικών και ειδικών στόχων που ορίζονται στα άρθρα 3 και 4. Οι δείκτες που χρησιμοποιούνται για την υποβολή εκθέσεων προόδου και για τον σκοπό της παρακολούθησης και αξιολόγησης του παρόντος κανονισμού ως προς την επίτευξη των γενικών και ειδικών στόχων ορίζονται στο παράρτημα. Η παρακολούθηση της εφαρμογής είναι στοχοθετημένη προς τις δραστηριότητες που υλοποιούνται στο πλαίσιο του Μέσου και είναι ανάλογη με αυτές. </w:t>
      </w:r>
    </w:p>
    <w:p>
      <w:pPr>
        <w:pStyle w:val="ManualNumPar1"/>
        <w:rPr>
          <w:noProof/>
        </w:rPr>
      </w:pPr>
      <w:r>
        <w:t>2.</w:t>
      </w:r>
      <w:r>
        <w:tab/>
      </w:r>
      <w:r>
        <w:rPr>
          <w:noProof/>
        </w:rPr>
        <w:t>Το σύστημα υποβολής εκθέσεων για τις επιδόσεις εξασφαλίζει ότι τα στοιχεία για την παρακολούθηση της υλοποίησης του Μέσου και των αποτελεσμάτων συλλέγονται κατά τρόπο αποδοτικό, αποτελεσματικό και έγκαιρο. Γι’ αυτόν τον σκοπό, επιβάλλονται αναλογικές απαιτήσεις υποβολής εκθέσεων στους αποδέκτες της ενωσιακής χρηματοδότησης.</w:t>
      </w:r>
    </w:p>
    <w:p>
      <w:pPr>
        <w:pStyle w:val="Titrearticle"/>
        <w:rPr>
          <w:noProof/>
        </w:rPr>
      </w:pPr>
      <w:r>
        <w:rPr>
          <w:noProof/>
        </w:rPr>
        <w:t xml:space="preserve">Άρθρο 15 </w:t>
      </w:r>
      <w:r>
        <w:rPr>
          <w:noProof/>
        </w:rPr>
        <w:br/>
        <w:t>Ετήσια έκθεση</w:t>
      </w:r>
    </w:p>
    <w:p>
      <w:pPr>
        <w:pStyle w:val="ManualNumPar1"/>
        <w:rPr>
          <w:noProof/>
        </w:rPr>
      </w:pPr>
      <w:r>
        <w:t>1.</w:t>
      </w:r>
      <w:r>
        <w:tab/>
      </w:r>
      <w:r>
        <w:rPr>
          <w:noProof/>
        </w:rPr>
        <w:t xml:space="preserve">Η Επιτροπή υποβάλλει ετήσια έκθεση στο Ευρωπαϊκό Κοινοβούλιο και στο Συμβούλιο σχετικά με την εφαρμογή του παρόντος κανονισμού. </w:t>
      </w:r>
    </w:p>
    <w:p>
      <w:pPr>
        <w:pStyle w:val="ManualNumPar1"/>
        <w:rPr>
          <w:noProof/>
        </w:rPr>
      </w:pPr>
      <w:r>
        <w:t>2.</w:t>
      </w:r>
      <w:r>
        <w:tab/>
      </w:r>
      <w:r>
        <w:rPr>
          <w:noProof/>
        </w:rPr>
        <w:t>Η ετήσια έκθεση περιλαμβάνει πληροφορίες σχετικά με:</w:t>
      </w:r>
    </w:p>
    <w:p>
      <w:pPr>
        <w:pStyle w:val="Point1"/>
        <w:rPr>
          <w:noProof/>
        </w:rPr>
      </w:pPr>
      <w:r>
        <w:rPr>
          <w:noProof/>
        </w:rPr>
        <w:t>α)</w:t>
      </w:r>
      <w:r>
        <w:rPr>
          <w:noProof/>
        </w:rPr>
        <w:tab/>
        <w:t>τα αιτήματα υποστήριξης που υποβάλλονται από τα κράτη μέλη σύμφωνα με το άρθρο 8 παράγραφος 1·</w:t>
      </w:r>
    </w:p>
    <w:p>
      <w:pPr>
        <w:pStyle w:val="Point1"/>
        <w:rPr>
          <w:noProof/>
        </w:rPr>
      </w:pPr>
      <w:r>
        <w:rPr>
          <w:noProof/>
        </w:rPr>
        <w:t>β)</w:t>
      </w:r>
      <w:r>
        <w:rPr>
          <w:noProof/>
        </w:rPr>
        <w:tab/>
        <w:t>την ανάλυση της εφαρμογής των κριτηρίων που αναφέρονται στο άρθρο 8 παράγραφος 2, τα οποία χρησιμοποιούνται για την ανάλυση των αιτημάτων υποστήριξης που υποβάλλονται από τα κράτη μέλη·</w:t>
      </w:r>
    </w:p>
    <w:p>
      <w:pPr>
        <w:pStyle w:val="Point1"/>
        <w:rPr>
          <w:noProof/>
        </w:rPr>
      </w:pPr>
      <w:r>
        <w:rPr>
          <w:noProof/>
        </w:rPr>
        <w:t>γ)</w:t>
      </w:r>
      <w:r>
        <w:rPr>
          <w:noProof/>
        </w:rPr>
        <w:tab/>
        <w:t xml:space="preserve">τα σχέδια συνεργασίας και στήριξης που αναφέρονται στο άρθρο 8 παράγραφος 3· </w:t>
      </w:r>
    </w:p>
    <w:p>
      <w:pPr>
        <w:pStyle w:val="Point1"/>
        <w:rPr>
          <w:noProof/>
        </w:rPr>
      </w:pPr>
      <w:r>
        <w:rPr>
          <w:noProof/>
        </w:rPr>
        <w:t>δ)</w:t>
      </w:r>
      <w:r>
        <w:rPr>
          <w:noProof/>
        </w:rPr>
        <w:tab/>
        <w:t>τα ειδικά μέτρα που θεσπίζονται σύμφωνα με το άρθρο 12 παράγραφος 7· και</w:t>
      </w:r>
    </w:p>
    <w:p>
      <w:pPr>
        <w:pStyle w:val="Point1"/>
        <w:rPr>
          <w:noProof/>
        </w:rPr>
      </w:pPr>
      <w:r>
        <w:rPr>
          <w:noProof/>
        </w:rPr>
        <w:lastRenderedPageBreak/>
        <w:t>ε)</w:t>
      </w:r>
      <w:r>
        <w:rPr>
          <w:noProof/>
        </w:rPr>
        <w:tab/>
        <w:t>την εφαρμογή των μέτρων στήριξης.</w:t>
      </w:r>
      <w:r>
        <w:rPr>
          <w:strike/>
          <w:noProof/>
        </w:rPr>
        <w:t xml:space="preserve"> </w:t>
      </w:r>
    </w:p>
    <w:p>
      <w:pPr>
        <w:pStyle w:val="Titrearticle"/>
        <w:rPr>
          <w:noProof/>
        </w:rPr>
      </w:pPr>
      <w:r>
        <w:rPr>
          <w:noProof/>
        </w:rPr>
        <w:t xml:space="preserve">Άρθρο 16 </w:t>
      </w:r>
      <w:r>
        <w:rPr>
          <w:noProof/>
        </w:rPr>
        <w:br/>
        <w:t>Ενδιάμεση και εκ των υστέρων αξιολόγηση</w:t>
      </w:r>
    </w:p>
    <w:p>
      <w:pPr>
        <w:pStyle w:val="ManualNumPar1"/>
        <w:rPr>
          <w:noProof/>
        </w:rPr>
      </w:pPr>
      <w:r>
        <w:t>1.</w:t>
      </w:r>
      <w:r>
        <w:tab/>
      </w:r>
      <w:r>
        <w:rPr>
          <w:noProof/>
        </w:rPr>
        <w:t xml:space="preserve">Τέσσερα έτη μετά την έναρξη ισχύος του παρόντος κανονισμού, η Επιτροπή υποβάλλει στο Ευρωπαϊκό Κοινοβούλιο, το Συμβούλιο, την Ευρωπαϊκή Οικονομική και Κοινωνική Επιτροπή και την Επιτροπή των Περιφερειών ανεξάρτητη έκθεση ενδιάμεσης αξιολόγησης σχετικά με την εφαρμογή του παρόντος κανονισμού. Η Επιτροπή υποβάλλει επίσης στα εν λόγω θεσμικά όργανα ανεξάρτητη έκθεση εκ των υστέρων αξιολόγησης, το αργότερο </w:t>
      </w:r>
      <w:r>
        <w:rPr>
          <w:noProof/>
          <w:sz w:val="22"/>
        </w:rPr>
        <w:t>τρία</w:t>
      </w:r>
      <w:r>
        <w:rPr>
          <w:noProof/>
        </w:rPr>
        <w:t xml:space="preserve"> έτη μετά τη λήξη της περιόδου που ορίζεται στο άρθρο 1. </w:t>
      </w:r>
    </w:p>
    <w:p>
      <w:pPr>
        <w:pStyle w:val="ManualNumPar1"/>
        <w:rPr>
          <w:noProof/>
        </w:rPr>
      </w:pPr>
      <w:r>
        <w:t>2.</w:t>
      </w:r>
      <w:r>
        <w:tab/>
      </w:r>
      <w:r>
        <w:rPr>
          <w:noProof/>
        </w:rPr>
        <w:t>Η έκθεση ενδιάμεσης αξιολόγησης αξιολογεί ιδίως σε ποιο βαθμό έχουν επιτευχθεί οι στόχοι του Μέσου που αναφέρονται στα άρθρα 3 και 4, την αποδοτικότητα της χρήσης των πόρων και την ευρωπαϊκή προστιθέμενη αξία. Εξετάζει επίσης κατά πόσον εξακολουθούν να είναι συναφείς όλοι οι στόχοι και δράσεις.</w:t>
      </w:r>
    </w:p>
    <w:p>
      <w:pPr>
        <w:pStyle w:val="ManualNumPar1"/>
        <w:rPr>
          <w:noProof/>
        </w:rPr>
      </w:pPr>
      <w:r>
        <w:t>3.</w:t>
      </w:r>
      <w:r>
        <w:tab/>
      </w:r>
      <w:r>
        <w:rPr>
          <w:noProof/>
        </w:rPr>
        <w:t>Η έκθεση εκ των υστέρων αξιολόγησης συνίσταται σε συνολική αξιολόγηση της εφαρμογής του παρόντος κανονισμού και περιλαμβάνει πληροφορίες σχετικά με τον μακροπρόθεσμο αντίκτυπό του.</w:t>
      </w:r>
    </w:p>
    <w:p>
      <w:pPr>
        <w:pStyle w:val="Text1"/>
        <w:rPr>
          <w:noProof/>
        </w:rPr>
      </w:pPr>
    </w:p>
    <w:p>
      <w:pPr>
        <w:pStyle w:val="ChapterTitle"/>
        <w:rPr>
          <w:noProof/>
        </w:rPr>
      </w:pPr>
      <w:r>
        <w:rPr>
          <w:noProof/>
        </w:rPr>
        <w:t xml:space="preserve">ΚΕΦΑΛΑΙΟ IV </w:t>
      </w:r>
    </w:p>
    <w:p>
      <w:pPr>
        <w:pStyle w:val="ChapterTitle"/>
        <w:rPr>
          <w:noProof/>
        </w:rPr>
      </w:pPr>
      <w:r>
        <w:rPr>
          <w:noProof/>
        </w:rPr>
        <w:t>Μεταβατικές και τελικές διατάξεις</w:t>
      </w:r>
    </w:p>
    <w:p>
      <w:pPr>
        <w:pStyle w:val="Titrearticle"/>
        <w:rPr>
          <w:noProof/>
        </w:rPr>
      </w:pPr>
      <w:r>
        <w:rPr>
          <w:noProof/>
        </w:rPr>
        <w:t xml:space="preserve">Άρθρο 17 </w:t>
      </w:r>
      <w:r>
        <w:rPr>
          <w:noProof/>
        </w:rPr>
        <w:br/>
        <w:t>Πληροφόρηση, επικοινωνία και δημοσιότητα</w:t>
      </w:r>
    </w:p>
    <w:p>
      <w:pPr>
        <w:pStyle w:val="ManualNumPar1"/>
        <w:rPr>
          <w:noProof/>
        </w:rPr>
      </w:pPr>
      <w:r>
        <w:t>1.</w:t>
      </w:r>
      <w:r>
        <w:tab/>
      </w:r>
      <w:r>
        <w:rPr>
          <w:noProof/>
        </w:rPr>
        <w:t>Οι αποδέκτες της ενωσιακής χρηματοδότησης αναγνωρίζουν την προέλευση και διασφαλίζουν την προβολή της ενωσιακής χρηματοδότησης, ιδίως κατά την προώθηση των δράσεων και των αποτελεσμάτων τους, παρέχοντας συνεκτική, αποτελεσματική και αναλογική στοχευμένη πληροφόρηση σε πολλαπλά ακροατήρια, συμπεριλαμβανομένων των μέσων ενημέρωσης και του κοινού.</w:t>
      </w:r>
    </w:p>
    <w:p>
      <w:pPr>
        <w:pStyle w:val="ManualNumPar1"/>
        <w:rPr>
          <w:noProof/>
        </w:rPr>
      </w:pPr>
      <w:r>
        <w:t>2.</w:t>
      </w:r>
      <w:r>
        <w:tab/>
      </w:r>
      <w:r>
        <w:rPr>
          <w:noProof/>
        </w:rPr>
        <w:t>Η Επιτροπή εφαρμόζει δράσεις πληροφόρησης και επικοινωνίας σχετικά με το Μέσο, τις δράσεις του και τα αποτελέσματά του. Οι χρηματοδοτικοί πόροι που διατίθενται στο Μέσο συμβάλλουν επίσης στην εταιρική επικοινωνία σχετικά με τις πολιτικές προτεραιότητες της Ένωσης, στον βαθμό που σχετίζονται µε τους στόχους που αναφέρονται στα άρθρα 3 και 4.</w:t>
      </w:r>
    </w:p>
    <w:p>
      <w:pPr>
        <w:pStyle w:val="Titrearticle"/>
        <w:rPr>
          <w:noProof/>
        </w:rPr>
      </w:pPr>
      <w:r>
        <w:rPr>
          <w:noProof/>
        </w:rPr>
        <w:t xml:space="preserve">Άρθρο 18 </w:t>
      </w:r>
      <w:r>
        <w:rPr>
          <w:noProof/>
        </w:rPr>
        <w:br/>
        <w:t>Μεταβατική διάταξη</w:t>
      </w:r>
    </w:p>
    <w:p>
      <w:pPr>
        <w:pStyle w:val="ManualNumPar1"/>
        <w:rPr>
          <w:noProof/>
        </w:rPr>
      </w:pPr>
      <w:r>
        <w:t>1.</w:t>
      </w:r>
      <w:r>
        <w:tab/>
      </w:r>
      <w:r>
        <w:rPr>
          <w:noProof/>
        </w:rPr>
        <w:t xml:space="preserve">Οι δράσεις και οι δραστηριότητες τεχνικής υποστήριξης που δρομολογήθηκαν στις 31 Δεκεμβρίου 2020 ή πριν από την ημερομηνία αυτή σύμφωνα με τον κανονισμό (ΕΕ) 2017/825 εξακολουθούν να διέπονται από τον εν λόγω κανονισμό έως την ολοκλήρωσή τους. </w:t>
      </w:r>
    </w:p>
    <w:p>
      <w:pPr>
        <w:pStyle w:val="ManualNumPar1"/>
        <w:rPr>
          <w:noProof/>
        </w:rPr>
      </w:pPr>
      <w:r>
        <w:t>2.</w:t>
      </w:r>
      <w:r>
        <w:tab/>
      </w:r>
      <w:r>
        <w:rPr>
          <w:noProof/>
        </w:rPr>
        <w:t xml:space="preserve">Το χρηματοδοτικό κονδύλιο που ορίζεται στο άρθρο 6 παράγραφος 1 μπορεί επίσης να καλύπτει τις δαπάνες τεχνικής και διοικητικής συνδρομής, συμπεριλαμβανομένης της παρακολούθησης, της επικοινωνίας και της αξιολόγησης που απαιτούνται </w:t>
      </w:r>
      <w:r>
        <w:rPr>
          <w:noProof/>
        </w:rPr>
        <w:lastRenderedPageBreak/>
        <w:t>σύμφωνα με τον κανονισμό (ΕΕ) 2017/825 και δεν έχουν ολοκληρωθεί έως τις 31 Δεκεμβρίου 2020.</w:t>
      </w:r>
    </w:p>
    <w:p>
      <w:pPr>
        <w:pStyle w:val="ManualNumPar1"/>
        <w:rPr>
          <w:noProof/>
        </w:rPr>
      </w:pPr>
      <w:r>
        <w:t>3.</w:t>
      </w:r>
      <w:r>
        <w:tab/>
      </w:r>
      <w:r>
        <w:rPr>
          <w:noProof/>
        </w:rPr>
        <w:t>Εάν είναι αναγκαίο, μπορούν να εγγραφούν πιστώσεις στον προϋπολογισμό μετά το 2020 με σκοπό την κάλυψη των δαπανών που προβλέπονται στο άρθρο 6 παράγραφος 2 σχετικά με τη διαχείριση των δράσεων που δεν έχουν ολοκληρωθεί έως τις 31 Δεκεμβρίου 2020.</w:t>
      </w:r>
    </w:p>
    <w:p>
      <w:pPr>
        <w:pStyle w:val="Titrearticle"/>
        <w:rPr>
          <w:noProof/>
        </w:rPr>
      </w:pPr>
      <w:r>
        <w:rPr>
          <w:noProof/>
        </w:rPr>
        <w:t xml:space="preserve">Άρθρο 19 </w:t>
      </w:r>
      <w:r>
        <w:rPr>
          <w:noProof/>
        </w:rPr>
        <w:br/>
        <w:t>Έναρξη ισχύος</w:t>
      </w:r>
    </w:p>
    <w:p>
      <w:pPr>
        <w:rPr>
          <w:noProof/>
        </w:rPr>
      </w:pPr>
      <w:r>
        <w:rPr>
          <w:noProof/>
        </w:rPr>
        <w:t xml:space="preserve">Ο παρών κανονισμός αρχίζει να ισχύει την επομένη της δημοσίευσής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Σχετικοί τομείς πολιτικής που αφορούν τη δομή ΔΒΔ/ΠΒΔ</w:t>
      </w:r>
    </w:p>
    <w:p>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pPr>
        <w:pStyle w:val="ManualHeading2"/>
        <w:rPr>
          <w:b w:val="0"/>
          <w:noProof/>
        </w:rPr>
      </w:pPr>
      <w:r>
        <w:rPr>
          <w:noProof/>
        </w:rPr>
        <w:tab/>
      </w:r>
      <w:r>
        <w:rPr>
          <w:b w:val="0"/>
          <w:noProof/>
        </w:rPr>
        <w:t>1.4.</w:t>
      </w:r>
      <w:r>
        <w:rPr>
          <w:noProof/>
        </w:rPr>
        <w:tab/>
      </w:r>
      <w:r>
        <w:rPr>
          <w:b w:val="0"/>
          <w:noProof/>
        </w:rPr>
        <w:t xml:space="preserve">Στόχοι </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2"/>
        <w:rPr>
          <w:b w:val="0"/>
          <w:noProof/>
        </w:rPr>
      </w:pPr>
      <w:r>
        <w:rPr>
          <w:noProof/>
        </w:rPr>
        <w:tab/>
      </w:r>
      <w:r>
        <w:rPr>
          <w:b w:val="0"/>
          <w:noProof/>
        </w:rPr>
        <w:t>1.6.</w:t>
      </w:r>
      <w:r>
        <w:rPr>
          <w:noProof/>
        </w:rPr>
        <w:tab/>
      </w:r>
      <w:r>
        <w:rPr>
          <w:b w:val="0"/>
          <w:noProof/>
        </w:rPr>
        <w:t xml:space="preserve">Διάρκεια και δημοσιονομικές επιπτώσεις </w:t>
      </w:r>
    </w:p>
    <w:p>
      <w:pPr>
        <w:pStyle w:val="ManualHeading2"/>
        <w:rPr>
          <w:b w:val="0"/>
          <w:noProof/>
        </w:rPr>
      </w:pPr>
      <w:r>
        <w:rPr>
          <w:noProof/>
        </w:rPr>
        <w:tab/>
      </w:r>
      <w:r>
        <w:rPr>
          <w:b w:val="0"/>
          <w:noProof/>
        </w:rPr>
        <w:t>1.7.</w:t>
      </w:r>
      <w:r>
        <w:rPr>
          <w:noProof/>
        </w:rPr>
        <w:tab/>
      </w:r>
      <w:r>
        <w:rPr>
          <w:b w:val="0"/>
          <w:noProof/>
        </w:rPr>
        <w:t xml:space="preserve">Προβλεπόμενοι τρόποι διαχείρισης </w:t>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Κανόνες παρακολούθησης και υποβολής εκθέσεων </w:t>
      </w:r>
    </w:p>
    <w:p>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Τομείς του πολυετούς δημοσιονομικού πλαισίου και γραμμές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pPr>
        <w:pStyle w:val="ManualHeading3"/>
        <w:rPr>
          <w:noProof/>
        </w:rPr>
      </w:pPr>
      <w:r>
        <w:rPr>
          <w:noProof/>
        </w:rPr>
        <w:tab/>
        <w:t>3.2.1.</w:t>
      </w:r>
      <w:r>
        <w:rPr>
          <w:noProof/>
        </w:rPr>
        <w:tab/>
        <w:t xml:space="preserve">Συνοπτική παρουσίαση των εκτιμώμενων επιπτώσεων στις δαπάνες </w:t>
      </w:r>
    </w:p>
    <w:p>
      <w:pPr>
        <w:pStyle w:val="ManualHeading3"/>
        <w:rPr>
          <w:noProof/>
        </w:rPr>
      </w:pPr>
      <w:r>
        <w:rPr>
          <w:noProof/>
        </w:rPr>
        <w:tab/>
        <w:t>3.2.2.</w:t>
      </w:r>
      <w:r>
        <w:rPr>
          <w:noProof/>
        </w:rPr>
        <w:tab/>
        <w:t xml:space="preserve">Εκτιμώμενες επιπτώσεις στις επιχειρησιακές πιστώσεις </w:t>
      </w:r>
    </w:p>
    <w:p>
      <w:pPr>
        <w:pStyle w:val="ManualHeading3"/>
        <w:rPr>
          <w:noProof/>
        </w:rPr>
      </w:pPr>
      <w:r>
        <w:rPr>
          <w:noProof/>
        </w:rPr>
        <w:tab/>
        <w:t>3.2.3.</w:t>
      </w:r>
      <w:r>
        <w:rPr>
          <w:noProof/>
        </w:rPr>
        <w:tab/>
        <w:t>Εκτιμώμενες επιπτώσεις στις πιστώσεις διοικητικού χαρακτήρα</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στη χρηματοδότηση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Εκτιμώμενες επιπτώσεις στα έσοδα</w:t>
      </w:r>
    </w:p>
    <w:p>
      <w:pPr>
        <w:jc w:val="center"/>
        <w:rPr>
          <w:noProof/>
        </w:rPr>
      </w:pPr>
      <w:r>
        <w:rPr>
          <w:b/>
          <w:noProof/>
          <w:u w:val="single"/>
        </w:rPr>
        <w:t>ΝΟΜΟΘΕΤΙΚΟ ΔΗΜΟΣΙΟΝΟΜΙΚΟ ΔΕΛΤΙΟ</w:t>
      </w:r>
    </w:p>
    <w:p>
      <w:pPr>
        <w:pStyle w:val="ManualHeading1"/>
        <w:rPr>
          <w:noProof/>
        </w:rPr>
      </w:pPr>
      <w:r>
        <w:t>1.</w:t>
      </w:r>
      <w:r>
        <w:tab/>
      </w:r>
      <w:r>
        <w:rPr>
          <w:noProof/>
        </w:rPr>
        <w:t xml:space="preserve">ΠΛΑΙΣΙΟ ΤΗΣ ΠΡΟΤΑΣΗΣ/ΠΡΩΤΟΒΟΥΛΙΑΣ </w:t>
      </w:r>
    </w:p>
    <w:p>
      <w:pPr>
        <w:pStyle w:val="ManualHeading2"/>
        <w:rPr>
          <w:noProof/>
        </w:rPr>
      </w:pPr>
      <w:r>
        <w:t>1.1.</w:t>
      </w:r>
      <w:r>
        <w:tab/>
      </w:r>
      <w:r>
        <w:rPr>
          <w:noProof/>
        </w:rPr>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Πρόταση κανονισμού του Ευρωπαϊκού Κοινοβουλίου και του Συμβουλίου για τη θέσπιση Μέσου Τεχνικής Υποστήριξης</w:t>
      </w:r>
    </w:p>
    <w:p>
      <w:pPr>
        <w:pStyle w:val="ManualHeading2"/>
        <w:rPr>
          <w:noProof/>
          <w:szCs w:val="24"/>
        </w:rPr>
      </w:pPr>
      <w:r>
        <w:t>1.2.</w:t>
      </w:r>
      <w:r>
        <w:tab/>
      </w:r>
      <w:r>
        <w:rPr>
          <w:noProof/>
        </w:rPr>
        <w:t>Σχετικοί τομείς πολιτικής που αφορούν τη δομή ΔΒΔ/ΠΒΔ</w:t>
      </w:r>
      <w:r>
        <w:rPr>
          <w:rStyle w:val="FootnoteReference"/>
          <w:noProof/>
        </w:rPr>
        <w:footnoteReference w:id="27"/>
      </w:r>
      <w:r>
        <w:rPr>
          <w:i/>
          <w:noProof/>
        </w:rPr>
        <w:t xml:space="preserve"> </w:t>
      </w:r>
    </w:p>
    <w:p>
      <w:pPr>
        <w:pStyle w:val="Text1"/>
        <w:pBdr>
          <w:top w:val="single" w:sz="4" w:space="1" w:color="auto"/>
          <w:left w:val="single" w:sz="4" w:space="4" w:color="auto"/>
          <w:bottom w:val="single" w:sz="4" w:space="0" w:color="auto"/>
          <w:right w:val="single" w:sz="4" w:space="4" w:color="auto"/>
        </w:pBdr>
        <w:rPr>
          <w:noProof/>
        </w:rPr>
      </w:pPr>
      <w:r>
        <w:rPr>
          <w:noProof/>
        </w:rPr>
        <w:t xml:space="preserve">Συνοχή· </w:t>
      </w:r>
    </w:p>
    <w:p>
      <w:pPr>
        <w:pStyle w:val="Text1"/>
        <w:pBdr>
          <w:top w:val="single" w:sz="4" w:space="1" w:color="auto"/>
          <w:left w:val="single" w:sz="4" w:space="4" w:color="auto"/>
          <w:bottom w:val="single" w:sz="4" w:space="0" w:color="auto"/>
          <w:right w:val="single" w:sz="4" w:space="4" w:color="auto"/>
        </w:pBdr>
        <w:rPr>
          <w:noProof/>
        </w:rPr>
      </w:pPr>
      <w:r>
        <w:rPr>
          <w:noProof/>
        </w:rPr>
        <w:t>Οικονομικά και δημοσιονομικά θέματα</w:t>
      </w:r>
    </w:p>
    <w:p>
      <w:pPr>
        <w:pStyle w:val="ManualHeading2"/>
        <w:rPr>
          <w:bCs/>
          <w:noProof/>
          <w:szCs w:val="24"/>
        </w:rPr>
      </w:pPr>
      <w:r>
        <w:t>1.3.</w:t>
      </w:r>
      <w:r>
        <w:tab/>
      </w:r>
      <w:r>
        <w:rPr>
          <w:noProof/>
        </w:rPr>
        <w:t xml:space="preserve">Χαρακτήρας της πρότασης/πρωτοβουλίας </w:t>
      </w:r>
    </w:p>
    <w:p>
      <w:pPr>
        <w:pStyle w:val="Text1"/>
        <w:rPr>
          <w:b/>
          <w:noProof/>
          <w:sz w:val="22"/>
        </w:rPr>
      </w:pPr>
      <w:r>
        <w:rPr>
          <w:noProof/>
          <w:sz w:val="22"/>
        </w:rPr>
        <w:sym w:font="Wingdings" w:char="F0A8"/>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έπειτα από δοκιμαστικό σχέδιο / προπαρασκευαστική ενέργεια</w:t>
      </w:r>
      <w:r>
        <w:rPr>
          <w:rStyle w:val="FootnoteReference"/>
          <w:b/>
          <w:noProof/>
        </w:rPr>
        <w:footnoteReference w:id="28"/>
      </w:r>
      <w:r>
        <w:rPr>
          <w:noProof/>
          <w:sz w:val="22"/>
        </w:rPr>
        <w:t xml:space="preserve"> </w:t>
      </w:r>
    </w:p>
    <w:p>
      <w:pPr>
        <w:pStyle w:val="Text1"/>
        <w:rPr>
          <w:noProof/>
          <w:sz w:val="22"/>
        </w:rPr>
      </w:pPr>
      <w:r>
        <w:rPr>
          <w:noProof/>
        </w:rPr>
        <w:sym w:font="Wingdings" w:char="F0FC"/>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προς νέα δράση</w:t>
      </w:r>
      <w:r>
        <w:rPr>
          <w:noProof/>
        </w:rPr>
        <w:t xml:space="preserve"> </w:t>
      </w:r>
    </w:p>
    <w:p>
      <w:pPr>
        <w:pStyle w:val="ManualHeading2"/>
        <w:rPr>
          <w:bCs/>
          <w:noProof/>
          <w:szCs w:val="24"/>
        </w:rPr>
      </w:pPr>
      <w:r>
        <w:t>1.4.</w:t>
      </w:r>
      <w:r>
        <w:tab/>
      </w:r>
      <w:r>
        <w:rPr>
          <w:noProof/>
        </w:rPr>
        <w:t>Στόχοι</w:t>
      </w:r>
    </w:p>
    <w:p>
      <w:pPr>
        <w:pStyle w:val="ManualHeading3"/>
        <w:rPr>
          <w:noProof/>
        </w:rPr>
      </w:pPr>
      <w:r>
        <w:t>1.4.1.</w:t>
      </w:r>
      <w:r>
        <w:tab/>
      </w:r>
      <w:r>
        <w:rPr>
          <w:noProof/>
        </w:rPr>
        <w:t xml:space="preserve">Οι πολυετείς στρατηγικοί στόχοι της Επιτροπής τους οποίους αφορά η πρόταση/πρωτοβουλία </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 xml:space="preserve">Στόχος του Μέσου είναι να προωθήσει την οικονομική, κοινωνική και εδαφική συνοχή της Ένωσης στηρίζοντας τις προσπάθειες των κρατών μελών να εφαρμόσουν τις αναγκαίες μεταρρυθμίσεις για την επίτευξη οικονομικής και κοινωνικής ανάκαμψης, ανθεκτικότητας και σύγκλισης, καθώς και να στηρίξει τις προσπάθειες των κρατών μελών να ενισχύσουν τη διοικητική τους ικανότητα ως προς την εφαρμογή του ενωσιακού δικαίου σε σχέση με τις προκλήσεις που αντιμετωπίζουν τα θεσμικά όργανα, η διακυβέρνηση, η δημόσια διοίκηση και ο οικονομικός και κοινωνικός τομέας. </w:t>
      </w:r>
    </w:p>
    <w:p>
      <w:pPr>
        <w:pStyle w:val="ManualHeading3"/>
        <w:rPr>
          <w:bCs/>
          <w:noProof/>
          <w:szCs w:val="24"/>
        </w:rPr>
      </w:pPr>
      <w:r>
        <w:t>1.4.2.</w:t>
      </w:r>
      <w:r>
        <w:tab/>
      </w:r>
      <w:r>
        <w:rPr>
          <w:noProof/>
        </w:rPr>
        <w:t xml:space="preserve">Ειδικοί στόχοι και σχετικές δραστηριότητες ΔΒΔ/ΠΒΔ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Ειδικός στόχος αριθ.</w:t>
      </w:r>
    </w:p>
    <w:p>
      <w:pPr>
        <w:pStyle w:val="Text1"/>
        <w:pBdr>
          <w:top w:val="single" w:sz="4" w:space="1" w:color="auto"/>
          <w:left w:val="single" w:sz="4" w:space="4" w:color="auto"/>
          <w:bottom w:val="single" w:sz="4" w:space="1" w:color="auto"/>
          <w:right w:val="single" w:sz="4" w:space="4" w:color="auto"/>
        </w:pBdr>
        <w:rPr>
          <w:noProof/>
        </w:rPr>
      </w:pPr>
      <w:r>
        <w:rPr>
          <w:noProof/>
        </w:rPr>
        <w:t>Κατόπιν αιτήματος των κρατών μελών, το Μέσο Τεχνικής Υποστήριξης θα συνδράμει τις εθνικές αρχές στη βελτίωση της ικανότητάς τους να σχεδιάζουν, να αναπτύσσουν και να εφαρμόζουν μεταρρυθμίσεις, μεταξύ άλλων μέσω της ανταλλαγής ορθών πρακτικών, κατάλληλων διαδικασιών και μεθοδολογιών, καθώς και της αποτελεσματικότερης και αποδοτικότερης διαχείρισης των ανθρώπινων πόρων.</w:t>
      </w:r>
      <w:r>
        <w:rPr>
          <w:noProof/>
          <w:u w:val="single"/>
        </w:rPr>
        <w:t xml:space="preserve"> </w:t>
      </w:r>
    </w:p>
    <w:p>
      <w:pPr>
        <w:pStyle w:val="ManualHeading3"/>
        <w:rPr>
          <w:bCs/>
          <w:noProof/>
          <w:szCs w:val="24"/>
        </w:rPr>
      </w:pPr>
      <w:r>
        <w:rPr>
          <w:noProof/>
        </w:rPr>
        <w:br w:type="page"/>
      </w:r>
      <w:r>
        <w:t>1.4.3.</w:t>
      </w:r>
      <w:r>
        <w:tab/>
      </w:r>
      <w:r>
        <w:rPr>
          <w:noProof/>
        </w:rPr>
        <w:t>Αναμενόμενα αποτελέσματα και επιπτώσεις</w:t>
      </w:r>
    </w:p>
    <w:p>
      <w:pPr>
        <w:pStyle w:val="Text1"/>
        <w:rPr>
          <w:i/>
          <w:noProof/>
          <w:sz w:val="20"/>
        </w:rPr>
      </w:pPr>
      <w:r>
        <w:rPr>
          <w:i/>
          <w:noProof/>
          <w:sz w:val="20"/>
        </w:rPr>
        <w:t>Να προσδιοριστούν τα αποτελέσματα που θα πρέπει να έχει η πρόταση/πρωτοβουλία όσον αφορά τους στοχοθετημένους δικαιούχους / τις στοχοθετημένες ομάδες.</w:t>
      </w:r>
    </w:p>
    <w:p>
      <w:pPr>
        <w:pStyle w:val="Text1"/>
        <w:pBdr>
          <w:top w:val="single" w:sz="4" w:space="1" w:color="auto"/>
          <w:left w:val="single" w:sz="4" w:space="4" w:color="auto"/>
          <w:bottom w:val="single" w:sz="4" w:space="1" w:color="auto"/>
          <w:right w:val="single" w:sz="4" w:space="4" w:color="auto"/>
        </w:pBdr>
        <w:rPr>
          <w:noProof/>
        </w:rPr>
      </w:pPr>
      <w:r>
        <w:rPr>
          <w:noProof/>
        </w:rPr>
        <w:t>Η τεχνική υποστήριξη θα πρέπει να έχει ως αποτέλεσμα την ενίσχυση της διοικητικής ικανότητας των κρατών μελών όσον αφορά την εφαρμογή μεταρρυθμίσεων προτεραιότητας έτσι ώστε να επιτευχθεί οικονομική και κοινωνική ανάκαμψη, ανθεκτικότητα και σύγκλιση, καθώς και την εφαρμογή του ενωσιακού δικαίου στους σχετικούς τομείς πολιτικής όπου παρέχεται η εν λόγω στήριξη (κατόπιν αιτήματος), δηλαδή τη διαχείριση των δημόσιων οικονομικών και των περιουσιακών στοιχείων· τη διαδικασία του προϋπολογισμού· τη διαχείριση του χρέους και των εσόδων· την καταπολέμηση της φοροδιαφυγής· τη θεσμική μεταρρύθμιση, τη δημόσια διοίκηση και την ηλεκτρονική διακυβέρνηση· το επιχειρηματικό περιβάλλον· την εκπαίδευση και κατάρτιση· την υγεία· την αγορά εργασίας· και την εφαρμογή της ψηφιακής και της πράσινης μετάβασης, καθώς και των πολιτικών για τον χρηματοπιστωτικό τομέα.</w:t>
      </w:r>
    </w:p>
    <w:p>
      <w:pPr>
        <w:pStyle w:val="ManualHeading3"/>
        <w:rPr>
          <w:bCs/>
          <w:noProof/>
          <w:szCs w:val="24"/>
        </w:rPr>
      </w:pPr>
      <w:r>
        <w:t>1.4.4.</w:t>
      </w:r>
      <w:r>
        <w:tab/>
      </w:r>
      <w:r>
        <w:rPr>
          <w:noProof/>
        </w:rPr>
        <w:t xml:space="preserve">Δείκτες αποτελεσμάτων και επιπτώσεων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Οι δείκτες αποτελεσμάτων θα μετρούν τα αποτελέσματα των παρεχόμενων δραστηριοτήτων τεχνικής υποστήριξης, όπως θέσπιση στρατηγικής, θέσπιση νέου νόμου / νέας νομικής πράξης ή τροποποίηση υφιστάμενου/-ης, έγκριση (νέων) διαδικασιών και δράσεων για την ενίσχυση της εφαρμογής των μεταρρυθμίσεων·</w:t>
      </w:r>
    </w:p>
    <w:p>
      <w:pPr>
        <w:pStyle w:val="Text1"/>
        <w:pBdr>
          <w:top w:val="single" w:sz="4" w:space="1" w:color="auto"/>
          <w:left w:val="single" w:sz="4" w:space="4" w:color="auto"/>
          <w:bottom w:val="single" w:sz="4" w:space="1" w:color="auto"/>
          <w:right w:val="single" w:sz="4" w:space="4" w:color="auto"/>
        </w:pBdr>
        <w:rPr>
          <w:noProof/>
        </w:rPr>
      </w:pPr>
      <w:r>
        <w:rPr>
          <w:noProof/>
        </w:rPr>
        <w:t>Οι δείκτες επιπτώσεων θα μετρούν τους στόχους που καθορίζονται στα σχέδια συνεργασίας και στήριξης και που έχουν επιτευχθεί λόγω, μεταξύ άλλων, της τεχνικής υποστήριξης που λαμβάνεται.</w:t>
      </w:r>
    </w:p>
    <w:p>
      <w:pPr>
        <w:pStyle w:val="ManualHeading2"/>
        <w:rPr>
          <w:bCs/>
          <w:noProof/>
          <w:szCs w:val="24"/>
        </w:rPr>
      </w:pPr>
      <w:r>
        <w:t>1.5.</w:t>
      </w:r>
      <w:r>
        <w:tab/>
      </w:r>
      <w:r>
        <w:rPr>
          <w:noProof/>
        </w:rPr>
        <w:t xml:space="preserve">Αιτιολόγηση της πρότασης/πρωτοβουλίας </w:t>
      </w:r>
    </w:p>
    <w:p>
      <w:pPr>
        <w:pStyle w:val="ManualHeading3"/>
        <w:rPr>
          <w:noProof/>
        </w:rPr>
      </w:pPr>
      <w:r>
        <w:t>1.5.1.</w:t>
      </w:r>
      <w:r>
        <w:tab/>
      </w:r>
      <w:r>
        <w:rPr>
          <w:noProof/>
        </w:rPr>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noProof/>
        </w:rPr>
      </w:pPr>
      <w:r>
        <w:rPr>
          <w:noProof/>
        </w:rPr>
        <w:t>Οι διαρθρωτικές μεταρρυθμίσεις είναι αλλαγές που τροποποιούν κατά διαρκή τρόπο τη δομή μιας οικονομίας ή το θεσμικό και κανονιστικό πλαίσιο στο οποίο δραστηριοποιούνται οι επιχειρήσεις και τα άτομα. Εάν επιλεγούν και εφαρμοστούν σωστά, οι διαρθρωτικές μεταρρυθμίσεις μπορούν να συμβάλουν στον στρατηγικό σχεδιασμό για την οικονομική και κοινωνική ανάκαμψη, την ανθεκτικότητα και τη σύγκλιση μεταξύ των κρατών μελών. Κατ᾽ αυτόν τον τρόπο αναμένεται ότι θα δοθεί η σωστή κατεύθυνση για μια σταθερή ανάκαμψη και θα προαχθεί η βιώσιμη ανάπτυξη των κρατών μελών.</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Επομένως, το Μέσο Τεχνικής Υποστήριξης έχει ως στόχο να στηρίξει, κατόπιν αιτήματός τους, τις κυβερνήσεις καθώς και άλλες αρχές των κρατών μελών στις προσπάθειές τους να σχεδιάσουν και να εφαρμόσουν διαρθρωτικές μεταρρυθμίσεις που θα συμβάλλουν στην ανάκαμψη. Το Μέσο προορίζεται να συνεισφέρει στον γενικό στόχο της ενίσχυσης της συνοχής και της οικονομικής και κοινωνικής ανάκαμψης, της ανθεκτικότητας και της σύγκλισης.</w:t>
      </w:r>
    </w:p>
    <w:p>
      <w:pPr>
        <w:pStyle w:val="ManualHeading3"/>
        <w:rPr>
          <w:bCs/>
          <w:noProof/>
          <w:szCs w:val="24"/>
        </w:rPr>
      </w:pPr>
      <w:r>
        <w:t>1.5.2.</w:t>
      </w:r>
      <w:r>
        <w:tab/>
      </w:r>
      <w:r>
        <w:rPr>
          <w:noProof/>
        </w:rPr>
        <w:t>Προστιθέμενη αξία της ενωσιακής παρέμβασης</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Λόγοι για ανάληψη δράσης σε ευρωπαϊκό επίπεδο (εκ των προτέρων)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Μπροστά στην πανδημία λόγω COVID-19, η ανάγκη στρατηγικού σχεδιασμού για την ανάκαμψη απαιτεί οι μεταρρυθμιστικές προσπάθειες των κρατών μελών να συνεχίσουν να συνοδεύονται από την παροχή ουσιαστικής τεχνικής υποστήριξης για την ενίσχυση της διοικητικής τους ικανότητας ως προς την προετοιμασία και την εφαρμογή των μεταρρυθμίσεων που θα ενισχύσουν την ανθεκτικότητα και θα στηρίξουν την ανάκαμψη αυτή στην κοινωνική και την οικονομική της διάσταση.</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Στο πλαίσιο αυτό, η προστιθέμενη αξία παρέχεται από ένα μέσο σε ενωσιακό επίπεδο το οποίο θα εστιάζει στην παροχή εξατομικευμένης εμπειρογνωσίας προς όφελος όλων των κρατών μελών που ζητούν στήριξη επιτόπου. Αυτή η προστιθέμενη αξία μεταφράζεται περαιτέρω στην αναγκαία θεσμική και διοικητική ικανότητα όσον αφορά την εφαρμογή των μεταρρυθμίσεων και τη διασφάλιση της δυνατότητας των κρατών μελών να χαράξουν σταθερή πορεία ανάκαμψης. </w:t>
      </w:r>
    </w:p>
    <w:p>
      <w:pPr>
        <w:pStyle w:val="Text1"/>
        <w:pBdr>
          <w:top w:val="single" w:sz="4" w:space="1" w:color="auto"/>
          <w:left w:val="single" w:sz="4" w:space="4" w:color="auto"/>
          <w:bottom w:val="single" w:sz="4" w:space="1" w:color="auto"/>
          <w:right w:val="single" w:sz="4" w:space="4" w:color="auto"/>
        </w:pBdr>
        <w:rPr>
          <w:noProof/>
        </w:rPr>
      </w:pPr>
      <w:r>
        <w:rPr>
          <w:noProof/>
        </w:rPr>
        <w:t>Επιπλέον, το Μέσο Τεχνικής Υποστήριξης θα προαγάγει την αμοιβαία εμπιστοσύνη και την περαιτέρω συνεργασία μεταξύ των κρατών μελών και της Επιτροπής, καθώς αντιμετωπίζουν τον κοινωνικό αντίκτυπο της κρίσης της νόσου COVID-19.</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Αναμενόμενη προστιθέμενη αξία της Ένωσης (εκ των υστέρων)</w:t>
      </w:r>
    </w:p>
    <w:p>
      <w:pPr>
        <w:pStyle w:val="Text1"/>
        <w:pBdr>
          <w:top w:val="single" w:sz="4" w:space="1" w:color="auto"/>
          <w:left w:val="single" w:sz="4" w:space="4" w:color="auto"/>
          <w:bottom w:val="single" w:sz="4" w:space="1" w:color="auto"/>
          <w:right w:val="single" w:sz="4" w:space="4" w:color="auto"/>
        </w:pBdr>
        <w:rPr>
          <w:noProof/>
          <w:u w:val="single"/>
        </w:rPr>
      </w:pPr>
      <w:r>
        <w:rPr>
          <w:noProof/>
        </w:rPr>
        <w:t>Αν και η εφαρμογή των διαρθρωτικών μεταρρυθμίσεων στα κράτη μέλη παραμένει εθνική αρμοδιότητα, ο οικονομικός και κοινωνικός αντίκτυπος που έχει προκαλέσει η τρέχουσα κρίση λόγω της νόσου COVID-19 έχει υπογραμμίσει τους ισχυρούς δεσμούς μεταξύ των οικονομιών των κρατών μελών. Συνεπώς, οι μεταρρυθμιστικές προσπάθειες για τη στήριξη της ανάκαμψης από την κρίση αυτή δεν μπορούν να είναι αμιγώς εθνικό ζήτημα. Ο συντονισμός της οικονομικής πολιτικής για την ανάκαμψη από την κρίση αυτή θα συζητηθεί στο πλαίσιο του Ευρωπαϊκού Εξαμήνου. Το Μέσο Τεχνικής Υποστήριξης θα έχει ως στόχο να συνδράμει τις εθνικές αρχές των αιτούντων κρατών μελών σε όλα ή σε συγκεκριμένα στάδια της μεταρρυθμιστικής διαδικασίας, μεταξύ άλλων μέσα από την παροχή πρόσθετης στήριξης για την εφαρμογή μεταρρυθμίσεων στο πλαίσιο του Ευρωπαϊκού Εξαμήνου. Με τον τρόπο αυτό, θα συμβάλει στην ανθεκτικότητα, τη σύγκλιση και την οικονομική και κοινωνική ανάκαμψη των κρατών μελών. Ως εκ τούτου, οι επιπτώσεις του δεν θα γίνουν αισθητές μόνο σε εθνικό επίπεδο, αλλά θα έχει επίσης θετικά δευτερογενή αποτελέσματα για την ανάκαμψη της Ένωσης στο σύνολό της.</w:t>
      </w:r>
    </w:p>
    <w:p>
      <w:pPr>
        <w:pStyle w:val="ManualHeading3"/>
        <w:rPr>
          <w:bCs/>
          <w:noProof/>
          <w:szCs w:val="24"/>
        </w:rPr>
      </w:pPr>
      <w:r>
        <w:t>1.5.3.</w:t>
      </w:r>
      <w:r>
        <w:tab/>
      </w:r>
      <w:r>
        <w:rPr>
          <w:noProof/>
        </w:rPr>
        <w:t>Διδάγματα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Το Μέσο Τεχνικής Υποστήριξης αποτελεί συνέχεια του υφιστάμενου Προγράμματος Στήριξης Διαρθρωτικών Μεταρρυθμίσεων (ΠΣΔΜ) για την περίοδο 2017-2020, το οποίο τέθηκε σε ισχύ στις 20 Μαΐου 2017. </w:t>
      </w:r>
    </w:p>
    <w:p>
      <w:pPr>
        <w:pStyle w:val="Text1"/>
        <w:pBdr>
          <w:top w:val="single" w:sz="4" w:space="1" w:color="auto"/>
          <w:left w:val="single" w:sz="4" w:space="4" w:color="auto"/>
          <w:bottom w:val="single" w:sz="4" w:space="1" w:color="auto"/>
          <w:right w:val="single" w:sz="4" w:space="4" w:color="auto"/>
        </w:pBdr>
        <w:rPr>
          <w:noProof/>
        </w:rPr>
      </w:pPr>
      <w:r>
        <w:rPr>
          <w:noProof/>
        </w:rPr>
        <w:t>Σε έγγραφο εργασίας των υπηρεσιών της Επιτροπής που συνοδεύει την ανεξάρτητη έκθεση ενδιάμεσης αξιολόγησης σχετικά με το ΠΣΔΜ και το οποίο θα εγκριθεί σύντομα από την Επιτροπή, εξετάστηκαν οι επιδόσεις του με βάση τα κριτήρια αξιολόγησης της συνάφειας, της αποτελεσματικότητας, της αποδοτικότητας, της συνοχής και της ενωσιακής προστιθέμενης αξίας, και αντλήθηκε μια σειρά από διδάγματα:</w:t>
      </w:r>
    </w:p>
    <w:p>
      <w:pPr>
        <w:pStyle w:val="Text1"/>
        <w:pBdr>
          <w:top w:val="single" w:sz="4" w:space="1" w:color="auto"/>
          <w:left w:val="single" w:sz="4" w:space="4" w:color="auto"/>
          <w:bottom w:val="single" w:sz="4" w:space="1" w:color="auto"/>
          <w:right w:val="single" w:sz="4" w:space="4" w:color="auto"/>
        </w:pBdr>
        <w:rPr>
          <w:noProof/>
        </w:rPr>
      </w:pPr>
      <w:r>
        <w:rPr>
          <w:noProof/>
        </w:rPr>
        <w:t xml:space="preserve">- ο σχεδιασμός του ΠΣΔΜ ευθυγραμμίζεται με τις πραγματικές ανάγκες των κρατών μελών και χρησιμεύει ως κατάλληλο μέσο για τη στήριξη των κρατών μελών στην ενίσχυση της διοικητικής και θεσμικής τους ικανότητας· </w:t>
      </w:r>
    </w:p>
    <w:p>
      <w:pPr>
        <w:pStyle w:val="Text1"/>
        <w:pBdr>
          <w:top w:val="single" w:sz="4" w:space="1" w:color="auto"/>
          <w:left w:val="single" w:sz="4" w:space="4" w:color="auto"/>
          <w:bottom w:val="single" w:sz="4" w:space="1" w:color="auto"/>
          <w:right w:val="single" w:sz="4" w:space="4" w:color="auto"/>
        </w:pBdr>
        <w:rPr>
          <w:noProof/>
        </w:rPr>
      </w:pPr>
      <w:r>
        <w:rPr>
          <w:noProof/>
        </w:rPr>
        <w:t>- ο υψηλός βαθμός ευελιξίας (απουσία απαιτήσεων συγχρηματοδότησης) δίνει τη δυνατότητα να μεταφραστούν οι ανάγκες των κρατών μελών σε εφικτές δράσεις με ρεαλιστικά χρονοδιαγράμματα και να εκπληρωθούν οι προσδοκίες των κρατών μελών·</w:t>
      </w:r>
    </w:p>
    <w:p>
      <w:pPr>
        <w:pStyle w:val="Text1"/>
        <w:pBdr>
          <w:top w:val="single" w:sz="4" w:space="1" w:color="auto"/>
          <w:left w:val="single" w:sz="4" w:space="4" w:color="auto"/>
          <w:bottom w:val="single" w:sz="4" w:space="1" w:color="auto"/>
          <w:right w:val="single" w:sz="4" w:space="4" w:color="auto"/>
        </w:pBdr>
        <w:rPr>
          <w:noProof/>
        </w:rPr>
      </w:pPr>
      <w:r>
        <w:rPr>
          <w:noProof/>
        </w:rPr>
        <w:t>- η ανταλλαγή ορθών πρακτικών μεταξύ των κρατών μελών αξιολογήθηκε επίσης ως έχουσα σημαντική προστιθέμενη αξία. Επιπλέον, το ΠΣΔΜ είναι καλά ενσωματωμένο στη διαδικασία οικονομικής διακυβέρνησης της ΕΕ·</w:t>
      </w:r>
    </w:p>
    <w:p>
      <w:pPr>
        <w:pStyle w:val="Text1"/>
        <w:pBdr>
          <w:top w:val="single" w:sz="4" w:space="1" w:color="auto"/>
          <w:left w:val="single" w:sz="4" w:space="4" w:color="auto"/>
          <w:bottom w:val="single" w:sz="4" w:space="1" w:color="auto"/>
          <w:right w:val="single" w:sz="4" w:space="4" w:color="auto"/>
        </w:pBdr>
        <w:rPr>
          <w:noProof/>
        </w:rPr>
      </w:pPr>
      <w:r>
        <w:rPr>
          <w:noProof/>
        </w:rPr>
        <w:t>- οι ετήσιοι κύκλοι του ΠΣΔΜ και του Ευρωπαϊκού Εξαμήνου αλληλοτροφοδοτούνται επαρκώς μεταξύ τους, γεγονός που καθιστά δυνατή μια ολοκληρωμένη και συντονισμένη προσέγγιση όσον αφορά τις διαρθρωτικές μεταρρυθμίσεις στα κράτη μέλη·</w:t>
      </w:r>
    </w:p>
    <w:p>
      <w:pPr>
        <w:pStyle w:val="Text1"/>
        <w:pBdr>
          <w:top w:val="single" w:sz="4" w:space="1" w:color="auto"/>
          <w:left w:val="single" w:sz="4" w:space="4" w:color="auto"/>
          <w:bottom w:val="single" w:sz="4" w:space="1" w:color="auto"/>
          <w:right w:val="single" w:sz="4" w:space="4" w:color="auto"/>
        </w:pBdr>
        <w:rPr>
          <w:noProof/>
        </w:rPr>
      </w:pPr>
      <w:r>
        <w:rPr>
          <w:noProof/>
        </w:rPr>
        <w:t>- το υψηλό επίπεδο δέσμευσης από όλα τα ενδιαφερόμενα μέρη, το υψηλό επίπεδο εμπειρογνωσίας του παρόχου τεχνικής υποστήριξης και οι ευνοϊκές πολιτικές συνθήκες θεωρούνται παράγοντες που επηρεάζουν θετικά την επίτευξη των αποτελεσμάτων των έργων του ΠΣΔΜ· και</w:t>
      </w:r>
    </w:p>
    <w:p>
      <w:pPr>
        <w:pStyle w:val="Text1"/>
        <w:pBdr>
          <w:top w:val="single" w:sz="4" w:space="1" w:color="auto"/>
          <w:left w:val="single" w:sz="4" w:space="4" w:color="auto"/>
          <w:bottom w:val="single" w:sz="4" w:space="1" w:color="auto"/>
          <w:right w:val="single" w:sz="4" w:space="4" w:color="auto"/>
        </w:pBdr>
        <w:rPr>
          <w:noProof/>
        </w:rPr>
      </w:pPr>
      <w:r>
        <w:rPr>
          <w:noProof/>
        </w:rPr>
        <w:t>- η έλλειψη συνεργασίας μεταξύ των ενδιαφερόμενων μερών και οι μεταβαλλόμενες ή αβέβαιες πολιτικές συνθήκες θεωρείται ότι επηρεάζουν αρνητικά την επιτυχή υλοποίηση των έργων τεχνικής υποστήριξης.</w:t>
      </w:r>
    </w:p>
    <w:p>
      <w:pPr>
        <w:pStyle w:val="ManualHeading3"/>
        <w:rPr>
          <w:bCs/>
          <w:noProof/>
          <w:szCs w:val="24"/>
        </w:rPr>
      </w:pPr>
      <w:r>
        <w:t>1.5.4.</w:t>
      </w:r>
      <w:r>
        <w:tab/>
      </w:r>
      <w:r>
        <w:rPr>
          <w:noProof/>
        </w:rPr>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Η πρόταση είναι συνεπής και παρέχει συμπληρωματικότητα και συνέργειες με τις άλλες πολιτικές της Ένωσης.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πρόταση για τη δημιουργία Μηχανισμού Ανάκαμψης και Ανθεκτικότητας αποσκοπεί στην παροχή χρηματοδοτικής στήριξης για δημόσιες επενδύσεις και μεταρρυθμίσεις. Το Μέσο Τεχνικής Υποστήριξης θα παράσχει συνέργειες με τον Μηχανισμό Ανάκαμψης και Ανθεκτικότητας μέσα από την υποστήριξη της προετοιμασίας και της εφαρμογής των σχεδίων, και θα στηρίξει τις σχετικές μεταρρυθμίσεις κατά την προετοιμασία και την εφαρμογή τους. Το Μέσο Τεχνικής Υποστήριξης είναι συμβατό με την τεχνική βοήθεια που διατίθεται στο πλαίσιο της πολιτικής για τη συνοχή, δεδομένου ότι η εν λόγω τεχνική βοήθεια επικεντρώνεται αυστηρά στη συνδρομή των ενδιαφερόμενων μερών ώστε να αναπτύξουν ικανότητες για τη διαχείριση των κονδυλίων από τα ταμεία της Ένωσης και για την προώθηση της υλοποίησης έργων που συγχρηματοδοτούνται από ταμεία της Ένωσης. Ομοίως, ο κόμβος τεχνικής βοήθειας που διατίθεται στο πλαίσιο του InvestEU εστιάζει κυρίως στην προετοιμασία μεγάλων (ιδιωτικών) επενδυτικών έργων και όχι σε διαρθρωτικές μεταρρυθμίσεις. Αντιθέτως, το Μέσο Τεχνικής Υποστήριξης αποσκοπεί στην παροχή στήριξης για μακροπρόθεσμες διαρθρωτικές μεταρρυθμίσεις.  </w:t>
      </w:r>
    </w:p>
    <w:p>
      <w:pPr>
        <w:pStyle w:val="ManualHeading2"/>
        <w:rPr>
          <w:bCs/>
          <w:noProof/>
          <w:szCs w:val="24"/>
        </w:rPr>
      </w:pPr>
      <w:r>
        <w:rPr>
          <w:noProof/>
        </w:rPr>
        <w:br w:type="page"/>
      </w:r>
      <w:r>
        <w:t>1.6.</w:t>
      </w:r>
      <w:r>
        <w:tab/>
      </w:r>
      <w:r>
        <w:rPr>
          <w:noProof/>
        </w:rPr>
        <w:t xml:space="preserve">Διάρκεια και δημοσιονομικές επιπτώσεις </w:t>
      </w:r>
    </w:p>
    <w:p>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A8"/>
      </w:r>
      <w:r>
        <w:rPr>
          <w:noProof/>
        </w:rPr>
        <w:tab/>
        <w:t xml:space="preserve">Πρόταση/πρωτοβουλία με ισχύ από το ΕΕΕΕ έως το ΕΕΕΕ </w:t>
      </w:r>
    </w:p>
    <w:p>
      <w:pPr>
        <w:pStyle w:val="ListDash2"/>
        <w:rPr>
          <w:noProof/>
        </w:rPr>
      </w:pPr>
      <w:r>
        <w:rPr>
          <w:noProof/>
        </w:rPr>
        <w:sym w:font="Wingdings" w:char="F0FC"/>
      </w:r>
      <w:r>
        <w:rPr>
          <w:noProof/>
        </w:rPr>
        <w:tab/>
        <w:t xml:space="preserve">Δημοσιονομικές επιπτώσεις από το 2021 έως το 2027 </w:t>
      </w:r>
    </w:p>
    <w:p>
      <w:pPr>
        <w:pStyle w:val="Text1"/>
        <w:rPr>
          <w:noProof/>
        </w:rPr>
      </w:pPr>
      <w:r>
        <w:rPr>
          <w:noProof/>
        </w:rPr>
        <w:sym w:font="Wingdings" w:char="F0A8"/>
      </w:r>
      <w:r>
        <w:rPr>
          <w:b/>
          <w:i/>
          <w:noProof/>
        </w:rPr>
        <w:t xml:space="preserve"> </w:t>
      </w:r>
      <w:r>
        <w:rPr>
          <w:noProof/>
        </w:rPr>
        <w:t xml:space="preserve">Πρόταση/πρωτοβουλία </w:t>
      </w:r>
      <w:r>
        <w:rPr>
          <w:b/>
          <w:noProof/>
        </w:rPr>
        <w:t>απεριόριστης διάρκειας</w:t>
      </w:r>
    </w:p>
    <w:p>
      <w:pPr>
        <w:pStyle w:val="ListDash1"/>
        <w:rPr>
          <w:noProof/>
        </w:rPr>
      </w:pPr>
      <w:r>
        <w:rPr>
          <w:noProof/>
        </w:rPr>
        <w:t>Περίοδος σταδιακής εφαρμογής από το ΕΕΕΕ έως το ΕΕΕΕ,</w:t>
      </w:r>
    </w:p>
    <w:p>
      <w:pPr>
        <w:pStyle w:val="ListDash1"/>
        <w:rPr>
          <w:noProof/>
        </w:rPr>
      </w:pPr>
      <w:r>
        <w:rPr>
          <w:noProof/>
        </w:rPr>
        <w:t>και στη συνέχεια πλήρης εφαρμογή.</w:t>
      </w:r>
    </w:p>
    <w:p>
      <w:pPr>
        <w:pStyle w:val="ManualHeading2"/>
        <w:rPr>
          <w:bCs/>
          <w:noProof/>
          <w:szCs w:val="24"/>
        </w:rPr>
      </w:pPr>
      <w:r>
        <w:t>1.7.</w:t>
      </w:r>
      <w:r>
        <w:tab/>
      </w:r>
      <w:r>
        <w:rPr>
          <w:noProof/>
        </w:rPr>
        <w:t>Προβλεπόμενοι τρόποι διαχείρισης</w:t>
      </w:r>
      <w:r>
        <w:rPr>
          <w:rStyle w:val="FootnoteReference"/>
          <w:noProof/>
        </w:rPr>
        <w:footnoteReference w:id="29"/>
      </w:r>
      <w:r>
        <w:rPr>
          <w:rStyle w:val="FootnoteReference"/>
          <w:noProof/>
        </w:rPr>
        <w:t xml:space="preserve">  </w:t>
      </w:r>
    </w:p>
    <w:p>
      <w:pPr>
        <w:pStyle w:val="Text1"/>
        <w:rPr>
          <w:noProof/>
        </w:rPr>
      </w:pPr>
      <w:r>
        <w:rPr>
          <w:i/>
          <w:noProof/>
        </w:rPr>
        <w:t xml:space="preserve"> </w:t>
      </w:r>
      <w:r>
        <w:rPr>
          <w:noProof/>
        </w:rPr>
        <w:sym w:font="Wingdings" w:char="F0FC"/>
      </w:r>
      <w:r>
        <w:rPr>
          <w:i/>
          <w:noProof/>
        </w:rPr>
        <w:t xml:space="preserve"> </w:t>
      </w:r>
      <w:r>
        <w:rPr>
          <w:b/>
          <w:noProof/>
        </w:rPr>
        <w:t xml:space="preserve">Άμεση διαχείριση </w:t>
      </w:r>
      <w:r>
        <w:rPr>
          <w:noProof/>
        </w:rPr>
        <w:t>από την Επιτροπή</w:t>
      </w:r>
    </w:p>
    <w:p>
      <w:pPr>
        <w:pStyle w:val="ListDash2"/>
        <w:rPr>
          <w:rFonts w:cs="EUAlbertina"/>
          <w:noProof/>
        </w:rPr>
      </w:pPr>
      <w:r>
        <w:rPr>
          <w:noProof/>
        </w:rPr>
        <w:sym w:font="Wingdings" w:char="F0FC"/>
      </w:r>
      <w:r>
        <w:rPr>
          <w:i/>
          <w:noProof/>
        </w:rPr>
        <w:t xml:space="preserve"> </w:t>
      </w:r>
      <w:r>
        <w:rPr>
          <w:noProof/>
        </w:rPr>
        <w:t xml:space="preserve">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FC"/>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FC"/>
      </w:r>
      <w:r>
        <w:rPr>
          <w:i/>
          <w:noProof/>
        </w:rPr>
        <w:t xml:space="preserve"> </w:t>
      </w:r>
      <w:r>
        <w:rPr>
          <w:noProof/>
        </w:rPr>
        <w:t>σε διεθνείς οργανισμούς και στις οργανώσεις τους (να προσδιοριστούν)</w:t>
      </w:r>
    </w:p>
    <w:p>
      <w:pPr>
        <w:pStyle w:val="ListDash2"/>
        <w:rPr>
          <w:noProof/>
        </w:rPr>
      </w:pPr>
      <w:r>
        <w:rPr>
          <w:noProof/>
        </w:rPr>
        <w:sym w:font="Wingdings" w:char="F0FC"/>
      </w:r>
      <w:r>
        <w:rPr>
          <w:i/>
          <w:noProof/>
        </w:rPr>
        <w:t xml:space="preserve"> </w:t>
      </w:r>
      <w:r>
        <w:rPr>
          <w:noProof/>
        </w:rPr>
        <w:t>στην ΕΤΕπ και στο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208 και 209 του δημοσιονομικού κανονισμού</w:t>
      </w:r>
    </w:p>
    <w:p>
      <w:pPr>
        <w:pStyle w:val="ListDash2"/>
        <w:rPr>
          <w:noProof/>
        </w:rPr>
      </w:pPr>
      <w:r>
        <w:rPr>
          <w:noProof/>
        </w:rPr>
        <w:sym w:font="Wingdings" w:char="F0FC"/>
      </w:r>
      <w:r>
        <w:rPr>
          <w:i/>
          <w:noProof/>
        </w:rPr>
        <w:t xml:space="preserve"> </w:t>
      </w:r>
      <w:r>
        <w:rPr>
          <w:noProof/>
        </w:rPr>
        <w:t>σε οργανισμούς δημοσίου δικαίου</w:t>
      </w:r>
    </w:p>
    <w:p>
      <w:pPr>
        <w:pStyle w:val="ListDash2"/>
        <w:rPr>
          <w:noProof/>
        </w:rPr>
      </w:pPr>
      <w:r>
        <w:rPr>
          <w:noProof/>
        </w:rPr>
        <w:sym w:font="Wingdings" w:char="F0FC"/>
      </w:r>
      <w:r>
        <w:rPr>
          <w:i/>
          <w:noProof/>
        </w:rPr>
        <w:t xml:space="preserve"> </w:t>
      </w:r>
      <w:r>
        <w:rPr>
          <w:noProof/>
        </w:rPr>
        <w:t>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rPr>
          <w:noProof/>
        </w:rPr>
        <w:t>Άνευ αντικειμένου</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ΜΕΤΡΑ ΔΙΑΧΕΙΡΙΣΗΣ </w:t>
      </w:r>
    </w:p>
    <w:p>
      <w:pPr>
        <w:pStyle w:val="ManualHeading2"/>
        <w:rPr>
          <w:noProof/>
        </w:rPr>
      </w:pPr>
      <w:r>
        <w:t>2.1.</w:t>
      </w:r>
      <w:r>
        <w:tab/>
      </w:r>
      <w:r>
        <w:rPr>
          <w:noProof/>
        </w:rPr>
        <w:t xml:space="preserve">Κανόνες παρακολούθησης και υποβολής εκθέσεων </w:t>
      </w:r>
    </w:p>
    <w:p>
      <w:pPr>
        <w:pStyle w:val="Text1"/>
        <w:rPr>
          <w:i/>
          <w:noProof/>
          <w:sz w:val="20"/>
          <w:u w:val="single"/>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noProof/>
        </w:rPr>
      </w:pPr>
      <w:r>
        <w:rPr>
          <w:noProof/>
        </w:rPr>
        <w:t>Η πρόταση περιλαμβάνει υποχρεώσεις παρακολούθησης και αξιολόγησης. Η επίτευξη των ειδικών στόχων θα παρακολουθείται σε συνάρτηση με τους δείκτες που καθορίζονται στην πρόταση· η Επιτροπή θα υποβάλλει ετησίως έκθεση στο Ευρωπαϊκό Κοινοβούλιο και στο Συμβούλιο σχετικά με την εφαρμογή του κανονισμού.</w:t>
      </w:r>
    </w:p>
    <w:p>
      <w:pPr>
        <w:pStyle w:val="Text1"/>
        <w:pBdr>
          <w:top w:val="single" w:sz="4" w:space="1" w:color="auto"/>
          <w:left w:val="single" w:sz="4" w:space="4" w:color="auto"/>
          <w:bottom w:val="single" w:sz="4" w:space="1" w:color="auto"/>
          <w:right w:val="single" w:sz="4" w:space="4" w:color="auto"/>
        </w:pBdr>
        <w:rPr>
          <w:noProof/>
        </w:rPr>
      </w:pPr>
      <w:r>
        <w:rPr>
          <w:noProof/>
        </w:rPr>
        <w:t>Η Επιτροπή θα υποβάλει στο Ευρωπαϊκό Κοινοβούλιο και στο Συμβούλιο έκθεση ενδιάμεσης αξιολόγησης και έκθεση εκ των υστέρων αξιολόγησης.</w:t>
      </w:r>
    </w:p>
    <w:p>
      <w:pPr>
        <w:pStyle w:val="Text1"/>
        <w:pBdr>
          <w:top w:val="single" w:sz="4" w:space="1" w:color="auto"/>
          <w:left w:val="single" w:sz="4" w:space="4" w:color="auto"/>
          <w:bottom w:val="single" w:sz="4" w:space="1" w:color="auto"/>
          <w:right w:val="single" w:sz="4" w:space="4" w:color="auto"/>
        </w:pBdr>
        <w:rPr>
          <w:noProof/>
        </w:rPr>
      </w:pPr>
      <w:r>
        <w:rPr>
          <w:noProof/>
        </w:rPr>
        <w:t>Η έκθεση ενδιάμεσης αξιολόγησης θα περιλαμβάνει πληροφορίες σχετικά με την επίτευξη των στόχων του κανονισμού, καθώς και σχετικά με την αποτελεσματικότητα, την αποδοτικότητα, τη συνάφεια, τη συνοχή και την ενωσιακή προστιθέμενη αξία του κανονισμού. Θα εξετάσει επίσης κατά πόσον εξακολουθούν να είναι συναφείς όλοι οι στόχοι και οι δράσεις. Η έκθεση εκ των υστέρων αξιολόγησης θα συνίσταται σε συνολική αξιολόγηση του κανονισμού και θα περιλαμβάνει πληροφορίες σχετικά με τις μακροπρόθεσμες επιπτώσεις του.</w:t>
      </w:r>
    </w:p>
    <w:p>
      <w:pPr>
        <w:pStyle w:val="ManualHeading2"/>
        <w:rPr>
          <w:bCs/>
          <w:noProof/>
          <w:szCs w:val="24"/>
        </w:rPr>
      </w:pPr>
      <w:r>
        <w:t>2.2.</w:t>
      </w:r>
      <w:r>
        <w:tab/>
      </w:r>
      <w:r>
        <w:rPr>
          <w:noProof/>
        </w:rPr>
        <w:t xml:space="preserve">Σύστημα διαχείρισης και ελέγχου </w:t>
      </w:r>
    </w:p>
    <w:p>
      <w:pPr>
        <w:pStyle w:val="ManualHeading3"/>
        <w:rPr>
          <w:noProof/>
        </w:rPr>
      </w:pPr>
      <w:r>
        <w:t>2.2.1.</w:t>
      </w:r>
      <w:r>
        <w:tab/>
      </w:r>
      <w:r>
        <w:rPr>
          <w:noProof/>
        </w:rPr>
        <w:t xml:space="preserve">Κίνδυνοι που έχουν εντοπιστεί </w:t>
      </w:r>
    </w:p>
    <w:p>
      <w:pPr>
        <w:pStyle w:val="Text1"/>
        <w:pBdr>
          <w:top w:val="single" w:sz="4" w:space="1" w:color="auto"/>
          <w:left w:val="single" w:sz="4" w:space="4" w:color="auto"/>
          <w:bottom w:val="single" w:sz="4" w:space="1" w:color="auto"/>
          <w:right w:val="single" w:sz="4" w:space="4" w:color="auto"/>
        </w:pBdr>
        <w:rPr>
          <w:noProof/>
        </w:rPr>
      </w:pPr>
      <w:r>
        <w:rPr>
          <w:noProof/>
        </w:rPr>
        <w:t>Οι κίνδυνοι σχετίζονται με την επιλογή εταίρων (π.χ. διεθνείς χρηματοπιστωτικοί οργανισμοί και δικαιούχοι), το στάδιο ανάθεσης των συμβάσεων (μεταφορά των απαιτήσεων της Επιτροπής στα συμβατικά έγγραφα), την παρακολούθηση και τις χρηματοοικονομικές συναλλαγές (μη τήρηση των διαδικασιών που προβλέπονται από την Επιτροπή) και τη μέτρηση των επιδόσεων (μη επίτευξη προκαθορισμένων στόχων).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Τα μέτρα που θα ληφθούν για τον μετριασμό αυτών των κινδύνων είναι τα ακόλουθα: </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τήρηση της καθιερωμένης διαδικασίας αξιολόγησης πριν από την απόφαση ανάθεσης·</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xml:space="preserve">- εκ των προτέρων επαλήθευση από την υπηρεσία διαχείρισης του προγράμματος και δημοσιονομική επαλήθευση από την οικονομική υπηρεσία· </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ιεραρχική επικύρωση των λειτουργιών μέσω κατάλληλων κυκλωμάτων·</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εκ των προτέρων αξιολόγηση για την εντεταλμένη οντότητα (αξιολόγηση κατά πυλώνες)· και</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εκ των υστέρων έλεγχοι για την αντιμετώπιση των συστημικών αδυναμιών των εκ των προτέρων ελέγχων και για τη συμβολή στις διορθώσεις των αχρεωστήτως καταβληθέντων ποσών.</w:t>
      </w:r>
    </w:p>
    <w:p>
      <w:pPr>
        <w:pStyle w:val="ManualHeading3"/>
        <w:rPr>
          <w:bCs/>
          <w:noProof/>
          <w:szCs w:val="24"/>
        </w:rPr>
      </w:pPr>
      <w:r>
        <w:t>2.2.2.</w:t>
      </w:r>
      <w:r>
        <w:tab/>
      </w:r>
      <w:r>
        <w:rPr>
          <w:noProof/>
        </w:rPr>
        <w:t>Πληροφορίες σχετικά με το σύστημα εσωτερικού ελέγχου που έχει δημιουργηθεί</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Το Μέσο μπορεί να εφαρμόζεται είτε άμεσα από την Επιτροπή είτε έμμεσα, σύμφωνα με το άρθρο 62 παράγραφος 1 στοιχείο γ) του δημοσιονομικού κανονισμού. Το Μέσο στηρίζεται στην εμπειρία του ΠΣΔΜ, το οποίο αποτελεί αντικείμενο άμεσης και έμμεσης διαχείρισης, ένα ελκυστικό χαρακτηριστικό του οποίου έχει αποδειχθεί ότι είναι η διοικητική του απλότητα. Για να εξασφαλιστεί η συνέχεια και να διατηρηθεί η συνοχή του πλαισίου, η άμεση διαχείριση (και, κατά περίπτωση, η έμμεση διαχείριση) αποτελεί την πλέον κατάλληλη επιλογή. Όπου ενδείκνυται, υπό το πρίσμα των στόχων πολιτικής και λαμβάνοντας επίσης υπόψη τους στόχους ελέγχου, θα χρησιμοποιηθεί επίσης και η έμμεση διαχείριση με διεθνείς οργανισμούς. Η στρατηγική ελέγχου θεωρείται κατάλληλη και ισορροπημένη για την αντιμετώπιση του παραδοσιακού κινδύνου που συνδέεται με την άμεση ή έμμεση διαχείριση των προμηθειών και επιχορηγήσεων και συμφωνιών συνεισφοράς, όπως περιγράφεται λεπτομερώς στο σημείο 2.2.1. </w:t>
      </w:r>
    </w:p>
    <w:p>
      <w:pPr>
        <w:pStyle w:val="ManualHeading3"/>
        <w:rPr>
          <w:noProof/>
        </w:rPr>
      </w:pPr>
      <w:r>
        <w:t>2.2.3.</w:t>
      </w:r>
      <w:r>
        <w:tab/>
      </w:r>
      <w:r>
        <w:rPr>
          <w:noProof/>
        </w:rPr>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Με βάση τις τελευταίες πληροφορίες [που διατίθενται στο σχέδιο διαχείρισης και την ετήσια έκθεση δραστηριοτήτων της SRSS (σημερινή ΓΔ REFORM) για το 2018], η εκτίμηση της σχέσης κόστους-αποτελεσματικότητας των ελέγχων είναι κάτω από 5 %.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δαπάνες προσωπικού εκτιμώνται με τη χρήση προσεγγίσεων που βασίζονται στην ανάλυση του οργανογράμματος και των περιγραφών καθηκόντων, ενώ το εξωτερικό κόστος των ελέγχων βασίζεται στις τιμές αντίστοιχων συμβάσεων και σχετικών πληρωμών. </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Λαμβανομένου υπόψη του προτεινόμενου τρόπου διαχείρισης, της αξιολόγησης κινδύνου και του προτεινόμενου μετριασμού των κινδύνων, το αναμενόμενο ποσοστό σφάλματος είναι χαμηλό.</w:t>
      </w:r>
    </w:p>
    <w:p>
      <w:pPr>
        <w:pStyle w:val="ManualHeading2"/>
        <w:rPr>
          <w:bCs/>
          <w:noProof/>
          <w:szCs w:val="24"/>
        </w:rPr>
      </w:pPr>
      <w:r>
        <w:t>2.3.</w:t>
      </w:r>
      <w:r>
        <w:tab/>
      </w:r>
      <w:r>
        <w:rPr>
          <w:noProof/>
        </w:rPr>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rPr>
          <w:noProof/>
        </w:rPr>
      </w:pPr>
      <w:r>
        <w:rPr>
          <w:noProof/>
        </w:rPr>
        <w:t>Έχουν θεσπιστεί διάφορα μέτρα σε σχέση με το Μέσο τα οποία αποσκοπούν στην πρόληψη των περιπτώσεων απάτης και παρατυπίας.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Στο πλαίσιο της στρατηγικής της Επιτροπής για την καταπολέμηση της απάτης, η οποία καλύπτει ολόκληρο τον κύκλο δαπανών, η ΓΔ REFORM θα καταρτίσει ειδικό σχέδιο δράσης για την καταπολέμηση της απάτης σε σχέση με τις εν λόγω δαπάνες, λαμβάνοντας υπόψη την αναλογικότητα και τη σχέση κόστους-οφέλους των προς εφαρμογή μέτρων. Το σχέδιο αυτό θα βασιστεί σε γενικές γραμμές στην πείρα που αποκτήθηκε κατά την εφαρμογή της τρέχουσας στρατηγικής της ΓΔ REFORM για την καταπολέμηση της απάτης.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Σε όλα τα επίπεδα διαχείρισης θα ισχύουν κατάλληλες διαδικασίες εσωτερικού ελέγχου, οι οποίες θα είναι σχεδιασμένες έτσι ώστε να παρέχουν εύλογη βεβαιότητα ως προς την επίτευξη των ακόλουθων στόχων: αποτελεσματικότητα, αποδοτικότητα και οικονομία των πράξεων· αξιοπιστία των εκθέσεων· διασφάλιση των περιουσιακών στοιχείων και των πληροφοριών· επαρκής διαχείριση των κινδύνων που σχετίζονται με τη νομιμότητα και την κανονικότητα των υποκείμενων πράξεων, και πρόληψη, εντοπισμός, διόρθωση και παρακολούθηση των περιπτώσεων απάτης και παρατυπίας. </w:t>
      </w:r>
    </w:p>
    <w:p>
      <w:pPr>
        <w:pStyle w:val="Text1"/>
        <w:pBdr>
          <w:top w:val="single" w:sz="4" w:space="1" w:color="auto"/>
          <w:left w:val="single" w:sz="4" w:space="4" w:color="auto"/>
          <w:bottom w:val="single" w:sz="4" w:space="1" w:color="auto"/>
          <w:right w:val="single" w:sz="4" w:space="4" w:color="auto"/>
        </w:pBdr>
        <w:rPr>
          <w:rFonts w:eastAsiaTheme="majorEastAsia"/>
          <w:b/>
          <w:bCs/>
          <w:noProof/>
          <w:szCs w:val="26"/>
        </w:rPr>
      </w:pPr>
      <w:r>
        <w:rPr>
          <w:noProof/>
        </w:rPr>
        <w:t xml:space="preserve">Το σχέδιο δράσης κατά της απάτης θα περιγράφει το σύστημα εκ των προτέρων και εκ των υστέρων ελέγχων οι οποίοι βασίζονται σ᾽ ένα σύστημα δεικτών έγκαιρης ενημέρωσης, και θα προσδιορίζει τις διαδικασίες που πρέπει να ακολουθούνται από το προσωπικό εάν ανιχνευθούν περιπτώσεις απάτης ή παρατυπίας. Επιπλέον, θα παρέχει πληροφορίες σχετικά με τις ρυθμίσεις συνεργασίας με την OLAF.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ΕΚΤΙΜΩΜΕΝΕΣ ΔΗΜΟΣΙΟΝΟΜΙΚΕΣ ΕΠΙΠΤΩΣΕΙΣ ΤΗΣ ΠΡΟΤΑΣΗΣ/ΠΡΩΤΟΒΟΥΛΙΑΣ </w:t>
      </w:r>
    </w:p>
    <w:p>
      <w:pPr>
        <w:pStyle w:val="ManualHeading2"/>
        <w:rPr>
          <w:noProof/>
        </w:rPr>
      </w:pPr>
      <w:r>
        <w:t>3.1.</w:t>
      </w:r>
      <w:r>
        <w:tab/>
      </w:r>
      <w:r>
        <w:rPr>
          <w:noProof/>
        </w:rPr>
        <w:t xml:space="preserve">Τομείς του πολυετούς δημοσιονομικού πλαισίου και γραμμές δαπανών του προϋπολογισμού που επηρεάζονται </w:t>
      </w:r>
    </w:p>
    <w:p>
      <w:pPr>
        <w:pStyle w:val="ListBullet1"/>
        <w:rPr>
          <w:noProof/>
        </w:rPr>
      </w:pPr>
      <w:r>
        <w:rPr>
          <w:noProof/>
        </w:rPr>
        <w:t xml:space="preserve">Υφιστάμενες γραμμές του προϋπολογισμού </w:t>
      </w:r>
    </w:p>
    <w:p>
      <w:pPr>
        <w:pStyle w:val="Text1"/>
        <w:rPr>
          <w:noProof/>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Τομέας του πολυετούς δημοσιονομικού πλαισίου</w:t>
            </w:r>
          </w:p>
        </w:tc>
        <w:tc>
          <w:tcPr>
            <w:tcW w:w="3960" w:type="dxa"/>
            <w:vAlign w:val="center"/>
          </w:tcPr>
          <w:p>
            <w:pPr>
              <w:spacing w:before="60" w:after="60"/>
              <w:jc w:val="center"/>
              <w:rPr>
                <w:noProof/>
                <w:sz w:val="22"/>
              </w:rPr>
            </w:pPr>
            <w:r>
              <w:rPr>
                <w:noProof/>
                <w:sz w:val="20"/>
              </w:rPr>
              <w:t>Γραμμή του προϋπολογισμού</w:t>
            </w:r>
          </w:p>
        </w:tc>
        <w:tc>
          <w:tcPr>
            <w:tcW w:w="1080" w:type="dxa"/>
            <w:vAlign w:val="center"/>
          </w:tcPr>
          <w:p>
            <w:pPr>
              <w:spacing w:before="60" w:after="60"/>
              <w:jc w:val="center"/>
              <w:rPr>
                <w:noProof/>
                <w:sz w:val="22"/>
              </w:rPr>
            </w:pPr>
            <w:r>
              <w:rPr>
                <w:noProof/>
                <w:sz w:val="18"/>
              </w:rPr>
              <w:t>Είδος</w:t>
            </w:r>
            <w:r>
              <w:rPr>
                <w:noProof/>
              </w:rPr>
              <w:br/>
            </w:r>
            <w:r>
              <w:rPr>
                <w:noProof/>
                <w:sz w:val="18"/>
              </w:rPr>
              <w:t>δαπάνης</w:t>
            </w:r>
          </w:p>
        </w:tc>
        <w:tc>
          <w:tcPr>
            <w:tcW w:w="4440" w:type="dxa"/>
            <w:gridSpan w:val="4"/>
            <w:vAlign w:val="center"/>
          </w:tcPr>
          <w:p>
            <w:pPr>
              <w:spacing w:before="60" w:after="60"/>
              <w:jc w:val="center"/>
              <w:rPr>
                <w:noProof/>
                <w:sz w:val="22"/>
              </w:rPr>
            </w:pPr>
            <w:r>
              <w:rPr>
                <w:noProof/>
                <w:sz w:val="20"/>
              </w:rPr>
              <w:t xml:space="preserve">Συμμετοχή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Αριθμός</w:t>
            </w:r>
            <w:r>
              <w:rPr>
                <w:noProof/>
              </w:rPr>
              <w:br/>
            </w:r>
            <w:r>
              <w:rPr>
                <w:noProof/>
                <w:sz w:val="20"/>
              </w:rPr>
              <w:t>Τομέας 2: Συνοχή και αξίες</w:t>
            </w:r>
          </w:p>
        </w:tc>
        <w:tc>
          <w:tcPr>
            <w:tcW w:w="1080" w:type="dxa"/>
            <w:vAlign w:val="center"/>
          </w:tcPr>
          <w:p>
            <w:pPr>
              <w:jc w:val="center"/>
              <w:rPr>
                <w:noProof/>
                <w:sz w:val="22"/>
              </w:rPr>
            </w:pPr>
            <w:r>
              <w:rPr>
                <w:noProof/>
                <w:sz w:val="18"/>
              </w:rPr>
              <w:t>ΔΠ/ΜΔΠ</w:t>
            </w:r>
            <w:r>
              <w:rPr>
                <w:rStyle w:val="FootnoteReference"/>
                <w:noProof/>
                <w:sz w:val="18"/>
              </w:rPr>
              <w:footnoteReference w:id="30"/>
            </w:r>
          </w:p>
        </w:tc>
        <w:tc>
          <w:tcPr>
            <w:tcW w:w="956" w:type="dxa"/>
            <w:vAlign w:val="center"/>
          </w:tcPr>
          <w:p>
            <w:pPr>
              <w:jc w:val="center"/>
              <w:rPr>
                <w:noProof/>
                <w:sz w:val="22"/>
              </w:rPr>
            </w:pPr>
            <w:r>
              <w:rPr>
                <w:noProof/>
                <w:sz w:val="18"/>
              </w:rPr>
              <w:t>χωρών ΕΖΕΣ</w:t>
            </w:r>
            <w:r>
              <w:rPr>
                <w:rStyle w:val="FootnoteReference"/>
                <w:noProof/>
                <w:sz w:val="18"/>
              </w:rPr>
              <w:footnoteReference w:id="31"/>
            </w:r>
          </w:p>
          <w:p>
            <w:pPr>
              <w:spacing w:before="0" w:after="0"/>
              <w:jc w:val="center"/>
              <w:rPr>
                <w:b/>
                <w:noProof/>
                <w:sz w:val="18"/>
              </w:rPr>
            </w:pPr>
          </w:p>
        </w:tc>
        <w:tc>
          <w:tcPr>
            <w:tcW w:w="1080" w:type="dxa"/>
            <w:vAlign w:val="center"/>
          </w:tcPr>
          <w:p>
            <w:pPr>
              <w:jc w:val="center"/>
              <w:rPr>
                <w:noProof/>
                <w:sz w:val="22"/>
              </w:rPr>
            </w:pPr>
            <w:r>
              <w:rPr>
                <w:noProof/>
                <w:sz w:val="18"/>
              </w:rPr>
              <w:t>υποψηφίων για ένταξη χωρών</w:t>
            </w:r>
            <w:r>
              <w:rPr>
                <w:rStyle w:val="FootnoteReference"/>
                <w:noProof/>
                <w:sz w:val="18"/>
              </w:rPr>
              <w:footnoteReference w:id="32"/>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sz w:val="22"/>
              </w:rPr>
            </w:pPr>
            <w:r>
              <w:rPr>
                <w:noProof/>
                <w:color w:val="0000FF"/>
                <w:sz w:val="22"/>
              </w:rPr>
              <w:t>2</w:t>
            </w:r>
          </w:p>
        </w:tc>
        <w:tc>
          <w:tcPr>
            <w:tcW w:w="3960" w:type="dxa"/>
            <w:vAlign w:val="center"/>
          </w:tcPr>
          <w:p>
            <w:pPr>
              <w:spacing w:before="60"/>
              <w:rPr>
                <w:noProof/>
                <w:sz w:val="22"/>
              </w:rPr>
            </w:pPr>
            <w:r>
              <w:t xml:space="preserve"> </w:t>
            </w:r>
            <w:r>
              <w:rPr>
                <w:noProof/>
                <w:color w:val="0000FF"/>
                <w:sz w:val="22"/>
              </w:rPr>
              <w:t>06.01 04 01 (Δαπάνες στήριξης για το Μέσο Τεχνικής Υποστήριξης – ΜΤΥ)</w:t>
            </w:r>
          </w:p>
        </w:tc>
        <w:tc>
          <w:tcPr>
            <w:tcW w:w="1080" w:type="dxa"/>
            <w:vAlign w:val="center"/>
          </w:tcPr>
          <w:p>
            <w:pPr>
              <w:jc w:val="center"/>
              <w:rPr>
                <w:noProof/>
                <w:color w:val="0000FF"/>
                <w:sz w:val="22"/>
              </w:rPr>
            </w:pPr>
            <w:r>
              <w:rPr>
                <w:noProof/>
                <w:sz w:val="22"/>
              </w:rPr>
              <w:t>ΔΠ/ΜΔΠ</w:t>
            </w:r>
          </w:p>
        </w:tc>
        <w:tc>
          <w:tcPr>
            <w:tcW w:w="956" w:type="dxa"/>
            <w:vAlign w:val="center"/>
          </w:tcPr>
          <w:p>
            <w:pPr>
              <w:jc w:val="center"/>
              <w:rPr>
                <w:noProof/>
                <w:sz w:val="22"/>
              </w:rPr>
            </w:pPr>
            <w:r>
              <w:rPr>
                <w:noProof/>
                <w:sz w:val="22"/>
              </w:rPr>
              <w:t>ΟΧΙ</w:t>
            </w:r>
          </w:p>
        </w:tc>
        <w:tc>
          <w:tcPr>
            <w:tcW w:w="1080" w:type="dxa"/>
            <w:vAlign w:val="center"/>
          </w:tcPr>
          <w:p>
            <w:pPr>
              <w:jc w:val="center"/>
              <w:rPr>
                <w:noProof/>
                <w:sz w:val="22"/>
              </w:rPr>
            </w:pPr>
            <w:r>
              <w:rPr>
                <w:noProof/>
                <w:sz w:val="22"/>
              </w:rPr>
              <w:t>ΟΧΙ</w:t>
            </w:r>
          </w:p>
        </w:tc>
        <w:tc>
          <w:tcPr>
            <w:tcW w:w="956" w:type="dxa"/>
            <w:vAlign w:val="center"/>
          </w:tcPr>
          <w:p>
            <w:pPr>
              <w:jc w:val="center"/>
              <w:rPr>
                <w:noProof/>
                <w:sz w:val="22"/>
              </w:rPr>
            </w:pPr>
            <w:r>
              <w:rPr>
                <w:noProof/>
                <w:sz w:val="22"/>
              </w:rPr>
              <w:t>ΟΧΙ</w:t>
            </w:r>
          </w:p>
        </w:tc>
        <w:tc>
          <w:tcPr>
            <w:tcW w:w="1448" w:type="dxa"/>
            <w:vAlign w:val="center"/>
          </w:tcPr>
          <w:p>
            <w:pPr>
              <w:jc w:val="center"/>
              <w:rPr>
                <w:noProof/>
                <w:sz w:val="22"/>
              </w:rPr>
            </w:pPr>
            <w:r>
              <w:rPr>
                <w:noProof/>
                <w:sz w:val="22"/>
              </w:rPr>
              <w:t>ΟΧΙ</w:t>
            </w:r>
          </w:p>
        </w:tc>
      </w:tr>
      <w:tr>
        <w:tc>
          <w:tcPr>
            <w:tcW w:w="1080" w:type="dxa"/>
            <w:vAlign w:val="center"/>
          </w:tcPr>
          <w:p>
            <w:pPr>
              <w:jc w:val="center"/>
              <w:rPr>
                <w:noProof/>
                <w:color w:val="0000FF"/>
                <w:sz w:val="22"/>
              </w:rPr>
            </w:pPr>
            <w:r>
              <w:rPr>
                <w:noProof/>
                <w:color w:val="0000FF"/>
                <w:sz w:val="22"/>
              </w:rPr>
              <w:t>2</w:t>
            </w:r>
          </w:p>
        </w:tc>
        <w:tc>
          <w:tcPr>
            <w:tcW w:w="3960" w:type="dxa"/>
            <w:vAlign w:val="center"/>
          </w:tcPr>
          <w:p>
            <w:pPr>
              <w:spacing w:before="60"/>
            </w:pPr>
            <w:r>
              <w:t>06.02.02 (ΜΤΥ – Επιχειρησιακή τεχνική υποστήριξη)</w:t>
            </w:r>
          </w:p>
        </w:tc>
        <w:tc>
          <w:tcPr>
            <w:tcW w:w="1080" w:type="dxa"/>
            <w:vAlign w:val="center"/>
          </w:tcPr>
          <w:p>
            <w:pPr>
              <w:jc w:val="center"/>
              <w:rPr>
                <w:noProof/>
                <w:sz w:val="22"/>
              </w:rPr>
            </w:pPr>
            <w:r>
              <w:rPr>
                <w:noProof/>
                <w:sz w:val="22"/>
              </w:rPr>
              <w:t>ΔΠ</w:t>
            </w:r>
          </w:p>
        </w:tc>
        <w:tc>
          <w:tcPr>
            <w:tcW w:w="956" w:type="dxa"/>
            <w:vAlign w:val="center"/>
          </w:tcPr>
          <w:p>
            <w:pPr>
              <w:jc w:val="center"/>
              <w:rPr>
                <w:noProof/>
                <w:sz w:val="22"/>
              </w:rPr>
            </w:pPr>
            <w:r>
              <w:rPr>
                <w:noProof/>
                <w:sz w:val="22"/>
              </w:rPr>
              <w:t>ΟΧΙ</w:t>
            </w:r>
          </w:p>
        </w:tc>
        <w:tc>
          <w:tcPr>
            <w:tcW w:w="1080" w:type="dxa"/>
            <w:vAlign w:val="center"/>
          </w:tcPr>
          <w:p>
            <w:pPr>
              <w:jc w:val="center"/>
              <w:rPr>
                <w:noProof/>
                <w:sz w:val="22"/>
              </w:rPr>
            </w:pPr>
            <w:r>
              <w:rPr>
                <w:noProof/>
                <w:sz w:val="22"/>
              </w:rPr>
              <w:t>ΟΧΙ</w:t>
            </w:r>
          </w:p>
        </w:tc>
        <w:tc>
          <w:tcPr>
            <w:tcW w:w="956" w:type="dxa"/>
            <w:vAlign w:val="center"/>
          </w:tcPr>
          <w:p>
            <w:pPr>
              <w:jc w:val="center"/>
              <w:rPr>
                <w:noProof/>
                <w:sz w:val="22"/>
              </w:rPr>
            </w:pPr>
            <w:r>
              <w:rPr>
                <w:noProof/>
                <w:sz w:val="22"/>
              </w:rPr>
              <w:t>ΟΧΙ</w:t>
            </w:r>
          </w:p>
        </w:tc>
        <w:tc>
          <w:tcPr>
            <w:tcW w:w="1448" w:type="dxa"/>
            <w:vAlign w:val="center"/>
          </w:tcPr>
          <w:p>
            <w:pPr>
              <w:jc w:val="center"/>
              <w:rPr>
                <w:noProof/>
                <w:sz w:val="22"/>
              </w:rPr>
            </w:pPr>
            <w:r>
              <w:rPr>
                <w:noProof/>
                <w:sz w:val="22"/>
              </w:rPr>
              <w:t>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Εκτιμώμενες επιπτώσεις στις δαπάνες </w:t>
      </w:r>
    </w:p>
    <w:p>
      <w:pPr>
        <w:pStyle w:val="ManualHeading3"/>
        <w:rPr>
          <w:noProof/>
          <w:u w:val="single"/>
        </w:rPr>
      </w:pPr>
      <w:r>
        <w:t>3.2.1.</w:t>
      </w:r>
      <w:r>
        <w:tab/>
      </w:r>
      <w:r>
        <w:rPr>
          <w:noProof/>
        </w:rPr>
        <w:t xml:space="preserve">Συνοπτική παρουσίαση των εκτιμώμενων επιπτώσεων στις δαπάνες </w:t>
      </w:r>
    </w:p>
    <w:p>
      <w:pPr>
        <w:jc w:val="right"/>
        <w:rPr>
          <w:noProof/>
          <w:sz w:val="20"/>
        </w:rPr>
      </w:pPr>
      <w:r>
        <w:rPr>
          <w:noProof/>
          <w:sz w:val="20"/>
        </w:rPr>
        <w:t>σε εκατ. EUR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Τομέας του πολυετούς δημοσιονομικού πλαισίου</w:t>
            </w:r>
            <w:r>
              <w:rPr>
                <w:b/>
                <w:noProof/>
                <w:sz w:val="22"/>
              </w:rPr>
              <w:t xml:space="preserve"> </w:t>
            </w:r>
          </w:p>
        </w:tc>
        <w:tc>
          <w:tcPr>
            <w:tcW w:w="1080" w:type="dxa"/>
            <w:vAlign w:val="center"/>
          </w:tcPr>
          <w:p>
            <w:pPr>
              <w:spacing w:before="60" w:after="60"/>
              <w:jc w:val="center"/>
              <w:rPr>
                <w:noProof/>
                <w:sz w:val="22"/>
              </w:rPr>
            </w:pPr>
            <w:r>
              <w:rPr>
                <w:noProof/>
                <w:sz w:val="22"/>
              </w:rPr>
              <w:t>2</w:t>
            </w:r>
          </w:p>
        </w:tc>
        <w:tc>
          <w:tcPr>
            <w:tcW w:w="7817" w:type="dxa"/>
            <w:vAlign w:val="center"/>
          </w:tcPr>
          <w:p>
            <w:pPr>
              <w:spacing w:before="60" w:after="60"/>
              <w:rPr>
                <w:noProof/>
                <w:sz w:val="22"/>
              </w:rPr>
            </w:pPr>
            <w:r>
              <w:rPr>
                <w:noProof/>
                <w:sz w:val="22"/>
              </w:rPr>
              <w:t>Συνοχή και αξίες</w:t>
            </w:r>
          </w:p>
        </w:tc>
      </w:tr>
    </w:tbl>
    <w:p>
      <w:pPr>
        <w:rPr>
          <w:noProof/>
          <w:sz w:val="16"/>
        </w:rPr>
      </w:pPr>
    </w:p>
    <w:tbl>
      <w:tblPr>
        <w:tblW w:w="148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1438"/>
        <w:gridCol w:w="120"/>
        <w:gridCol w:w="533"/>
        <w:gridCol w:w="867"/>
        <w:gridCol w:w="867"/>
        <w:gridCol w:w="867"/>
        <w:gridCol w:w="867"/>
        <w:gridCol w:w="898"/>
        <w:gridCol w:w="898"/>
        <w:gridCol w:w="898"/>
        <w:gridCol w:w="898"/>
        <w:gridCol w:w="1775"/>
      </w:tblGrid>
      <w:tr>
        <w:trPr>
          <w:trHeight w:val="720"/>
        </w:trPr>
        <w:tc>
          <w:tcPr>
            <w:tcW w:w="3956" w:type="dxa"/>
            <w:vAlign w:val="center"/>
          </w:tcPr>
          <w:p>
            <w:pPr>
              <w:spacing w:before="0" w:after="200" w:line="276" w:lineRule="auto"/>
              <w:jc w:val="center"/>
              <w:rPr>
                <w:noProof/>
                <w:sz w:val="22"/>
              </w:rPr>
            </w:pPr>
            <w:r>
              <w:rPr>
                <w:noProof/>
                <w:sz w:val="22"/>
              </w:rPr>
              <w:t>ΓΔ REFORM</w:t>
            </w:r>
          </w:p>
        </w:tc>
        <w:tc>
          <w:tcPr>
            <w:tcW w:w="1558" w:type="dxa"/>
            <w:gridSpan w:val="2"/>
          </w:tcPr>
          <w:p>
            <w:pPr>
              <w:spacing w:before="0" w:after="200" w:line="276" w:lineRule="auto"/>
              <w:jc w:val="left"/>
              <w:rPr>
                <w:noProof/>
                <w:sz w:val="20"/>
              </w:rPr>
            </w:pPr>
          </w:p>
        </w:tc>
        <w:tc>
          <w:tcPr>
            <w:tcW w:w="533" w:type="dxa"/>
          </w:tcPr>
          <w:p>
            <w:pPr>
              <w:spacing w:before="0" w:after="200" w:line="276" w:lineRule="auto"/>
              <w:jc w:val="center"/>
              <w:rPr>
                <w:noProof/>
                <w:sz w:val="20"/>
              </w:rPr>
            </w:pPr>
          </w:p>
        </w:tc>
        <w:tc>
          <w:tcPr>
            <w:tcW w:w="867" w:type="dxa"/>
            <w:vAlign w:val="center"/>
          </w:tcPr>
          <w:p>
            <w:pPr>
              <w:spacing w:before="0" w:after="200" w:line="276" w:lineRule="auto"/>
              <w:jc w:val="center"/>
              <w:rPr>
                <w:noProof/>
                <w:sz w:val="20"/>
              </w:rPr>
            </w:pPr>
            <w:r>
              <w:rPr>
                <w:noProof/>
                <w:sz w:val="20"/>
              </w:rPr>
              <w:t>Έτος</w:t>
            </w:r>
            <w:r>
              <w:rPr>
                <w:noProof/>
              </w:rPr>
              <w:t xml:space="preserve"> </w:t>
            </w:r>
            <w:r>
              <w:rPr>
                <w:noProof/>
              </w:rPr>
              <w:br/>
            </w:r>
            <w:r>
              <w:rPr>
                <w:b/>
                <w:noProof/>
                <w:sz w:val="20"/>
              </w:rPr>
              <w:t>2021</w:t>
            </w:r>
          </w:p>
        </w:tc>
        <w:tc>
          <w:tcPr>
            <w:tcW w:w="867" w:type="dxa"/>
            <w:vAlign w:val="center"/>
          </w:tcPr>
          <w:p>
            <w:pPr>
              <w:spacing w:before="0" w:after="200" w:line="276" w:lineRule="auto"/>
              <w:jc w:val="center"/>
              <w:rPr>
                <w:noProof/>
                <w:sz w:val="20"/>
              </w:rPr>
            </w:pPr>
            <w:r>
              <w:rPr>
                <w:noProof/>
                <w:sz w:val="20"/>
              </w:rPr>
              <w:t>Έτος</w:t>
            </w:r>
            <w:r>
              <w:rPr>
                <w:noProof/>
              </w:rPr>
              <w:t xml:space="preserve"> </w:t>
            </w:r>
            <w:r>
              <w:rPr>
                <w:noProof/>
              </w:rPr>
              <w:br/>
            </w:r>
            <w:r>
              <w:rPr>
                <w:b/>
                <w:noProof/>
                <w:sz w:val="20"/>
              </w:rPr>
              <w:t>2022</w:t>
            </w:r>
          </w:p>
        </w:tc>
        <w:tc>
          <w:tcPr>
            <w:tcW w:w="867" w:type="dxa"/>
            <w:vAlign w:val="center"/>
          </w:tcPr>
          <w:p>
            <w:pPr>
              <w:spacing w:before="0" w:after="200" w:line="276" w:lineRule="auto"/>
              <w:jc w:val="center"/>
              <w:rPr>
                <w:noProof/>
                <w:sz w:val="20"/>
              </w:rPr>
            </w:pPr>
            <w:r>
              <w:rPr>
                <w:noProof/>
                <w:sz w:val="20"/>
              </w:rPr>
              <w:t>Έτος</w:t>
            </w:r>
            <w:r>
              <w:rPr>
                <w:noProof/>
              </w:rPr>
              <w:t xml:space="preserve"> </w:t>
            </w:r>
            <w:r>
              <w:rPr>
                <w:noProof/>
              </w:rPr>
              <w:br/>
            </w:r>
            <w:r>
              <w:rPr>
                <w:b/>
                <w:noProof/>
                <w:sz w:val="20"/>
              </w:rPr>
              <w:t>2023</w:t>
            </w:r>
          </w:p>
        </w:tc>
        <w:tc>
          <w:tcPr>
            <w:tcW w:w="867" w:type="dxa"/>
            <w:vAlign w:val="center"/>
          </w:tcPr>
          <w:p>
            <w:pPr>
              <w:spacing w:before="0" w:after="200" w:line="276" w:lineRule="auto"/>
              <w:jc w:val="center"/>
              <w:rPr>
                <w:noProof/>
                <w:sz w:val="20"/>
              </w:rPr>
            </w:pPr>
            <w:r>
              <w:rPr>
                <w:noProof/>
                <w:sz w:val="20"/>
              </w:rPr>
              <w:t>Έτος</w:t>
            </w:r>
            <w:r>
              <w:rPr>
                <w:noProof/>
              </w:rPr>
              <w:t xml:space="preserve"> </w:t>
            </w:r>
            <w:r>
              <w:rPr>
                <w:noProof/>
              </w:rPr>
              <w:br/>
            </w:r>
            <w:r>
              <w:rPr>
                <w:b/>
                <w:noProof/>
                <w:sz w:val="20"/>
              </w:rPr>
              <w:t>2024</w:t>
            </w:r>
          </w:p>
        </w:tc>
        <w:tc>
          <w:tcPr>
            <w:tcW w:w="898" w:type="dxa"/>
          </w:tcPr>
          <w:p>
            <w:pPr>
              <w:spacing w:before="0" w:after="200" w:line="276" w:lineRule="auto"/>
              <w:jc w:val="center"/>
              <w:rPr>
                <w:noProof/>
                <w:sz w:val="18"/>
              </w:rPr>
            </w:pPr>
            <w:r>
              <w:rPr>
                <w:noProof/>
                <w:sz w:val="20"/>
              </w:rPr>
              <w:t>Έτος</w:t>
            </w:r>
            <w:r>
              <w:rPr>
                <w:noProof/>
              </w:rPr>
              <w:t xml:space="preserve"> </w:t>
            </w:r>
            <w:r>
              <w:rPr>
                <w:noProof/>
              </w:rPr>
              <w:br/>
            </w:r>
            <w:r>
              <w:rPr>
                <w:b/>
                <w:noProof/>
                <w:sz w:val="20"/>
              </w:rPr>
              <w:t>2025</w:t>
            </w:r>
          </w:p>
        </w:tc>
        <w:tc>
          <w:tcPr>
            <w:tcW w:w="898" w:type="dxa"/>
          </w:tcPr>
          <w:p>
            <w:pPr>
              <w:spacing w:before="0" w:after="200" w:line="276" w:lineRule="auto"/>
              <w:jc w:val="center"/>
              <w:rPr>
                <w:noProof/>
                <w:sz w:val="18"/>
              </w:rPr>
            </w:pPr>
            <w:r>
              <w:rPr>
                <w:noProof/>
                <w:sz w:val="20"/>
              </w:rPr>
              <w:t>Έτος</w:t>
            </w:r>
            <w:r>
              <w:rPr>
                <w:noProof/>
              </w:rPr>
              <w:t xml:space="preserve"> </w:t>
            </w:r>
            <w:r>
              <w:rPr>
                <w:noProof/>
              </w:rPr>
              <w:br/>
            </w:r>
            <w:r>
              <w:rPr>
                <w:b/>
                <w:noProof/>
                <w:sz w:val="20"/>
              </w:rPr>
              <w:t>2026</w:t>
            </w:r>
          </w:p>
        </w:tc>
        <w:tc>
          <w:tcPr>
            <w:tcW w:w="898" w:type="dxa"/>
          </w:tcPr>
          <w:p>
            <w:pPr>
              <w:spacing w:before="0" w:after="200" w:line="276" w:lineRule="auto"/>
              <w:jc w:val="center"/>
              <w:rPr>
                <w:noProof/>
                <w:sz w:val="18"/>
              </w:rPr>
            </w:pPr>
            <w:r>
              <w:rPr>
                <w:noProof/>
                <w:sz w:val="20"/>
              </w:rPr>
              <w:t>Έτος</w:t>
            </w:r>
            <w:r>
              <w:rPr>
                <w:noProof/>
              </w:rPr>
              <w:t xml:space="preserve"> </w:t>
            </w:r>
            <w:r>
              <w:rPr>
                <w:noProof/>
              </w:rPr>
              <w:br/>
            </w:r>
            <w:r>
              <w:rPr>
                <w:b/>
                <w:noProof/>
                <w:sz w:val="20"/>
              </w:rPr>
              <w:t>2027</w:t>
            </w:r>
          </w:p>
        </w:tc>
        <w:tc>
          <w:tcPr>
            <w:tcW w:w="898" w:type="dxa"/>
          </w:tcPr>
          <w:p>
            <w:pPr>
              <w:spacing w:before="0" w:after="200" w:line="276" w:lineRule="auto"/>
              <w:jc w:val="center"/>
              <w:rPr>
                <w:noProof/>
                <w:sz w:val="18"/>
              </w:rPr>
            </w:pPr>
            <w:r>
              <w:rPr>
                <w:noProof/>
                <w:sz w:val="18"/>
              </w:rPr>
              <w:t xml:space="preserve">Μετά το </w:t>
            </w:r>
            <w:r>
              <w:rPr>
                <w:b/>
                <w:noProof/>
                <w:sz w:val="18"/>
              </w:rPr>
              <w:t>2027</w:t>
            </w:r>
          </w:p>
        </w:tc>
        <w:tc>
          <w:tcPr>
            <w:tcW w:w="1775" w:type="dxa"/>
            <w:vAlign w:val="center"/>
          </w:tcPr>
          <w:p>
            <w:pPr>
              <w:spacing w:before="0" w:after="200" w:line="276" w:lineRule="auto"/>
              <w:jc w:val="center"/>
              <w:rPr>
                <w:b/>
                <w:noProof/>
                <w:sz w:val="20"/>
              </w:rPr>
            </w:pPr>
            <w:r>
              <w:rPr>
                <w:b/>
                <w:noProof/>
                <w:sz w:val="20"/>
              </w:rPr>
              <w:t>ΣΥΝΟΛΟ</w:t>
            </w:r>
          </w:p>
        </w:tc>
      </w:tr>
      <w:tr>
        <w:trPr>
          <w:trHeight w:val="213"/>
        </w:trPr>
        <w:tc>
          <w:tcPr>
            <w:tcW w:w="6047" w:type="dxa"/>
            <w:gridSpan w:val="4"/>
            <w:vAlign w:val="center"/>
          </w:tcPr>
          <w:p>
            <w:pPr>
              <w:spacing w:before="20" w:after="20" w:line="276" w:lineRule="auto"/>
              <w:jc w:val="left"/>
              <w:rPr>
                <w:noProof/>
                <w:sz w:val="21"/>
              </w:rPr>
            </w:pPr>
            <w:r>
              <w:rPr>
                <w:noProof/>
                <w:sz w:val="21"/>
              </w:rPr>
              <w:sym w:font="Wingdings" w:char="F09F"/>
            </w:r>
            <w:r>
              <w:rPr>
                <w:noProof/>
                <w:sz w:val="21"/>
              </w:rPr>
              <w:t xml:space="preserve"> </w:t>
            </w:r>
            <w:r>
              <w:rPr>
                <w:noProof/>
              </w:rPr>
              <w:t>Επιχειρησιακές πιστώσεις</w:t>
            </w:r>
            <w:r>
              <w:rPr>
                <w:noProof/>
                <w:sz w:val="21"/>
              </w:rPr>
              <w:t xml:space="preserve"> </w:t>
            </w: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1775" w:type="dxa"/>
            <w:vAlign w:val="center"/>
          </w:tcPr>
          <w:p>
            <w:pPr>
              <w:spacing w:before="0" w:after="200" w:line="276" w:lineRule="auto"/>
              <w:jc w:val="left"/>
              <w:rPr>
                <w:b/>
                <w:noProof/>
                <w:sz w:val="20"/>
              </w:rPr>
            </w:pPr>
          </w:p>
        </w:tc>
      </w:tr>
      <w:tr>
        <w:trPr>
          <w:trHeight w:val="277"/>
        </w:trPr>
        <w:tc>
          <w:tcPr>
            <w:tcW w:w="3956" w:type="dxa"/>
            <w:vMerge w:val="restart"/>
            <w:vAlign w:val="center"/>
          </w:tcPr>
          <w:p>
            <w:pPr>
              <w:spacing w:before="0" w:after="200" w:line="276" w:lineRule="auto"/>
              <w:jc w:val="left"/>
              <w:rPr>
                <w:noProof/>
                <w:sz w:val="22"/>
              </w:rPr>
            </w:pPr>
            <w:r>
              <w:rPr>
                <w:noProof/>
                <w:color w:val="0000FF"/>
                <w:sz w:val="22"/>
              </w:rPr>
              <w:t>06.02.02 (ΜΤΥ – Επιχειρησιακή τεχνική υποστήριξη)</w:t>
            </w:r>
          </w:p>
        </w:tc>
        <w:tc>
          <w:tcPr>
            <w:tcW w:w="1438" w:type="dxa"/>
            <w:vAlign w:val="center"/>
          </w:tcPr>
          <w:p>
            <w:pPr>
              <w:spacing w:before="20" w:after="20" w:line="276" w:lineRule="auto"/>
              <w:jc w:val="left"/>
              <w:rPr>
                <w:noProof/>
                <w:sz w:val="18"/>
              </w:rPr>
            </w:pPr>
            <w:r>
              <w:rPr>
                <w:noProof/>
                <w:sz w:val="18"/>
              </w:rPr>
              <w:t>Αναλήψεις υποχρεώσεων</w:t>
            </w:r>
          </w:p>
        </w:tc>
        <w:tc>
          <w:tcPr>
            <w:tcW w:w="653" w:type="dxa"/>
            <w:gridSpan w:val="2"/>
            <w:vAlign w:val="center"/>
          </w:tcPr>
          <w:p>
            <w:pPr>
              <w:spacing w:before="20" w:after="20" w:line="276" w:lineRule="auto"/>
              <w:jc w:val="center"/>
              <w:rPr>
                <w:noProof/>
                <w:sz w:val="14"/>
              </w:rPr>
            </w:pPr>
            <w:r>
              <w:rPr>
                <w:noProof/>
                <w:sz w:val="14"/>
              </w:rPr>
              <w:t>(1)</w:t>
            </w:r>
          </w:p>
        </w:tc>
        <w:tc>
          <w:tcPr>
            <w:tcW w:w="867" w:type="dxa"/>
            <w:vAlign w:val="center"/>
          </w:tcPr>
          <w:p>
            <w:pPr>
              <w:spacing w:before="20" w:after="20" w:line="276" w:lineRule="auto"/>
              <w:jc w:val="right"/>
              <w:rPr>
                <w:noProof/>
                <w:sz w:val="20"/>
              </w:rPr>
            </w:pPr>
            <w:r>
              <w:rPr>
                <w:noProof/>
                <w:sz w:val="20"/>
              </w:rPr>
              <w:t>114.364</w:t>
            </w:r>
          </w:p>
        </w:tc>
        <w:tc>
          <w:tcPr>
            <w:tcW w:w="867" w:type="dxa"/>
            <w:vAlign w:val="center"/>
          </w:tcPr>
          <w:p>
            <w:pPr>
              <w:spacing w:before="20" w:after="20" w:line="276" w:lineRule="auto"/>
              <w:jc w:val="right"/>
              <w:rPr>
                <w:noProof/>
                <w:sz w:val="20"/>
              </w:rPr>
            </w:pPr>
            <w:r>
              <w:rPr>
                <w:noProof/>
                <w:sz w:val="20"/>
              </w:rPr>
              <w:t>116.692</w:t>
            </w:r>
          </w:p>
        </w:tc>
        <w:tc>
          <w:tcPr>
            <w:tcW w:w="867" w:type="dxa"/>
            <w:vAlign w:val="center"/>
          </w:tcPr>
          <w:p>
            <w:pPr>
              <w:spacing w:before="20" w:after="20" w:line="276" w:lineRule="auto"/>
              <w:jc w:val="right"/>
              <w:rPr>
                <w:noProof/>
                <w:sz w:val="20"/>
              </w:rPr>
            </w:pPr>
            <w:r>
              <w:rPr>
                <w:noProof/>
                <w:sz w:val="20"/>
              </w:rPr>
              <w:t>119.065</w:t>
            </w:r>
          </w:p>
        </w:tc>
        <w:tc>
          <w:tcPr>
            <w:tcW w:w="867" w:type="dxa"/>
            <w:vAlign w:val="center"/>
          </w:tcPr>
          <w:p>
            <w:pPr>
              <w:spacing w:before="20" w:after="20" w:line="276" w:lineRule="auto"/>
              <w:jc w:val="right"/>
              <w:rPr>
                <w:noProof/>
                <w:sz w:val="20"/>
              </w:rPr>
            </w:pPr>
            <w:r>
              <w:rPr>
                <w:noProof/>
                <w:sz w:val="20"/>
              </w:rPr>
              <w:t>121.486</w:t>
            </w:r>
          </w:p>
        </w:tc>
        <w:tc>
          <w:tcPr>
            <w:tcW w:w="898" w:type="dxa"/>
          </w:tcPr>
          <w:p>
            <w:pPr>
              <w:spacing w:before="20" w:after="20" w:line="276" w:lineRule="auto"/>
              <w:jc w:val="right"/>
              <w:rPr>
                <w:noProof/>
                <w:sz w:val="20"/>
              </w:rPr>
            </w:pPr>
            <w:r>
              <w:rPr>
                <w:noProof/>
                <w:sz w:val="20"/>
              </w:rPr>
              <w:t>123.956</w:t>
            </w:r>
          </w:p>
        </w:tc>
        <w:tc>
          <w:tcPr>
            <w:tcW w:w="898" w:type="dxa"/>
          </w:tcPr>
          <w:p>
            <w:pPr>
              <w:spacing w:before="20" w:after="20" w:line="276" w:lineRule="auto"/>
              <w:jc w:val="right"/>
              <w:rPr>
                <w:noProof/>
                <w:sz w:val="20"/>
              </w:rPr>
            </w:pPr>
            <w:r>
              <w:rPr>
                <w:noProof/>
                <w:sz w:val="20"/>
              </w:rPr>
              <w:t>126.476</w:t>
            </w:r>
          </w:p>
        </w:tc>
        <w:tc>
          <w:tcPr>
            <w:tcW w:w="898" w:type="dxa"/>
          </w:tcPr>
          <w:p>
            <w:pPr>
              <w:spacing w:before="20" w:after="20" w:line="276" w:lineRule="auto"/>
              <w:jc w:val="right"/>
              <w:rPr>
                <w:noProof/>
                <w:sz w:val="20"/>
              </w:rPr>
            </w:pPr>
            <w:r>
              <w:rPr>
                <w:noProof/>
                <w:sz w:val="20"/>
              </w:rPr>
              <w:t>128.367</w:t>
            </w:r>
          </w:p>
        </w:tc>
        <w:tc>
          <w:tcPr>
            <w:tcW w:w="898" w:type="dxa"/>
            <w:vAlign w:val="center"/>
          </w:tcPr>
          <w:p>
            <w:pPr>
              <w:spacing w:before="20" w:after="20" w:line="276" w:lineRule="auto"/>
              <w:jc w:val="right"/>
              <w:rPr>
                <w:noProof/>
                <w:sz w:val="20"/>
              </w:rPr>
            </w:pPr>
            <w:r>
              <w:rPr>
                <w:noProof/>
                <w:sz w:val="20"/>
              </w:rPr>
              <w:t>-</w:t>
            </w:r>
          </w:p>
        </w:tc>
        <w:tc>
          <w:tcPr>
            <w:tcW w:w="1775" w:type="dxa"/>
            <w:vAlign w:val="center"/>
          </w:tcPr>
          <w:p>
            <w:pPr>
              <w:spacing w:before="20" w:after="20" w:line="276" w:lineRule="auto"/>
              <w:jc w:val="right"/>
              <w:rPr>
                <w:b/>
                <w:noProof/>
                <w:sz w:val="20"/>
              </w:rPr>
            </w:pPr>
            <w:r>
              <w:rPr>
                <w:b/>
                <w:noProof/>
                <w:sz w:val="20"/>
              </w:rPr>
              <w:t>850.406</w:t>
            </w:r>
          </w:p>
        </w:tc>
      </w:tr>
      <w:tr>
        <w:trPr>
          <w:trHeight w:val="315"/>
        </w:trPr>
        <w:tc>
          <w:tcPr>
            <w:tcW w:w="3956" w:type="dxa"/>
            <w:vMerge/>
          </w:tcPr>
          <w:p>
            <w:pPr>
              <w:spacing w:before="0" w:after="200" w:line="276" w:lineRule="auto"/>
              <w:jc w:val="center"/>
              <w:rPr>
                <w:noProof/>
                <w:sz w:val="20"/>
              </w:rPr>
            </w:pPr>
          </w:p>
        </w:tc>
        <w:tc>
          <w:tcPr>
            <w:tcW w:w="1438" w:type="dxa"/>
            <w:vAlign w:val="center"/>
          </w:tcPr>
          <w:p>
            <w:pPr>
              <w:spacing w:before="20" w:after="20" w:line="276" w:lineRule="auto"/>
              <w:jc w:val="left"/>
              <w:rPr>
                <w:noProof/>
                <w:sz w:val="18"/>
              </w:rPr>
            </w:pPr>
            <w:r>
              <w:rPr>
                <w:noProof/>
                <w:sz w:val="18"/>
              </w:rPr>
              <w:t>Πληρωμές</w:t>
            </w:r>
          </w:p>
        </w:tc>
        <w:tc>
          <w:tcPr>
            <w:tcW w:w="653" w:type="dxa"/>
            <w:gridSpan w:val="2"/>
            <w:vAlign w:val="center"/>
          </w:tcPr>
          <w:p>
            <w:pPr>
              <w:spacing w:before="20" w:after="20" w:line="276" w:lineRule="auto"/>
              <w:jc w:val="center"/>
              <w:rPr>
                <w:noProof/>
                <w:sz w:val="14"/>
              </w:rPr>
            </w:pPr>
            <w:r>
              <w:rPr>
                <w:noProof/>
                <w:sz w:val="14"/>
              </w:rPr>
              <w:t>(2)</w:t>
            </w:r>
          </w:p>
        </w:tc>
        <w:tc>
          <w:tcPr>
            <w:tcW w:w="867" w:type="dxa"/>
            <w:vAlign w:val="center"/>
          </w:tcPr>
          <w:p>
            <w:pPr>
              <w:spacing w:before="20" w:after="20" w:line="276" w:lineRule="auto"/>
              <w:jc w:val="right"/>
              <w:rPr>
                <w:noProof/>
                <w:sz w:val="20"/>
              </w:rPr>
            </w:pPr>
            <w:r>
              <w:rPr>
                <w:noProof/>
                <w:sz w:val="20"/>
              </w:rPr>
              <w:t>56.382</w:t>
            </w:r>
          </w:p>
        </w:tc>
        <w:tc>
          <w:tcPr>
            <w:tcW w:w="867" w:type="dxa"/>
            <w:vAlign w:val="center"/>
          </w:tcPr>
          <w:p>
            <w:pPr>
              <w:spacing w:before="20" w:after="20" w:line="276" w:lineRule="auto"/>
              <w:jc w:val="right"/>
              <w:rPr>
                <w:noProof/>
                <w:sz w:val="20"/>
              </w:rPr>
            </w:pPr>
            <w:r>
              <w:rPr>
                <w:noProof/>
                <w:sz w:val="20"/>
              </w:rPr>
              <w:t>84.658</w:t>
            </w:r>
          </w:p>
        </w:tc>
        <w:tc>
          <w:tcPr>
            <w:tcW w:w="867" w:type="dxa"/>
            <w:vAlign w:val="center"/>
          </w:tcPr>
          <w:p>
            <w:pPr>
              <w:spacing w:before="20" w:after="20" w:line="276" w:lineRule="auto"/>
              <w:jc w:val="right"/>
              <w:rPr>
                <w:noProof/>
                <w:sz w:val="20"/>
              </w:rPr>
            </w:pPr>
            <w:r>
              <w:rPr>
                <w:noProof/>
                <w:sz w:val="20"/>
              </w:rPr>
              <w:t>97.685</w:t>
            </w:r>
          </w:p>
        </w:tc>
        <w:tc>
          <w:tcPr>
            <w:tcW w:w="867" w:type="dxa"/>
            <w:vAlign w:val="center"/>
          </w:tcPr>
          <w:p>
            <w:pPr>
              <w:spacing w:before="20" w:after="20" w:line="276" w:lineRule="auto"/>
              <w:jc w:val="right"/>
              <w:rPr>
                <w:noProof/>
                <w:sz w:val="20"/>
              </w:rPr>
            </w:pPr>
            <w:r>
              <w:rPr>
                <w:noProof/>
                <w:sz w:val="20"/>
              </w:rPr>
              <w:t>102.053</w:t>
            </w:r>
          </w:p>
        </w:tc>
        <w:tc>
          <w:tcPr>
            <w:tcW w:w="898" w:type="dxa"/>
          </w:tcPr>
          <w:p>
            <w:pPr>
              <w:spacing w:before="20" w:after="20" w:line="276" w:lineRule="auto"/>
              <w:jc w:val="right"/>
              <w:rPr>
                <w:noProof/>
                <w:sz w:val="20"/>
              </w:rPr>
            </w:pPr>
            <w:r>
              <w:rPr>
                <w:noProof/>
                <w:sz w:val="20"/>
              </w:rPr>
              <w:t>104.886</w:t>
            </w:r>
          </w:p>
        </w:tc>
        <w:tc>
          <w:tcPr>
            <w:tcW w:w="898" w:type="dxa"/>
          </w:tcPr>
          <w:p>
            <w:pPr>
              <w:spacing w:before="20" w:after="20" w:line="276" w:lineRule="auto"/>
              <w:jc w:val="right"/>
              <w:rPr>
                <w:noProof/>
                <w:sz w:val="20"/>
              </w:rPr>
            </w:pPr>
            <w:r>
              <w:rPr>
                <w:noProof/>
                <w:sz w:val="20"/>
              </w:rPr>
              <w:t>107.981</w:t>
            </w:r>
          </w:p>
        </w:tc>
        <w:tc>
          <w:tcPr>
            <w:tcW w:w="898" w:type="dxa"/>
          </w:tcPr>
          <w:p>
            <w:pPr>
              <w:spacing w:before="20" w:after="20" w:line="276" w:lineRule="auto"/>
              <w:jc w:val="right"/>
              <w:rPr>
                <w:noProof/>
                <w:sz w:val="20"/>
              </w:rPr>
            </w:pPr>
            <w:r>
              <w:rPr>
                <w:noProof/>
                <w:sz w:val="20"/>
              </w:rPr>
              <w:t>107.853</w:t>
            </w:r>
          </w:p>
        </w:tc>
        <w:tc>
          <w:tcPr>
            <w:tcW w:w="898" w:type="dxa"/>
          </w:tcPr>
          <w:p>
            <w:pPr>
              <w:spacing w:before="20" w:after="20" w:line="276" w:lineRule="auto"/>
              <w:jc w:val="right"/>
              <w:rPr>
                <w:noProof/>
                <w:sz w:val="20"/>
              </w:rPr>
            </w:pPr>
            <w:r>
              <w:rPr>
                <w:noProof/>
                <w:sz w:val="20"/>
              </w:rPr>
              <w:t>188.908</w:t>
            </w:r>
          </w:p>
        </w:tc>
        <w:tc>
          <w:tcPr>
            <w:tcW w:w="1775" w:type="dxa"/>
            <w:vAlign w:val="center"/>
          </w:tcPr>
          <w:p>
            <w:pPr>
              <w:spacing w:before="20" w:after="20" w:line="276" w:lineRule="auto"/>
              <w:jc w:val="right"/>
              <w:rPr>
                <w:b/>
                <w:noProof/>
                <w:sz w:val="20"/>
              </w:rPr>
            </w:pPr>
            <w:r>
              <w:rPr>
                <w:b/>
                <w:noProof/>
                <w:sz w:val="20"/>
              </w:rPr>
              <w:t>850.406</w:t>
            </w:r>
          </w:p>
        </w:tc>
      </w:tr>
      <w:tr>
        <w:trPr>
          <w:trHeight w:val="315"/>
        </w:trPr>
        <w:tc>
          <w:tcPr>
            <w:tcW w:w="3956" w:type="dxa"/>
            <w:vMerge/>
          </w:tcPr>
          <w:p>
            <w:pPr>
              <w:spacing w:before="0" w:after="200" w:line="276" w:lineRule="auto"/>
              <w:jc w:val="center"/>
              <w:rPr>
                <w:noProof/>
                <w:sz w:val="20"/>
              </w:rPr>
            </w:pPr>
          </w:p>
        </w:tc>
        <w:tc>
          <w:tcPr>
            <w:tcW w:w="1438" w:type="dxa"/>
            <w:vAlign w:val="center"/>
          </w:tcPr>
          <w:p>
            <w:pPr>
              <w:spacing w:before="20" w:after="20" w:line="276" w:lineRule="auto"/>
              <w:jc w:val="left"/>
              <w:rPr>
                <w:noProof/>
                <w:sz w:val="18"/>
              </w:rPr>
            </w:pPr>
          </w:p>
        </w:tc>
        <w:tc>
          <w:tcPr>
            <w:tcW w:w="653" w:type="dxa"/>
            <w:gridSpan w:val="2"/>
            <w:vAlign w:val="center"/>
          </w:tcPr>
          <w:p>
            <w:pPr>
              <w:spacing w:before="20" w:after="20" w:line="276" w:lineRule="auto"/>
              <w:jc w:val="center"/>
              <w:rPr>
                <w:noProof/>
                <w:sz w:val="14"/>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1775" w:type="dxa"/>
            <w:vAlign w:val="center"/>
          </w:tcPr>
          <w:p>
            <w:pPr>
              <w:spacing w:before="20" w:after="20" w:line="276" w:lineRule="auto"/>
              <w:jc w:val="right"/>
              <w:rPr>
                <w:b/>
                <w:noProof/>
                <w:sz w:val="20"/>
              </w:rPr>
            </w:pPr>
          </w:p>
        </w:tc>
      </w:tr>
      <w:tr>
        <w:trPr>
          <w:trHeight w:val="231"/>
        </w:trPr>
        <w:tc>
          <w:tcPr>
            <w:tcW w:w="6047" w:type="dxa"/>
            <w:gridSpan w:val="4"/>
            <w:vAlign w:val="center"/>
          </w:tcPr>
          <w:p>
            <w:pPr>
              <w:spacing w:before="20" w:after="20" w:line="276" w:lineRule="auto"/>
              <w:jc w:val="left"/>
              <w:rPr>
                <w:noProof/>
                <w:sz w:val="22"/>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33"/>
            </w:r>
            <w:r>
              <w:rPr>
                <w:noProof/>
                <w:sz w:val="21"/>
              </w:rPr>
              <w:t xml:space="preserve"> </w:t>
            </w:r>
          </w:p>
          <w:p>
            <w:pPr>
              <w:spacing w:before="0" w:after="0" w:line="276" w:lineRule="auto"/>
              <w:jc w:val="left"/>
              <w:rPr>
                <w:noProof/>
                <w:sz w:val="22"/>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1775" w:type="dxa"/>
            <w:vAlign w:val="center"/>
          </w:tcPr>
          <w:p>
            <w:pPr>
              <w:spacing w:before="0" w:after="200" w:line="276" w:lineRule="auto"/>
              <w:jc w:val="left"/>
              <w:rPr>
                <w:b/>
                <w:noProof/>
                <w:sz w:val="20"/>
              </w:rPr>
            </w:pPr>
          </w:p>
        </w:tc>
      </w:tr>
      <w:tr>
        <w:trPr>
          <w:trHeight w:val="551"/>
        </w:trPr>
        <w:tc>
          <w:tcPr>
            <w:tcW w:w="3956" w:type="dxa"/>
            <w:vAlign w:val="center"/>
          </w:tcPr>
          <w:p>
            <w:pPr>
              <w:spacing w:before="60" w:after="60" w:line="276" w:lineRule="auto"/>
              <w:jc w:val="left"/>
              <w:rPr>
                <w:noProof/>
                <w:sz w:val="22"/>
                <w:highlight w:val="green"/>
              </w:rPr>
            </w:pPr>
            <w:r>
              <w:rPr>
                <w:noProof/>
                <w:sz w:val="20"/>
              </w:rPr>
              <w:t>06.04 04 01 (Δαπάνες στήριξης για το Μέσο Τεχνικής Υποστήριξης – ΜΤΥ)</w:t>
            </w:r>
          </w:p>
        </w:tc>
        <w:tc>
          <w:tcPr>
            <w:tcW w:w="1438" w:type="dxa"/>
            <w:vAlign w:val="center"/>
          </w:tcPr>
          <w:p>
            <w:pPr>
              <w:spacing w:before="40" w:after="40" w:line="276" w:lineRule="auto"/>
              <w:jc w:val="right"/>
              <w:rPr>
                <w:noProof/>
                <w:sz w:val="18"/>
              </w:rPr>
            </w:pPr>
          </w:p>
        </w:tc>
        <w:tc>
          <w:tcPr>
            <w:tcW w:w="653" w:type="dxa"/>
            <w:gridSpan w:val="2"/>
            <w:vAlign w:val="center"/>
          </w:tcPr>
          <w:p>
            <w:pPr>
              <w:spacing w:before="40" w:after="40" w:line="276" w:lineRule="auto"/>
              <w:jc w:val="center"/>
              <w:rPr>
                <w:noProof/>
                <w:sz w:val="14"/>
              </w:rPr>
            </w:pPr>
            <w:r>
              <w:rPr>
                <w:noProof/>
                <w:sz w:val="14"/>
              </w:rPr>
              <w:t>(3)</w:t>
            </w:r>
          </w:p>
        </w:tc>
        <w:tc>
          <w:tcPr>
            <w:tcW w:w="867" w:type="dxa"/>
            <w:vAlign w:val="center"/>
          </w:tcPr>
          <w:p>
            <w:pPr>
              <w:spacing w:before="40" w:after="40" w:line="276" w:lineRule="auto"/>
              <w:jc w:val="right"/>
              <w:rPr>
                <w:noProof/>
                <w:sz w:val="20"/>
              </w:rPr>
            </w:pPr>
            <w:r>
              <w:rPr>
                <w:noProof/>
                <w:sz w:val="20"/>
              </w:rPr>
              <w:t>2.000</w:t>
            </w:r>
          </w:p>
        </w:tc>
        <w:tc>
          <w:tcPr>
            <w:tcW w:w="867" w:type="dxa"/>
            <w:vAlign w:val="center"/>
          </w:tcPr>
          <w:p>
            <w:pPr>
              <w:spacing w:before="40" w:after="40" w:line="276" w:lineRule="auto"/>
              <w:jc w:val="right"/>
              <w:rPr>
                <w:noProof/>
                <w:sz w:val="20"/>
              </w:rPr>
            </w:pPr>
            <w:r>
              <w:rPr>
                <w:noProof/>
                <w:sz w:val="20"/>
              </w:rPr>
              <w:t>2.000</w:t>
            </w:r>
          </w:p>
        </w:tc>
        <w:tc>
          <w:tcPr>
            <w:tcW w:w="867" w:type="dxa"/>
            <w:vAlign w:val="center"/>
          </w:tcPr>
          <w:p>
            <w:pPr>
              <w:spacing w:before="40" w:after="40" w:line="276" w:lineRule="auto"/>
              <w:jc w:val="right"/>
              <w:rPr>
                <w:noProof/>
                <w:sz w:val="20"/>
              </w:rPr>
            </w:pPr>
            <w:r>
              <w:rPr>
                <w:noProof/>
                <w:sz w:val="20"/>
              </w:rPr>
              <w:t>2.000</w:t>
            </w:r>
          </w:p>
        </w:tc>
        <w:tc>
          <w:tcPr>
            <w:tcW w:w="867"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b/>
                <w:noProof/>
                <w:sz w:val="20"/>
              </w:rPr>
            </w:pPr>
            <w:r>
              <w:rPr>
                <w:b/>
                <w:noProof/>
                <w:sz w:val="20"/>
              </w:rPr>
              <w:t>-</w:t>
            </w:r>
          </w:p>
        </w:tc>
        <w:tc>
          <w:tcPr>
            <w:tcW w:w="1775" w:type="dxa"/>
            <w:vAlign w:val="center"/>
          </w:tcPr>
          <w:p>
            <w:pPr>
              <w:spacing w:before="40" w:after="40" w:line="276" w:lineRule="auto"/>
              <w:jc w:val="right"/>
              <w:rPr>
                <w:b/>
                <w:noProof/>
                <w:sz w:val="20"/>
              </w:rPr>
            </w:pPr>
            <w:r>
              <w:rPr>
                <w:b/>
                <w:noProof/>
                <w:sz w:val="20"/>
              </w:rPr>
              <w:t>14.000</w:t>
            </w:r>
          </w:p>
        </w:tc>
      </w:tr>
      <w:tr>
        <w:trPr>
          <w:trHeight w:val="570"/>
        </w:trPr>
        <w:tc>
          <w:tcPr>
            <w:tcW w:w="3956" w:type="dxa"/>
            <w:vMerge w:val="restart"/>
            <w:vAlign w:val="center"/>
          </w:tcPr>
          <w:p>
            <w:pPr>
              <w:spacing w:before="0" w:after="200" w:line="276" w:lineRule="auto"/>
              <w:jc w:val="center"/>
              <w:rPr>
                <w:b/>
                <w:noProof/>
                <w:sz w:val="22"/>
              </w:rPr>
            </w:pPr>
            <w:r>
              <w:rPr>
                <w:b/>
                <w:noProof/>
                <w:sz w:val="22"/>
              </w:rPr>
              <w:t>ΣΥΝΟΛΟ πιστώσεων</w:t>
            </w:r>
            <w:r>
              <w:rPr>
                <w:noProof/>
              </w:rPr>
              <w:t xml:space="preserve"> </w:t>
            </w:r>
            <w:r>
              <w:rPr>
                <w:noProof/>
              </w:rPr>
              <w:br/>
            </w:r>
            <w:r>
              <w:rPr>
                <w:b/>
                <w:noProof/>
                <w:sz w:val="22"/>
              </w:rPr>
              <w:t>για τη ΓΔ REFORM</w:t>
            </w:r>
          </w:p>
        </w:tc>
        <w:tc>
          <w:tcPr>
            <w:tcW w:w="1438" w:type="dxa"/>
            <w:vAlign w:val="center"/>
          </w:tcPr>
          <w:p>
            <w:pPr>
              <w:spacing w:before="0" w:after="200" w:line="276" w:lineRule="auto"/>
              <w:jc w:val="left"/>
              <w:rPr>
                <w:noProof/>
                <w:sz w:val="18"/>
              </w:rPr>
            </w:pPr>
            <w:r>
              <w:rPr>
                <w:noProof/>
                <w:sz w:val="18"/>
              </w:rPr>
              <w:t>Αναλήψεις υποχρεώσεων</w:t>
            </w:r>
          </w:p>
        </w:tc>
        <w:tc>
          <w:tcPr>
            <w:tcW w:w="653" w:type="dxa"/>
            <w:gridSpan w:val="2"/>
            <w:vAlign w:val="center"/>
          </w:tcPr>
          <w:p>
            <w:pPr>
              <w:spacing w:before="0" w:after="200" w:line="276" w:lineRule="auto"/>
              <w:jc w:val="center"/>
              <w:rPr>
                <w:noProof/>
                <w:sz w:val="14"/>
              </w:rPr>
            </w:pPr>
            <w:r>
              <w:rPr>
                <w:noProof/>
                <w:sz w:val="14"/>
              </w:rPr>
              <w:t>=1+1α +3</w:t>
            </w:r>
          </w:p>
        </w:tc>
        <w:tc>
          <w:tcPr>
            <w:tcW w:w="867" w:type="dxa"/>
            <w:vAlign w:val="center"/>
          </w:tcPr>
          <w:p>
            <w:pPr>
              <w:spacing w:before="20" w:after="20" w:line="276" w:lineRule="auto"/>
              <w:jc w:val="right"/>
              <w:rPr>
                <w:noProof/>
                <w:sz w:val="20"/>
              </w:rPr>
            </w:pPr>
            <w:r>
              <w:rPr>
                <w:noProof/>
                <w:sz w:val="20"/>
              </w:rPr>
              <w:t>116.364</w:t>
            </w:r>
          </w:p>
        </w:tc>
        <w:tc>
          <w:tcPr>
            <w:tcW w:w="867" w:type="dxa"/>
            <w:vAlign w:val="center"/>
          </w:tcPr>
          <w:p>
            <w:pPr>
              <w:spacing w:before="20" w:after="20" w:line="276" w:lineRule="auto"/>
              <w:jc w:val="right"/>
              <w:rPr>
                <w:noProof/>
                <w:sz w:val="20"/>
              </w:rPr>
            </w:pPr>
            <w:r>
              <w:rPr>
                <w:noProof/>
                <w:sz w:val="20"/>
              </w:rPr>
              <w:t>118.692</w:t>
            </w:r>
          </w:p>
        </w:tc>
        <w:tc>
          <w:tcPr>
            <w:tcW w:w="867" w:type="dxa"/>
            <w:vAlign w:val="center"/>
          </w:tcPr>
          <w:p>
            <w:pPr>
              <w:spacing w:before="20" w:after="20" w:line="276" w:lineRule="auto"/>
              <w:jc w:val="right"/>
              <w:rPr>
                <w:noProof/>
                <w:sz w:val="20"/>
              </w:rPr>
            </w:pPr>
            <w:r>
              <w:rPr>
                <w:noProof/>
                <w:sz w:val="20"/>
              </w:rPr>
              <w:t>121.065</w:t>
            </w:r>
          </w:p>
        </w:tc>
        <w:tc>
          <w:tcPr>
            <w:tcW w:w="867" w:type="dxa"/>
            <w:vAlign w:val="center"/>
          </w:tcPr>
          <w:p>
            <w:pPr>
              <w:spacing w:before="20" w:after="20" w:line="276" w:lineRule="auto"/>
              <w:jc w:val="right"/>
              <w:rPr>
                <w:noProof/>
                <w:sz w:val="20"/>
              </w:rPr>
            </w:pPr>
            <w:r>
              <w:rPr>
                <w:noProof/>
                <w:sz w:val="20"/>
              </w:rPr>
              <w:t>123.486</w:t>
            </w:r>
          </w:p>
        </w:tc>
        <w:tc>
          <w:tcPr>
            <w:tcW w:w="898" w:type="dxa"/>
            <w:vAlign w:val="center"/>
          </w:tcPr>
          <w:p>
            <w:pPr>
              <w:spacing w:before="20" w:after="20" w:line="276" w:lineRule="auto"/>
              <w:jc w:val="right"/>
              <w:rPr>
                <w:noProof/>
                <w:sz w:val="20"/>
              </w:rPr>
            </w:pPr>
            <w:r>
              <w:rPr>
                <w:noProof/>
                <w:sz w:val="20"/>
              </w:rPr>
              <w:t>125.956</w:t>
            </w:r>
          </w:p>
        </w:tc>
        <w:tc>
          <w:tcPr>
            <w:tcW w:w="898" w:type="dxa"/>
            <w:vAlign w:val="center"/>
          </w:tcPr>
          <w:p>
            <w:pPr>
              <w:spacing w:before="20" w:after="20" w:line="276" w:lineRule="auto"/>
              <w:jc w:val="right"/>
              <w:rPr>
                <w:noProof/>
                <w:sz w:val="20"/>
              </w:rPr>
            </w:pPr>
            <w:r>
              <w:rPr>
                <w:noProof/>
                <w:sz w:val="20"/>
              </w:rPr>
              <w:t>128.476</w:t>
            </w:r>
          </w:p>
        </w:tc>
        <w:tc>
          <w:tcPr>
            <w:tcW w:w="898" w:type="dxa"/>
            <w:vAlign w:val="center"/>
          </w:tcPr>
          <w:p>
            <w:pPr>
              <w:spacing w:before="20" w:after="20" w:line="276" w:lineRule="auto"/>
              <w:jc w:val="right"/>
              <w:rPr>
                <w:noProof/>
                <w:sz w:val="20"/>
              </w:rPr>
            </w:pPr>
            <w:r>
              <w:rPr>
                <w:noProof/>
                <w:sz w:val="20"/>
              </w:rPr>
              <w:t>130.367</w:t>
            </w:r>
          </w:p>
        </w:tc>
        <w:tc>
          <w:tcPr>
            <w:tcW w:w="898" w:type="dxa"/>
            <w:vAlign w:val="center"/>
          </w:tcPr>
          <w:p>
            <w:pPr>
              <w:spacing w:before="20" w:after="20" w:line="276" w:lineRule="auto"/>
              <w:jc w:val="right"/>
              <w:rPr>
                <w:noProof/>
                <w:sz w:val="20"/>
              </w:rPr>
            </w:pPr>
            <w:r>
              <w:rPr>
                <w:noProof/>
                <w:sz w:val="20"/>
              </w:rPr>
              <w:t>-</w:t>
            </w:r>
          </w:p>
        </w:tc>
        <w:tc>
          <w:tcPr>
            <w:tcW w:w="1775" w:type="dxa"/>
            <w:vAlign w:val="center"/>
          </w:tcPr>
          <w:p>
            <w:pPr>
              <w:spacing w:before="20" w:after="20" w:line="276" w:lineRule="auto"/>
              <w:jc w:val="right"/>
              <w:rPr>
                <w:b/>
                <w:noProof/>
                <w:sz w:val="20"/>
              </w:rPr>
            </w:pPr>
            <w:r>
              <w:rPr>
                <w:b/>
                <w:noProof/>
                <w:sz w:val="20"/>
              </w:rPr>
              <w:t>864.406</w:t>
            </w:r>
          </w:p>
        </w:tc>
      </w:tr>
      <w:tr>
        <w:trPr>
          <w:trHeight w:val="570"/>
        </w:trPr>
        <w:tc>
          <w:tcPr>
            <w:tcW w:w="3956" w:type="dxa"/>
            <w:vMerge/>
          </w:tcPr>
          <w:p>
            <w:pPr>
              <w:spacing w:before="0" w:after="200" w:line="276" w:lineRule="auto"/>
              <w:jc w:val="left"/>
              <w:rPr>
                <w:noProof/>
                <w:sz w:val="20"/>
              </w:rPr>
            </w:pPr>
          </w:p>
        </w:tc>
        <w:tc>
          <w:tcPr>
            <w:tcW w:w="1438" w:type="dxa"/>
            <w:vAlign w:val="center"/>
          </w:tcPr>
          <w:p>
            <w:pPr>
              <w:spacing w:before="0" w:after="200" w:line="276" w:lineRule="auto"/>
              <w:jc w:val="left"/>
              <w:rPr>
                <w:noProof/>
                <w:sz w:val="18"/>
              </w:rPr>
            </w:pPr>
            <w:r>
              <w:rPr>
                <w:noProof/>
                <w:sz w:val="18"/>
              </w:rPr>
              <w:t>Πληρωμές</w:t>
            </w:r>
          </w:p>
        </w:tc>
        <w:tc>
          <w:tcPr>
            <w:tcW w:w="653" w:type="dxa"/>
            <w:gridSpan w:val="2"/>
            <w:vAlign w:val="center"/>
          </w:tcPr>
          <w:p>
            <w:pPr>
              <w:spacing w:before="0" w:after="200" w:line="276" w:lineRule="auto"/>
              <w:jc w:val="center"/>
              <w:rPr>
                <w:noProof/>
                <w:sz w:val="14"/>
              </w:rPr>
            </w:pPr>
            <w:r>
              <w:rPr>
                <w:noProof/>
                <w:sz w:val="14"/>
              </w:rPr>
              <w:t>=2+2α</w:t>
            </w:r>
          </w:p>
          <w:p>
            <w:pPr>
              <w:spacing w:before="0" w:after="200" w:line="276" w:lineRule="auto"/>
              <w:jc w:val="center"/>
              <w:rPr>
                <w:noProof/>
                <w:sz w:val="14"/>
              </w:rPr>
            </w:pPr>
            <w:r>
              <w:rPr>
                <w:noProof/>
                <w:sz w:val="14"/>
              </w:rPr>
              <w:t>+3</w:t>
            </w:r>
          </w:p>
        </w:tc>
        <w:tc>
          <w:tcPr>
            <w:tcW w:w="867" w:type="dxa"/>
            <w:vAlign w:val="center"/>
          </w:tcPr>
          <w:p>
            <w:pPr>
              <w:spacing w:before="20" w:after="20" w:line="276" w:lineRule="auto"/>
              <w:jc w:val="right"/>
              <w:rPr>
                <w:noProof/>
                <w:sz w:val="20"/>
              </w:rPr>
            </w:pPr>
            <w:r>
              <w:rPr>
                <w:noProof/>
                <w:sz w:val="20"/>
              </w:rPr>
              <w:t>58.382</w:t>
            </w:r>
          </w:p>
        </w:tc>
        <w:tc>
          <w:tcPr>
            <w:tcW w:w="867" w:type="dxa"/>
            <w:vAlign w:val="center"/>
          </w:tcPr>
          <w:p>
            <w:pPr>
              <w:spacing w:before="20" w:after="20" w:line="276" w:lineRule="auto"/>
              <w:jc w:val="right"/>
              <w:rPr>
                <w:noProof/>
                <w:sz w:val="20"/>
              </w:rPr>
            </w:pPr>
            <w:r>
              <w:rPr>
                <w:noProof/>
                <w:sz w:val="20"/>
              </w:rPr>
              <w:t>86.658</w:t>
            </w:r>
          </w:p>
        </w:tc>
        <w:tc>
          <w:tcPr>
            <w:tcW w:w="867" w:type="dxa"/>
            <w:vAlign w:val="center"/>
          </w:tcPr>
          <w:p>
            <w:pPr>
              <w:spacing w:before="20" w:after="20" w:line="276" w:lineRule="auto"/>
              <w:jc w:val="right"/>
              <w:rPr>
                <w:noProof/>
                <w:sz w:val="20"/>
              </w:rPr>
            </w:pPr>
            <w:r>
              <w:rPr>
                <w:noProof/>
                <w:sz w:val="20"/>
              </w:rPr>
              <w:t>99.685</w:t>
            </w:r>
          </w:p>
        </w:tc>
        <w:tc>
          <w:tcPr>
            <w:tcW w:w="867" w:type="dxa"/>
            <w:vAlign w:val="center"/>
          </w:tcPr>
          <w:p>
            <w:pPr>
              <w:spacing w:before="20" w:after="20" w:line="276" w:lineRule="auto"/>
              <w:jc w:val="right"/>
              <w:rPr>
                <w:noProof/>
                <w:sz w:val="20"/>
              </w:rPr>
            </w:pPr>
            <w:r>
              <w:rPr>
                <w:noProof/>
                <w:sz w:val="20"/>
              </w:rPr>
              <w:t>104.053</w:t>
            </w:r>
          </w:p>
        </w:tc>
        <w:tc>
          <w:tcPr>
            <w:tcW w:w="898" w:type="dxa"/>
            <w:vAlign w:val="center"/>
          </w:tcPr>
          <w:p>
            <w:pPr>
              <w:spacing w:before="20" w:after="20" w:line="276" w:lineRule="auto"/>
              <w:jc w:val="right"/>
              <w:rPr>
                <w:noProof/>
                <w:sz w:val="20"/>
              </w:rPr>
            </w:pPr>
            <w:r>
              <w:rPr>
                <w:noProof/>
                <w:sz w:val="20"/>
              </w:rPr>
              <w:t>106.886</w:t>
            </w:r>
          </w:p>
        </w:tc>
        <w:tc>
          <w:tcPr>
            <w:tcW w:w="898" w:type="dxa"/>
            <w:vAlign w:val="center"/>
          </w:tcPr>
          <w:p>
            <w:pPr>
              <w:spacing w:before="20" w:after="20" w:line="276" w:lineRule="auto"/>
              <w:jc w:val="right"/>
              <w:rPr>
                <w:noProof/>
                <w:sz w:val="20"/>
              </w:rPr>
            </w:pPr>
            <w:r>
              <w:rPr>
                <w:noProof/>
                <w:sz w:val="20"/>
              </w:rPr>
              <w:t>109.981</w:t>
            </w:r>
          </w:p>
        </w:tc>
        <w:tc>
          <w:tcPr>
            <w:tcW w:w="898" w:type="dxa"/>
            <w:vAlign w:val="center"/>
          </w:tcPr>
          <w:p>
            <w:pPr>
              <w:spacing w:before="20" w:after="20" w:line="276" w:lineRule="auto"/>
              <w:jc w:val="right"/>
              <w:rPr>
                <w:noProof/>
                <w:sz w:val="20"/>
              </w:rPr>
            </w:pPr>
            <w:r>
              <w:rPr>
                <w:noProof/>
                <w:sz w:val="20"/>
              </w:rPr>
              <w:t>109.853</w:t>
            </w:r>
          </w:p>
        </w:tc>
        <w:tc>
          <w:tcPr>
            <w:tcW w:w="898" w:type="dxa"/>
            <w:vAlign w:val="center"/>
          </w:tcPr>
          <w:p>
            <w:pPr>
              <w:spacing w:before="20" w:after="20" w:line="276" w:lineRule="auto"/>
              <w:jc w:val="right"/>
              <w:rPr>
                <w:noProof/>
                <w:sz w:val="20"/>
              </w:rPr>
            </w:pPr>
            <w:r>
              <w:rPr>
                <w:noProof/>
                <w:sz w:val="20"/>
              </w:rPr>
              <w:t>188.908</w:t>
            </w:r>
          </w:p>
        </w:tc>
        <w:tc>
          <w:tcPr>
            <w:tcW w:w="1775" w:type="dxa"/>
            <w:vAlign w:val="center"/>
          </w:tcPr>
          <w:p>
            <w:pPr>
              <w:spacing w:before="20" w:after="20" w:line="276" w:lineRule="auto"/>
              <w:jc w:val="right"/>
              <w:rPr>
                <w:b/>
                <w:noProof/>
                <w:sz w:val="20"/>
              </w:rPr>
            </w:pPr>
            <w:r>
              <w:rPr>
                <w:b/>
                <w:noProof/>
                <w:sz w:val="20"/>
              </w:rPr>
              <w:t>864.406</w:t>
            </w:r>
          </w:p>
        </w:tc>
      </w:tr>
    </w:tbl>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Τομέας του πολυετούς δημοσιονομικού πλαισίου</w:t>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«Διοικητικές δαπάνες»</w:t>
            </w:r>
          </w:p>
        </w:tc>
      </w:tr>
    </w:tbl>
    <w:p>
      <w:pPr>
        <w:jc w:val="right"/>
        <w:rPr>
          <w:noProof/>
          <w:sz w:val="20"/>
        </w:rPr>
      </w:pPr>
      <w:r>
        <w:rPr>
          <w:noProof/>
          <w:sz w:val="20"/>
        </w:rPr>
        <w:t>σε εκατ. EUR (με τρία δεκαδικά ψηφία)</w:t>
      </w:r>
    </w:p>
    <w:tbl>
      <w:tblPr>
        <w:tblW w:w="148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611"/>
        <w:gridCol w:w="527"/>
        <w:gridCol w:w="26"/>
        <w:gridCol w:w="896"/>
        <w:gridCol w:w="13"/>
        <w:gridCol w:w="883"/>
        <w:gridCol w:w="882"/>
        <w:gridCol w:w="14"/>
        <w:gridCol w:w="896"/>
        <w:gridCol w:w="50"/>
        <w:gridCol w:w="1024"/>
        <w:gridCol w:w="1074"/>
        <w:gridCol w:w="1074"/>
        <w:gridCol w:w="1836"/>
      </w:tblGrid>
      <w:tr>
        <w:trPr>
          <w:trHeight w:val="701"/>
        </w:trPr>
        <w:tc>
          <w:tcPr>
            <w:tcW w:w="4091" w:type="dxa"/>
            <w:tcBorders>
              <w:top w:val="nil"/>
              <w:left w:val="nil"/>
              <w:right w:val="nil"/>
            </w:tcBorders>
            <w:vAlign w:val="center"/>
          </w:tcPr>
          <w:p>
            <w:pPr>
              <w:spacing w:before="0" w:after="200" w:line="276" w:lineRule="auto"/>
              <w:jc w:val="center"/>
              <w:rPr>
                <w:noProof/>
                <w:sz w:val="22"/>
              </w:rPr>
            </w:pPr>
          </w:p>
        </w:tc>
        <w:tc>
          <w:tcPr>
            <w:tcW w:w="1611" w:type="dxa"/>
            <w:tcBorders>
              <w:top w:val="nil"/>
              <w:left w:val="nil"/>
              <w:right w:val="nil"/>
            </w:tcBorders>
          </w:tcPr>
          <w:p>
            <w:pPr>
              <w:spacing w:before="0" w:after="200" w:line="276" w:lineRule="auto"/>
              <w:jc w:val="left"/>
              <w:rPr>
                <w:noProof/>
                <w:sz w:val="20"/>
              </w:rPr>
            </w:pPr>
          </w:p>
        </w:tc>
        <w:tc>
          <w:tcPr>
            <w:tcW w:w="553" w:type="dxa"/>
            <w:gridSpan w:val="2"/>
            <w:tcBorders>
              <w:top w:val="nil"/>
              <w:left w:val="nil"/>
            </w:tcBorders>
          </w:tcPr>
          <w:p>
            <w:pPr>
              <w:spacing w:before="0" w:after="200" w:line="276" w:lineRule="auto"/>
              <w:jc w:val="center"/>
              <w:rPr>
                <w:noProof/>
                <w:sz w:val="20"/>
              </w:rPr>
            </w:pPr>
          </w:p>
        </w:tc>
        <w:tc>
          <w:tcPr>
            <w:tcW w:w="896" w:type="dxa"/>
            <w:vAlign w:val="center"/>
          </w:tcPr>
          <w:p>
            <w:pPr>
              <w:spacing w:before="0" w:after="200" w:line="276" w:lineRule="auto"/>
              <w:jc w:val="center"/>
              <w:rPr>
                <w:noProof/>
                <w:sz w:val="20"/>
              </w:rPr>
            </w:pPr>
            <w:r>
              <w:rPr>
                <w:noProof/>
                <w:sz w:val="20"/>
              </w:rPr>
              <w:t>Έτος</w:t>
            </w:r>
            <w:r>
              <w:rPr>
                <w:noProof/>
              </w:rPr>
              <w:t xml:space="preserve"> </w:t>
            </w:r>
            <w:r>
              <w:rPr>
                <w:noProof/>
              </w:rPr>
              <w:br/>
            </w:r>
            <w:r>
              <w:rPr>
                <w:b/>
                <w:noProof/>
                <w:sz w:val="20"/>
              </w:rPr>
              <w:t>2021</w:t>
            </w:r>
          </w:p>
        </w:tc>
        <w:tc>
          <w:tcPr>
            <w:tcW w:w="896" w:type="dxa"/>
            <w:gridSpan w:val="2"/>
            <w:vAlign w:val="center"/>
          </w:tcPr>
          <w:p>
            <w:pPr>
              <w:spacing w:before="0" w:after="200" w:line="276" w:lineRule="auto"/>
              <w:jc w:val="center"/>
              <w:rPr>
                <w:noProof/>
                <w:sz w:val="20"/>
              </w:rPr>
            </w:pPr>
            <w:r>
              <w:rPr>
                <w:noProof/>
                <w:sz w:val="20"/>
              </w:rPr>
              <w:t>Έτος</w:t>
            </w:r>
            <w:r>
              <w:rPr>
                <w:noProof/>
              </w:rPr>
              <w:t xml:space="preserve"> </w:t>
            </w:r>
            <w:r>
              <w:rPr>
                <w:noProof/>
              </w:rPr>
              <w:br/>
            </w:r>
            <w:r>
              <w:rPr>
                <w:b/>
                <w:noProof/>
                <w:sz w:val="20"/>
              </w:rPr>
              <w:t>2022</w:t>
            </w:r>
          </w:p>
        </w:tc>
        <w:tc>
          <w:tcPr>
            <w:tcW w:w="896" w:type="dxa"/>
            <w:gridSpan w:val="2"/>
            <w:vAlign w:val="center"/>
          </w:tcPr>
          <w:p>
            <w:pPr>
              <w:spacing w:before="0" w:after="200" w:line="276" w:lineRule="auto"/>
              <w:jc w:val="center"/>
              <w:rPr>
                <w:noProof/>
                <w:sz w:val="20"/>
              </w:rPr>
            </w:pPr>
            <w:r>
              <w:rPr>
                <w:noProof/>
                <w:sz w:val="20"/>
              </w:rPr>
              <w:t>Έτος</w:t>
            </w:r>
            <w:r>
              <w:rPr>
                <w:noProof/>
              </w:rPr>
              <w:t xml:space="preserve"> </w:t>
            </w:r>
            <w:r>
              <w:rPr>
                <w:noProof/>
              </w:rPr>
              <w:br/>
            </w:r>
            <w:r>
              <w:rPr>
                <w:b/>
                <w:noProof/>
                <w:sz w:val="20"/>
              </w:rPr>
              <w:t>2023</w:t>
            </w:r>
          </w:p>
        </w:tc>
        <w:tc>
          <w:tcPr>
            <w:tcW w:w="896" w:type="dxa"/>
            <w:vAlign w:val="center"/>
          </w:tcPr>
          <w:p>
            <w:pPr>
              <w:spacing w:before="0" w:after="200" w:line="276" w:lineRule="auto"/>
              <w:jc w:val="center"/>
              <w:rPr>
                <w:noProof/>
                <w:sz w:val="20"/>
              </w:rPr>
            </w:pPr>
            <w:r>
              <w:rPr>
                <w:noProof/>
                <w:sz w:val="20"/>
              </w:rPr>
              <w:t>Έτος</w:t>
            </w:r>
            <w:r>
              <w:rPr>
                <w:noProof/>
              </w:rPr>
              <w:t xml:space="preserve"> </w:t>
            </w:r>
            <w:r>
              <w:rPr>
                <w:noProof/>
              </w:rPr>
              <w:br/>
            </w:r>
            <w:r>
              <w:rPr>
                <w:b/>
                <w:noProof/>
                <w:sz w:val="20"/>
              </w:rPr>
              <w:t>2024</w:t>
            </w:r>
          </w:p>
        </w:tc>
        <w:tc>
          <w:tcPr>
            <w:tcW w:w="1074" w:type="dxa"/>
            <w:gridSpan w:val="2"/>
          </w:tcPr>
          <w:p>
            <w:pPr>
              <w:spacing w:before="0" w:after="200" w:line="276" w:lineRule="auto"/>
              <w:jc w:val="center"/>
              <w:rPr>
                <w:noProof/>
                <w:sz w:val="18"/>
              </w:rPr>
            </w:pPr>
            <w:r>
              <w:rPr>
                <w:noProof/>
                <w:sz w:val="20"/>
              </w:rPr>
              <w:t>Έτος</w:t>
            </w:r>
            <w:r>
              <w:rPr>
                <w:noProof/>
              </w:rPr>
              <w:t xml:space="preserve"> </w:t>
            </w:r>
            <w:r>
              <w:rPr>
                <w:noProof/>
              </w:rPr>
              <w:br/>
            </w:r>
            <w:r>
              <w:rPr>
                <w:b/>
                <w:noProof/>
                <w:sz w:val="20"/>
              </w:rPr>
              <w:t>2025</w:t>
            </w:r>
          </w:p>
        </w:tc>
        <w:tc>
          <w:tcPr>
            <w:tcW w:w="1074" w:type="dxa"/>
          </w:tcPr>
          <w:p>
            <w:pPr>
              <w:spacing w:before="0" w:after="200" w:line="276" w:lineRule="auto"/>
              <w:jc w:val="center"/>
              <w:rPr>
                <w:noProof/>
                <w:sz w:val="18"/>
              </w:rPr>
            </w:pPr>
            <w:r>
              <w:rPr>
                <w:noProof/>
                <w:sz w:val="20"/>
              </w:rPr>
              <w:t>Έτος</w:t>
            </w:r>
            <w:r>
              <w:rPr>
                <w:noProof/>
              </w:rPr>
              <w:t xml:space="preserve"> </w:t>
            </w:r>
            <w:r>
              <w:rPr>
                <w:noProof/>
              </w:rPr>
              <w:br/>
            </w:r>
            <w:r>
              <w:rPr>
                <w:b/>
                <w:noProof/>
                <w:sz w:val="20"/>
              </w:rPr>
              <w:t>2026</w:t>
            </w:r>
          </w:p>
        </w:tc>
        <w:tc>
          <w:tcPr>
            <w:tcW w:w="1074" w:type="dxa"/>
          </w:tcPr>
          <w:p>
            <w:pPr>
              <w:spacing w:before="0" w:after="200" w:line="276" w:lineRule="auto"/>
              <w:jc w:val="center"/>
              <w:rPr>
                <w:noProof/>
                <w:sz w:val="18"/>
              </w:rPr>
            </w:pPr>
            <w:r>
              <w:rPr>
                <w:noProof/>
                <w:sz w:val="20"/>
              </w:rPr>
              <w:t>Έτος</w:t>
            </w:r>
            <w:r>
              <w:rPr>
                <w:noProof/>
              </w:rPr>
              <w:t xml:space="preserve"> </w:t>
            </w:r>
            <w:r>
              <w:rPr>
                <w:noProof/>
              </w:rPr>
              <w:br/>
            </w:r>
            <w:r>
              <w:rPr>
                <w:b/>
                <w:noProof/>
                <w:sz w:val="20"/>
              </w:rPr>
              <w:t>2027</w:t>
            </w:r>
          </w:p>
        </w:tc>
        <w:tc>
          <w:tcPr>
            <w:tcW w:w="1836" w:type="dxa"/>
            <w:vAlign w:val="center"/>
          </w:tcPr>
          <w:p>
            <w:pPr>
              <w:spacing w:before="0" w:after="200" w:line="276" w:lineRule="auto"/>
              <w:jc w:val="center"/>
              <w:rPr>
                <w:b/>
                <w:noProof/>
                <w:sz w:val="20"/>
              </w:rPr>
            </w:pPr>
            <w:r>
              <w:rPr>
                <w:b/>
                <w:noProof/>
                <w:sz w:val="20"/>
              </w:rPr>
              <w:t>ΣΥΝΟΛΟ</w:t>
            </w:r>
          </w:p>
        </w:tc>
      </w:tr>
      <w:tr>
        <w:trPr>
          <w:gridAfter w:val="4"/>
          <w:wAfter w:w="5008" w:type="dxa"/>
          <w:trHeight w:val="394"/>
        </w:trPr>
        <w:tc>
          <w:tcPr>
            <w:tcW w:w="4091" w:type="dxa"/>
            <w:vAlign w:val="center"/>
          </w:tcPr>
          <w:p>
            <w:pPr>
              <w:spacing w:before="60" w:after="60" w:line="276" w:lineRule="auto"/>
              <w:jc w:val="center"/>
              <w:rPr>
                <w:noProof/>
                <w:sz w:val="22"/>
              </w:rPr>
            </w:pPr>
            <w:r>
              <w:rPr>
                <w:noProof/>
                <w:sz w:val="22"/>
              </w:rPr>
              <w:t>ΓΔ: REFORM</w:t>
            </w:r>
          </w:p>
        </w:tc>
        <w:tc>
          <w:tcPr>
            <w:tcW w:w="2138" w:type="dxa"/>
            <w:gridSpan w:val="2"/>
          </w:tcPr>
          <w:p>
            <w:pPr>
              <w:spacing w:before="60" w:after="60" w:line="276" w:lineRule="auto"/>
              <w:jc w:val="center"/>
              <w:rPr>
                <w:noProof/>
                <w:sz w:val="22"/>
              </w:rPr>
            </w:pPr>
          </w:p>
        </w:tc>
        <w:tc>
          <w:tcPr>
            <w:tcW w:w="935" w:type="dxa"/>
            <w:gridSpan w:val="3"/>
          </w:tcPr>
          <w:p>
            <w:pPr>
              <w:spacing w:before="20" w:after="20" w:line="276" w:lineRule="auto"/>
              <w:jc w:val="right"/>
              <w:rPr>
                <w:b/>
                <w:noProof/>
                <w:sz w:val="20"/>
              </w:rPr>
            </w:pPr>
          </w:p>
        </w:tc>
        <w:tc>
          <w:tcPr>
            <w:tcW w:w="1765" w:type="dxa"/>
            <w:gridSpan w:val="2"/>
          </w:tcPr>
          <w:p>
            <w:pPr>
              <w:spacing w:before="60" w:after="60" w:line="276" w:lineRule="auto"/>
              <w:jc w:val="center"/>
              <w:rPr>
                <w:noProof/>
                <w:sz w:val="22"/>
              </w:rPr>
            </w:pPr>
          </w:p>
        </w:tc>
        <w:tc>
          <w:tcPr>
            <w:tcW w:w="960" w:type="dxa"/>
            <w:gridSpan w:val="3"/>
          </w:tcPr>
          <w:p>
            <w:pPr>
              <w:spacing w:before="60" w:after="60" w:line="276" w:lineRule="auto"/>
              <w:jc w:val="center"/>
              <w:rPr>
                <w:noProof/>
                <w:sz w:val="22"/>
              </w:rPr>
            </w:pPr>
          </w:p>
        </w:tc>
      </w:tr>
      <w:tr>
        <w:trPr>
          <w:trHeight w:val="305"/>
        </w:trPr>
        <w:tc>
          <w:tcPr>
            <w:tcW w:w="6255" w:type="dxa"/>
            <w:gridSpan w:val="4"/>
            <w:vAlign w:val="center"/>
          </w:tcPr>
          <w:p>
            <w:pPr>
              <w:spacing w:before="20" w:after="20" w:line="276" w:lineRule="auto"/>
              <w:jc w:val="left"/>
              <w:rPr>
                <w:noProof/>
                <w:sz w:val="22"/>
              </w:rPr>
            </w:pPr>
            <w:r>
              <w:rPr>
                <w:noProof/>
                <w:sz w:val="22"/>
              </w:rPr>
              <w:sym w:font="Wingdings" w:char="F09F"/>
            </w:r>
            <w:r>
              <w:rPr>
                <w:noProof/>
                <w:sz w:val="22"/>
              </w:rPr>
              <w:t xml:space="preserve"> </w:t>
            </w:r>
            <w:r>
              <w:rPr>
                <w:noProof/>
              </w:rPr>
              <w:t>Ανθρώπινοι πόροι</w:t>
            </w:r>
            <w:r>
              <w:rPr>
                <w:noProof/>
                <w:sz w:val="22"/>
              </w:rPr>
              <w:t xml:space="preserve"> </w:t>
            </w:r>
          </w:p>
        </w:tc>
        <w:tc>
          <w:tcPr>
            <w:tcW w:w="896" w:type="dxa"/>
            <w:vAlign w:val="center"/>
          </w:tcPr>
          <w:p>
            <w:pPr>
              <w:spacing w:before="20" w:after="20" w:line="276" w:lineRule="auto"/>
              <w:jc w:val="right"/>
              <w:rPr>
                <w:noProof/>
                <w:sz w:val="20"/>
              </w:rPr>
            </w:pPr>
            <w:r>
              <w:rPr>
                <w:noProof/>
                <w:sz w:val="20"/>
              </w:rPr>
              <w:t>29,890</w:t>
            </w:r>
          </w:p>
        </w:tc>
        <w:tc>
          <w:tcPr>
            <w:tcW w:w="896" w:type="dxa"/>
            <w:gridSpan w:val="2"/>
            <w:vAlign w:val="center"/>
          </w:tcPr>
          <w:p>
            <w:pPr>
              <w:spacing w:before="20" w:after="20" w:line="276" w:lineRule="auto"/>
              <w:jc w:val="right"/>
              <w:rPr>
                <w:noProof/>
                <w:sz w:val="20"/>
              </w:rPr>
            </w:pPr>
            <w:r>
              <w:rPr>
                <w:noProof/>
                <w:sz w:val="20"/>
              </w:rPr>
              <w:t>31,945</w:t>
            </w:r>
          </w:p>
        </w:tc>
        <w:tc>
          <w:tcPr>
            <w:tcW w:w="896" w:type="dxa"/>
            <w:gridSpan w:val="2"/>
            <w:vAlign w:val="center"/>
          </w:tcPr>
          <w:p>
            <w:pPr>
              <w:spacing w:before="20" w:after="20" w:line="276" w:lineRule="auto"/>
              <w:jc w:val="right"/>
              <w:rPr>
                <w:noProof/>
                <w:sz w:val="20"/>
              </w:rPr>
            </w:pPr>
            <w:r>
              <w:rPr>
                <w:noProof/>
                <w:sz w:val="20"/>
              </w:rPr>
              <w:t>31,945</w:t>
            </w:r>
          </w:p>
        </w:tc>
        <w:tc>
          <w:tcPr>
            <w:tcW w:w="896" w:type="dxa"/>
            <w:vAlign w:val="center"/>
          </w:tcPr>
          <w:p>
            <w:pPr>
              <w:spacing w:before="20" w:after="20" w:line="276" w:lineRule="auto"/>
              <w:jc w:val="right"/>
              <w:rPr>
                <w:noProof/>
                <w:sz w:val="20"/>
              </w:rPr>
            </w:pPr>
            <w:r>
              <w:rPr>
                <w:noProof/>
                <w:sz w:val="20"/>
              </w:rPr>
              <w:t>31,945</w:t>
            </w:r>
          </w:p>
        </w:tc>
        <w:tc>
          <w:tcPr>
            <w:tcW w:w="1074" w:type="dxa"/>
            <w:gridSpan w:val="2"/>
          </w:tcPr>
          <w:p>
            <w:pPr>
              <w:spacing w:before="20" w:after="20" w:line="276" w:lineRule="auto"/>
              <w:jc w:val="right"/>
              <w:rPr>
                <w:noProof/>
                <w:sz w:val="20"/>
              </w:rPr>
            </w:pPr>
            <w:r>
              <w:rPr>
                <w:noProof/>
                <w:sz w:val="20"/>
              </w:rPr>
              <w:t>31,945</w:t>
            </w:r>
          </w:p>
        </w:tc>
        <w:tc>
          <w:tcPr>
            <w:tcW w:w="1074" w:type="dxa"/>
          </w:tcPr>
          <w:p>
            <w:pPr>
              <w:spacing w:before="20" w:after="20" w:line="276" w:lineRule="auto"/>
              <w:jc w:val="right"/>
              <w:rPr>
                <w:noProof/>
                <w:sz w:val="20"/>
              </w:rPr>
            </w:pPr>
            <w:r>
              <w:rPr>
                <w:noProof/>
                <w:sz w:val="20"/>
              </w:rPr>
              <w:t>31,945</w:t>
            </w:r>
          </w:p>
        </w:tc>
        <w:tc>
          <w:tcPr>
            <w:tcW w:w="1074" w:type="dxa"/>
          </w:tcPr>
          <w:p>
            <w:pPr>
              <w:spacing w:before="20" w:after="20" w:line="276" w:lineRule="auto"/>
              <w:jc w:val="right"/>
              <w:rPr>
                <w:noProof/>
                <w:sz w:val="20"/>
              </w:rPr>
            </w:pPr>
            <w:r>
              <w:rPr>
                <w:noProof/>
                <w:sz w:val="20"/>
              </w:rPr>
              <w:t>31,945</w:t>
            </w:r>
          </w:p>
        </w:tc>
        <w:tc>
          <w:tcPr>
            <w:tcW w:w="1836" w:type="dxa"/>
            <w:vAlign w:val="center"/>
          </w:tcPr>
          <w:p>
            <w:pPr>
              <w:spacing w:before="20" w:after="20" w:line="276" w:lineRule="auto"/>
              <w:jc w:val="right"/>
              <w:rPr>
                <w:noProof/>
                <w:sz w:val="20"/>
              </w:rPr>
            </w:pPr>
            <w:r>
              <w:rPr>
                <w:noProof/>
                <w:sz w:val="20"/>
              </w:rPr>
              <w:t>221,560</w:t>
            </w:r>
          </w:p>
        </w:tc>
      </w:tr>
      <w:tr>
        <w:trPr>
          <w:trHeight w:val="342"/>
        </w:trPr>
        <w:tc>
          <w:tcPr>
            <w:tcW w:w="6255" w:type="dxa"/>
            <w:gridSpan w:val="4"/>
            <w:vAlign w:val="center"/>
          </w:tcPr>
          <w:p>
            <w:pPr>
              <w:spacing w:before="20" w:after="20" w:line="276" w:lineRule="auto"/>
              <w:jc w:val="left"/>
              <w:rPr>
                <w:noProof/>
                <w:sz w:val="22"/>
              </w:rPr>
            </w:pPr>
            <w:r>
              <w:rPr>
                <w:noProof/>
                <w:sz w:val="22"/>
              </w:rPr>
              <w:sym w:font="Wingdings" w:char="F09F"/>
            </w:r>
            <w:r>
              <w:rPr>
                <w:noProof/>
                <w:sz w:val="22"/>
              </w:rPr>
              <w:t xml:space="preserve"> </w:t>
            </w:r>
            <w:r>
              <w:rPr>
                <w:noProof/>
              </w:rPr>
              <w:t>Άλλες διοικητικές δαπάνες</w:t>
            </w:r>
            <w:r>
              <w:rPr>
                <w:noProof/>
                <w:sz w:val="22"/>
              </w:rPr>
              <w:t xml:space="preserve"> </w:t>
            </w:r>
          </w:p>
        </w:tc>
        <w:tc>
          <w:tcPr>
            <w:tcW w:w="896" w:type="dxa"/>
            <w:vAlign w:val="center"/>
          </w:tcPr>
          <w:p>
            <w:pPr>
              <w:spacing w:before="20" w:after="20" w:line="276" w:lineRule="auto"/>
              <w:jc w:val="right"/>
              <w:rPr>
                <w:noProof/>
                <w:sz w:val="20"/>
              </w:rPr>
            </w:pPr>
            <w:r>
              <w:rPr>
                <w:noProof/>
                <w:sz w:val="20"/>
              </w:rPr>
              <w:t>1,400</w:t>
            </w:r>
          </w:p>
        </w:tc>
        <w:tc>
          <w:tcPr>
            <w:tcW w:w="896" w:type="dxa"/>
            <w:gridSpan w:val="2"/>
            <w:vAlign w:val="center"/>
          </w:tcPr>
          <w:p>
            <w:pPr>
              <w:spacing w:before="20" w:after="20" w:line="276" w:lineRule="auto"/>
              <w:jc w:val="right"/>
              <w:rPr>
                <w:noProof/>
                <w:sz w:val="20"/>
              </w:rPr>
            </w:pPr>
            <w:r>
              <w:rPr>
                <w:noProof/>
                <w:sz w:val="20"/>
              </w:rPr>
              <w:t>1,655</w:t>
            </w:r>
          </w:p>
        </w:tc>
        <w:tc>
          <w:tcPr>
            <w:tcW w:w="896" w:type="dxa"/>
            <w:gridSpan w:val="2"/>
            <w:vAlign w:val="center"/>
          </w:tcPr>
          <w:p>
            <w:pPr>
              <w:spacing w:before="20" w:after="20" w:line="276" w:lineRule="auto"/>
              <w:jc w:val="right"/>
              <w:rPr>
                <w:noProof/>
                <w:sz w:val="20"/>
              </w:rPr>
            </w:pPr>
            <w:r>
              <w:rPr>
                <w:noProof/>
                <w:sz w:val="20"/>
              </w:rPr>
              <w:t>1,695</w:t>
            </w:r>
          </w:p>
        </w:tc>
        <w:tc>
          <w:tcPr>
            <w:tcW w:w="896" w:type="dxa"/>
            <w:vAlign w:val="center"/>
          </w:tcPr>
          <w:p>
            <w:pPr>
              <w:spacing w:before="20" w:after="20" w:line="276" w:lineRule="auto"/>
              <w:jc w:val="right"/>
              <w:rPr>
                <w:noProof/>
                <w:sz w:val="20"/>
              </w:rPr>
            </w:pPr>
            <w:r>
              <w:rPr>
                <w:noProof/>
                <w:sz w:val="20"/>
              </w:rPr>
              <w:t>1,695</w:t>
            </w:r>
          </w:p>
        </w:tc>
        <w:tc>
          <w:tcPr>
            <w:tcW w:w="1074" w:type="dxa"/>
            <w:gridSpan w:val="2"/>
          </w:tcPr>
          <w:p>
            <w:pPr>
              <w:spacing w:before="20" w:after="20" w:line="276" w:lineRule="auto"/>
              <w:jc w:val="right"/>
              <w:rPr>
                <w:noProof/>
                <w:sz w:val="20"/>
              </w:rPr>
            </w:pPr>
            <w:r>
              <w:rPr>
                <w:noProof/>
                <w:sz w:val="20"/>
              </w:rPr>
              <w:t>1,695</w:t>
            </w:r>
          </w:p>
        </w:tc>
        <w:tc>
          <w:tcPr>
            <w:tcW w:w="1074" w:type="dxa"/>
          </w:tcPr>
          <w:p>
            <w:pPr>
              <w:spacing w:before="20" w:after="20" w:line="276" w:lineRule="auto"/>
              <w:jc w:val="right"/>
              <w:rPr>
                <w:noProof/>
                <w:sz w:val="20"/>
              </w:rPr>
            </w:pPr>
            <w:r>
              <w:rPr>
                <w:noProof/>
                <w:sz w:val="20"/>
              </w:rPr>
              <w:t>1,695</w:t>
            </w:r>
          </w:p>
        </w:tc>
        <w:tc>
          <w:tcPr>
            <w:tcW w:w="1074" w:type="dxa"/>
          </w:tcPr>
          <w:p>
            <w:pPr>
              <w:spacing w:before="20" w:after="20" w:line="276" w:lineRule="auto"/>
              <w:jc w:val="right"/>
              <w:rPr>
                <w:noProof/>
                <w:sz w:val="20"/>
              </w:rPr>
            </w:pPr>
            <w:r>
              <w:rPr>
                <w:noProof/>
                <w:sz w:val="20"/>
              </w:rPr>
              <w:t>1,695</w:t>
            </w:r>
          </w:p>
        </w:tc>
        <w:tc>
          <w:tcPr>
            <w:tcW w:w="1836" w:type="dxa"/>
            <w:vAlign w:val="center"/>
          </w:tcPr>
          <w:p>
            <w:pPr>
              <w:spacing w:before="20" w:after="20" w:line="276" w:lineRule="auto"/>
              <w:jc w:val="right"/>
              <w:rPr>
                <w:noProof/>
                <w:sz w:val="20"/>
              </w:rPr>
            </w:pPr>
            <w:r>
              <w:rPr>
                <w:noProof/>
                <w:sz w:val="20"/>
              </w:rPr>
              <w:t>11,530</w:t>
            </w:r>
          </w:p>
        </w:tc>
      </w:tr>
      <w:tr>
        <w:trPr>
          <w:trHeight w:val="467"/>
        </w:trPr>
        <w:tc>
          <w:tcPr>
            <w:tcW w:w="4091" w:type="dxa"/>
            <w:vAlign w:val="center"/>
          </w:tcPr>
          <w:p>
            <w:pPr>
              <w:spacing w:before="0" w:after="200" w:line="276" w:lineRule="auto"/>
              <w:jc w:val="center"/>
              <w:rPr>
                <w:b/>
                <w:noProof/>
                <w:sz w:val="22"/>
              </w:rPr>
            </w:pPr>
            <w:r>
              <w:rPr>
                <w:b/>
                <w:noProof/>
                <w:sz w:val="22"/>
              </w:rPr>
              <w:t xml:space="preserve">ΣΥΝΟΛΟ ΓΔ </w:t>
            </w:r>
            <w:r>
              <w:rPr>
                <w:noProof/>
                <w:sz w:val="22"/>
              </w:rPr>
              <w:t>REFORM</w:t>
            </w:r>
          </w:p>
        </w:tc>
        <w:tc>
          <w:tcPr>
            <w:tcW w:w="2164" w:type="dxa"/>
            <w:gridSpan w:val="3"/>
            <w:vAlign w:val="center"/>
          </w:tcPr>
          <w:p>
            <w:pPr>
              <w:spacing w:before="0" w:after="200" w:line="276" w:lineRule="auto"/>
              <w:jc w:val="left"/>
              <w:rPr>
                <w:noProof/>
                <w:sz w:val="14"/>
              </w:rPr>
            </w:pPr>
            <w:r>
              <w:rPr>
                <w:noProof/>
                <w:sz w:val="18"/>
              </w:rPr>
              <w:t xml:space="preserve">Πιστώσεις </w:t>
            </w:r>
          </w:p>
        </w:tc>
        <w:tc>
          <w:tcPr>
            <w:tcW w:w="896" w:type="dxa"/>
            <w:vAlign w:val="center"/>
          </w:tcPr>
          <w:p>
            <w:pPr>
              <w:spacing w:before="60" w:after="60" w:line="276" w:lineRule="auto"/>
              <w:jc w:val="right"/>
              <w:rPr>
                <w:noProof/>
                <w:sz w:val="20"/>
              </w:rPr>
            </w:pPr>
            <w:r>
              <w:rPr>
                <w:noProof/>
                <w:sz w:val="20"/>
              </w:rPr>
              <w:t>31,290</w:t>
            </w:r>
          </w:p>
        </w:tc>
        <w:tc>
          <w:tcPr>
            <w:tcW w:w="896" w:type="dxa"/>
            <w:gridSpan w:val="2"/>
            <w:vAlign w:val="center"/>
          </w:tcPr>
          <w:p>
            <w:pPr>
              <w:spacing w:before="20" w:after="20" w:line="276" w:lineRule="auto"/>
              <w:jc w:val="right"/>
              <w:rPr>
                <w:noProof/>
                <w:sz w:val="20"/>
              </w:rPr>
            </w:pPr>
            <w:r>
              <w:rPr>
                <w:noProof/>
                <w:sz w:val="20"/>
              </w:rPr>
              <w:t>33,600</w:t>
            </w:r>
          </w:p>
        </w:tc>
        <w:tc>
          <w:tcPr>
            <w:tcW w:w="896" w:type="dxa"/>
            <w:gridSpan w:val="2"/>
            <w:vAlign w:val="center"/>
          </w:tcPr>
          <w:p>
            <w:pPr>
              <w:spacing w:before="20" w:after="20" w:line="276" w:lineRule="auto"/>
              <w:jc w:val="right"/>
              <w:rPr>
                <w:noProof/>
                <w:sz w:val="20"/>
              </w:rPr>
            </w:pPr>
            <w:r>
              <w:rPr>
                <w:noProof/>
                <w:sz w:val="20"/>
              </w:rPr>
              <w:t>33,640</w:t>
            </w:r>
          </w:p>
        </w:tc>
        <w:tc>
          <w:tcPr>
            <w:tcW w:w="896" w:type="dxa"/>
            <w:vAlign w:val="center"/>
          </w:tcPr>
          <w:p>
            <w:pPr>
              <w:spacing w:before="20" w:after="20" w:line="276" w:lineRule="auto"/>
              <w:jc w:val="right"/>
              <w:rPr>
                <w:noProof/>
                <w:sz w:val="20"/>
              </w:rPr>
            </w:pPr>
            <w:r>
              <w:rPr>
                <w:noProof/>
                <w:sz w:val="20"/>
              </w:rPr>
              <w:t>33,640</w:t>
            </w:r>
          </w:p>
        </w:tc>
        <w:tc>
          <w:tcPr>
            <w:tcW w:w="1074" w:type="dxa"/>
            <w:gridSpan w:val="2"/>
          </w:tcPr>
          <w:p>
            <w:pPr>
              <w:spacing w:before="20" w:after="20" w:line="276" w:lineRule="auto"/>
              <w:jc w:val="right"/>
              <w:rPr>
                <w:noProof/>
                <w:sz w:val="20"/>
              </w:rPr>
            </w:pPr>
            <w:r>
              <w:rPr>
                <w:noProof/>
                <w:sz w:val="20"/>
              </w:rPr>
              <w:t>33,640</w:t>
            </w:r>
          </w:p>
        </w:tc>
        <w:tc>
          <w:tcPr>
            <w:tcW w:w="1074" w:type="dxa"/>
          </w:tcPr>
          <w:p>
            <w:pPr>
              <w:spacing w:before="20" w:after="20" w:line="276" w:lineRule="auto"/>
              <w:jc w:val="right"/>
              <w:rPr>
                <w:noProof/>
                <w:sz w:val="20"/>
              </w:rPr>
            </w:pPr>
            <w:r>
              <w:rPr>
                <w:noProof/>
                <w:sz w:val="20"/>
              </w:rPr>
              <w:t>33,640</w:t>
            </w:r>
          </w:p>
        </w:tc>
        <w:tc>
          <w:tcPr>
            <w:tcW w:w="1074" w:type="dxa"/>
          </w:tcPr>
          <w:p>
            <w:pPr>
              <w:spacing w:before="20" w:after="20" w:line="276" w:lineRule="auto"/>
              <w:jc w:val="right"/>
              <w:rPr>
                <w:noProof/>
                <w:sz w:val="20"/>
              </w:rPr>
            </w:pPr>
            <w:r>
              <w:rPr>
                <w:noProof/>
                <w:sz w:val="20"/>
              </w:rPr>
              <w:t>33,640</w:t>
            </w:r>
          </w:p>
        </w:tc>
        <w:tc>
          <w:tcPr>
            <w:tcW w:w="1836" w:type="dxa"/>
            <w:vAlign w:val="center"/>
          </w:tcPr>
          <w:p>
            <w:pPr>
              <w:spacing w:before="20" w:after="20" w:line="276" w:lineRule="auto"/>
              <w:jc w:val="right"/>
              <w:rPr>
                <w:noProof/>
                <w:sz w:val="20"/>
              </w:rPr>
            </w:pPr>
            <w:r>
              <w:rPr>
                <w:noProof/>
                <w:sz w:val="20"/>
              </w:rPr>
              <w:t>233,090</w:t>
            </w:r>
          </w:p>
        </w:tc>
      </w:tr>
    </w:tbl>
    <w:p>
      <w:pPr>
        <w:rPr>
          <w:noProof/>
        </w:rPr>
      </w:pPr>
    </w:p>
    <w:tbl>
      <w:tblPr>
        <w:tblW w:w="14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9"/>
        <w:gridCol w:w="2157"/>
        <w:gridCol w:w="894"/>
        <w:gridCol w:w="894"/>
        <w:gridCol w:w="894"/>
        <w:gridCol w:w="894"/>
        <w:gridCol w:w="1071"/>
        <w:gridCol w:w="1022"/>
        <w:gridCol w:w="1168"/>
        <w:gridCol w:w="1752"/>
      </w:tblGrid>
      <w:tr>
        <w:trPr>
          <w:trHeight w:val="1065"/>
        </w:trPr>
        <w:tc>
          <w:tcPr>
            <w:tcW w:w="4079" w:type="dxa"/>
            <w:shd w:val="thinDiagStripe" w:color="C0C0C0" w:fill="auto"/>
            <w:vAlign w:val="center"/>
          </w:tcPr>
          <w:p>
            <w:pPr>
              <w:jc w:val="center"/>
              <w:rPr>
                <w:b/>
                <w:noProof/>
                <w:sz w:val="22"/>
              </w:rPr>
            </w:pPr>
            <w:r>
              <w:rPr>
                <w:b/>
                <w:noProof/>
                <w:sz w:val="22"/>
              </w:rPr>
              <w:t>ΣΥΝΟΛΟ πιστώσεων</w:t>
            </w:r>
            <w:r>
              <w:rPr>
                <w:noProof/>
              </w:rPr>
              <w:t xml:space="preserve"> </w:t>
            </w:r>
            <w:r>
              <w:rPr>
                <w:noProof/>
              </w:rPr>
              <w:br/>
            </w:r>
            <w:r>
              <w:rPr>
                <w:b/>
                <w:noProof/>
                <w:sz w:val="22"/>
              </w:rPr>
              <w:t>του ΤΟΜΕΑ 7</w:t>
            </w:r>
            <w:r>
              <w:rPr>
                <w:noProof/>
              </w:rPr>
              <w:t xml:space="preserve"> </w:t>
            </w:r>
            <w:r>
              <w:rPr>
                <w:noProof/>
              </w:rPr>
              <w:br/>
            </w:r>
            <w:r>
              <w:rPr>
                <w:noProof/>
                <w:sz w:val="22"/>
              </w:rPr>
              <w:t>του πολυετούς δημοσιονομικού πλαισίου</w:t>
            </w:r>
            <w:r>
              <w:rPr>
                <w:b/>
                <w:noProof/>
                <w:sz w:val="22"/>
              </w:rPr>
              <w:t xml:space="preserve"> </w:t>
            </w:r>
          </w:p>
        </w:tc>
        <w:tc>
          <w:tcPr>
            <w:tcW w:w="2157" w:type="dxa"/>
            <w:vAlign w:val="center"/>
          </w:tcPr>
          <w:p>
            <w:pPr>
              <w:spacing w:before="40" w:after="40"/>
              <w:rPr>
                <w:noProof/>
                <w:sz w:val="22"/>
              </w:rPr>
            </w:pPr>
            <w:r>
              <w:rPr>
                <w:noProof/>
                <w:sz w:val="18"/>
              </w:rPr>
              <w:t>(Σύνολο αναλήψεων υποχρεώσεων = Σύνολο πληρωμών)</w:t>
            </w:r>
          </w:p>
        </w:tc>
        <w:tc>
          <w:tcPr>
            <w:tcW w:w="894" w:type="dxa"/>
            <w:vAlign w:val="center"/>
          </w:tcPr>
          <w:p>
            <w:pPr>
              <w:spacing w:before="20" w:after="20"/>
              <w:jc w:val="right"/>
              <w:rPr>
                <w:noProof/>
                <w:sz w:val="20"/>
              </w:rPr>
            </w:pPr>
            <w:r>
              <w:rPr>
                <w:noProof/>
                <w:sz w:val="20"/>
              </w:rPr>
              <w:t>31,290</w:t>
            </w:r>
          </w:p>
        </w:tc>
        <w:tc>
          <w:tcPr>
            <w:tcW w:w="894" w:type="dxa"/>
            <w:vAlign w:val="center"/>
          </w:tcPr>
          <w:p>
            <w:pPr>
              <w:spacing w:before="20" w:after="20"/>
              <w:jc w:val="right"/>
              <w:rPr>
                <w:noProof/>
                <w:sz w:val="20"/>
              </w:rPr>
            </w:pPr>
            <w:r>
              <w:rPr>
                <w:noProof/>
                <w:sz w:val="20"/>
              </w:rPr>
              <w:t>33,600</w:t>
            </w:r>
          </w:p>
        </w:tc>
        <w:tc>
          <w:tcPr>
            <w:tcW w:w="894" w:type="dxa"/>
            <w:vAlign w:val="center"/>
          </w:tcPr>
          <w:p>
            <w:pPr>
              <w:spacing w:before="20" w:after="20"/>
              <w:jc w:val="right"/>
              <w:rPr>
                <w:noProof/>
                <w:sz w:val="20"/>
              </w:rPr>
            </w:pPr>
            <w:r>
              <w:rPr>
                <w:noProof/>
                <w:sz w:val="20"/>
              </w:rPr>
              <w:t>33,640</w:t>
            </w:r>
          </w:p>
        </w:tc>
        <w:tc>
          <w:tcPr>
            <w:tcW w:w="894" w:type="dxa"/>
            <w:vAlign w:val="center"/>
          </w:tcPr>
          <w:p>
            <w:pPr>
              <w:spacing w:before="20" w:after="20"/>
              <w:jc w:val="right"/>
              <w:rPr>
                <w:noProof/>
                <w:sz w:val="20"/>
              </w:rPr>
            </w:pPr>
            <w:r>
              <w:rPr>
                <w:noProof/>
                <w:sz w:val="20"/>
              </w:rPr>
              <w:t>33,640</w:t>
            </w:r>
          </w:p>
        </w:tc>
        <w:tc>
          <w:tcPr>
            <w:tcW w:w="1071" w:type="dxa"/>
            <w:vAlign w:val="center"/>
          </w:tcPr>
          <w:p>
            <w:pPr>
              <w:spacing w:before="20" w:after="20"/>
              <w:jc w:val="right"/>
              <w:rPr>
                <w:noProof/>
                <w:sz w:val="20"/>
              </w:rPr>
            </w:pPr>
            <w:r>
              <w:rPr>
                <w:noProof/>
                <w:sz w:val="20"/>
              </w:rPr>
              <w:t>33,640</w:t>
            </w:r>
          </w:p>
        </w:tc>
        <w:tc>
          <w:tcPr>
            <w:tcW w:w="1022" w:type="dxa"/>
            <w:vAlign w:val="center"/>
          </w:tcPr>
          <w:p>
            <w:pPr>
              <w:spacing w:before="20" w:after="20"/>
              <w:jc w:val="right"/>
              <w:rPr>
                <w:noProof/>
                <w:sz w:val="20"/>
              </w:rPr>
            </w:pPr>
            <w:r>
              <w:rPr>
                <w:noProof/>
                <w:sz w:val="20"/>
              </w:rPr>
              <w:t>33,640</w:t>
            </w:r>
          </w:p>
        </w:tc>
        <w:tc>
          <w:tcPr>
            <w:tcW w:w="1168" w:type="dxa"/>
            <w:vAlign w:val="center"/>
          </w:tcPr>
          <w:p>
            <w:pPr>
              <w:spacing w:before="20" w:after="20"/>
              <w:jc w:val="right"/>
              <w:rPr>
                <w:noProof/>
                <w:sz w:val="20"/>
              </w:rPr>
            </w:pPr>
            <w:r>
              <w:rPr>
                <w:noProof/>
                <w:sz w:val="20"/>
              </w:rPr>
              <w:t>33,640</w:t>
            </w:r>
          </w:p>
        </w:tc>
        <w:tc>
          <w:tcPr>
            <w:tcW w:w="1752" w:type="dxa"/>
            <w:vAlign w:val="center"/>
          </w:tcPr>
          <w:p>
            <w:pPr>
              <w:spacing w:before="20" w:after="20"/>
              <w:jc w:val="right"/>
              <w:rPr>
                <w:noProof/>
                <w:sz w:val="20"/>
              </w:rPr>
            </w:pPr>
            <w:r>
              <w:rPr>
                <w:noProof/>
                <w:sz w:val="20"/>
              </w:rPr>
              <w:t>233,090</w:t>
            </w:r>
          </w:p>
        </w:tc>
      </w:tr>
    </w:tbl>
    <w:p>
      <w:pPr>
        <w:jc w:val="right"/>
        <w:rPr>
          <w:noProof/>
          <w:sz w:val="20"/>
        </w:rPr>
      </w:pPr>
      <w:r>
        <w:rPr>
          <w:noProof/>
          <w:sz w:val="20"/>
        </w:rPr>
        <w:t>σε εκατ. EUR (με τρία δεκαδικά ψηφία)</w:t>
      </w: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1560"/>
        <w:gridCol w:w="534"/>
        <w:gridCol w:w="868"/>
        <w:gridCol w:w="868"/>
        <w:gridCol w:w="868"/>
        <w:gridCol w:w="868"/>
        <w:gridCol w:w="868"/>
        <w:gridCol w:w="868"/>
        <w:gridCol w:w="868"/>
        <w:gridCol w:w="870"/>
        <w:gridCol w:w="1777"/>
      </w:tblGrid>
      <w:tr>
        <w:tc>
          <w:tcPr>
            <w:tcW w:w="3958"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2023</w:t>
            </w:r>
          </w:p>
        </w:tc>
        <w:tc>
          <w:tcPr>
            <w:tcW w:w="868" w:type="dxa"/>
          </w:tcPr>
          <w:p>
            <w:pPr>
              <w:jc w:val="center"/>
              <w:rPr>
                <w:noProof/>
                <w:sz w:val="20"/>
              </w:rPr>
            </w:pPr>
            <w:r>
              <w:rPr>
                <w:noProof/>
                <w:sz w:val="20"/>
              </w:rPr>
              <w:t>Έτος</w:t>
            </w:r>
            <w:r>
              <w:rPr>
                <w:noProof/>
              </w:rPr>
              <w:t xml:space="preserve"> </w:t>
            </w:r>
            <w:r>
              <w:rPr>
                <w:noProof/>
              </w:rPr>
              <w:br/>
            </w:r>
            <w:r>
              <w:rPr>
                <w:b/>
                <w:noProof/>
                <w:sz w:val="20"/>
              </w:rPr>
              <w:t>2024</w:t>
            </w:r>
          </w:p>
        </w:tc>
        <w:tc>
          <w:tcPr>
            <w:tcW w:w="868" w:type="dxa"/>
          </w:tcPr>
          <w:p>
            <w:pPr>
              <w:jc w:val="center"/>
              <w:rPr>
                <w:noProof/>
                <w:sz w:val="20"/>
              </w:rPr>
            </w:pPr>
            <w:r>
              <w:rPr>
                <w:noProof/>
                <w:sz w:val="20"/>
              </w:rPr>
              <w:t>Έτος</w:t>
            </w:r>
            <w:r>
              <w:rPr>
                <w:noProof/>
              </w:rPr>
              <w:t xml:space="preserve"> </w:t>
            </w:r>
            <w:r>
              <w:rPr>
                <w:noProof/>
              </w:rPr>
              <w:br/>
            </w:r>
            <w:r>
              <w:rPr>
                <w:b/>
                <w:noProof/>
                <w:sz w:val="20"/>
              </w:rPr>
              <w:t>2025</w:t>
            </w:r>
          </w:p>
        </w:tc>
        <w:tc>
          <w:tcPr>
            <w:tcW w:w="868" w:type="dxa"/>
          </w:tcPr>
          <w:p>
            <w:pPr>
              <w:jc w:val="center"/>
              <w:rPr>
                <w:noProof/>
                <w:sz w:val="20"/>
              </w:rPr>
            </w:pPr>
            <w:r>
              <w:rPr>
                <w:noProof/>
                <w:sz w:val="20"/>
              </w:rPr>
              <w:t>Έτος</w:t>
            </w:r>
            <w:r>
              <w:rPr>
                <w:noProof/>
              </w:rPr>
              <w:t xml:space="preserve"> </w:t>
            </w:r>
            <w:r>
              <w:rPr>
                <w:noProof/>
              </w:rPr>
              <w:br/>
            </w:r>
            <w:r>
              <w:rPr>
                <w:b/>
                <w:noProof/>
                <w:sz w:val="20"/>
              </w:rPr>
              <w:t>2026</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2027</w:t>
            </w:r>
          </w:p>
        </w:tc>
        <w:tc>
          <w:tcPr>
            <w:tcW w:w="870" w:type="dxa"/>
            <w:vAlign w:val="center"/>
          </w:tcPr>
          <w:p>
            <w:pPr>
              <w:jc w:val="center"/>
              <w:rPr>
                <w:b/>
                <w:noProof/>
                <w:sz w:val="18"/>
              </w:rPr>
            </w:pPr>
            <w:r>
              <w:rPr>
                <w:b/>
                <w:noProof/>
                <w:sz w:val="18"/>
              </w:rPr>
              <w:t>Μετά το 2027</w:t>
            </w:r>
          </w:p>
        </w:tc>
        <w:tc>
          <w:tcPr>
            <w:tcW w:w="1777" w:type="dxa"/>
            <w:vAlign w:val="center"/>
          </w:tcPr>
          <w:p>
            <w:pPr>
              <w:jc w:val="center"/>
              <w:rPr>
                <w:b/>
                <w:noProof/>
                <w:sz w:val="20"/>
              </w:rPr>
            </w:pPr>
            <w:r>
              <w:rPr>
                <w:b/>
                <w:noProof/>
                <w:sz w:val="20"/>
              </w:rPr>
              <w:t>ΣΥΝΟΛΟ</w:t>
            </w:r>
          </w:p>
        </w:tc>
      </w:tr>
      <w:tr>
        <w:tc>
          <w:tcPr>
            <w:tcW w:w="3958" w:type="dxa"/>
            <w:vMerge w:val="restart"/>
            <w:shd w:val="clear" w:color="auto" w:fill="C0C0C0"/>
            <w:vAlign w:val="center"/>
          </w:tcPr>
          <w:p>
            <w:pPr>
              <w:jc w:val="center"/>
              <w:rPr>
                <w:b/>
                <w:noProof/>
                <w:sz w:val="22"/>
              </w:rPr>
            </w:pPr>
            <w:r>
              <w:rPr>
                <w:b/>
                <w:noProof/>
                <w:sz w:val="22"/>
              </w:rPr>
              <w:t>ΣΥΝΟΛΟ πιστώσεων</w:t>
            </w:r>
            <w:r>
              <w:rPr>
                <w:noProof/>
              </w:rPr>
              <w:br/>
            </w:r>
            <w:r>
              <w:rPr>
                <w:b/>
                <w:noProof/>
                <w:sz w:val="22"/>
              </w:rPr>
              <w:t>των ΤΟΜΕΩΝ 1 έως 7</w:t>
            </w:r>
            <w:r>
              <w:rPr>
                <w:noProof/>
              </w:rPr>
              <w:t xml:space="preserve"> </w:t>
            </w:r>
            <w:r>
              <w:rPr>
                <w:noProof/>
              </w:rPr>
              <w:br/>
            </w:r>
            <w:r>
              <w:rPr>
                <w:noProof/>
                <w:sz w:val="22"/>
              </w:rP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center"/>
              <w:rPr>
                <w:noProof/>
                <w:sz w:val="20"/>
              </w:rPr>
            </w:pPr>
            <w:r>
              <w:rPr>
                <w:noProof/>
                <w:sz w:val="20"/>
              </w:rPr>
              <w:t>154,720</w:t>
            </w:r>
          </w:p>
        </w:tc>
        <w:tc>
          <w:tcPr>
            <w:tcW w:w="868" w:type="dxa"/>
            <w:vAlign w:val="center"/>
          </w:tcPr>
          <w:p>
            <w:pPr>
              <w:spacing w:before="60" w:after="60"/>
              <w:jc w:val="center"/>
              <w:rPr>
                <w:noProof/>
                <w:sz w:val="20"/>
              </w:rPr>
            </w:pPr>
            <w:r>
              <w:rPr>
                <w:noProof/>
                <w:sz w:val="20"/>
              </w:rPr>
              <w:t>157,030</w:t>
            </w:r>
          </w:p>
        </w:tc>
        <w:tc>
          <w:tcPr>
            <w:tcW w:w="868" w:type="dxa"/>
            <w:vAlign w:val="center"/>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vAlign w:val="center"/>
          </w:tcPr>
          <w:p>
            <w:pPr>
              <w:spacing w:before="60" w:after="60"/>
              <w:jc w:val="center"/>
              <w:rPr>
                <w:noProof/>
                <w:sz w:val="20"/>
              </w:rPr>
            </w:pPr>
            <w:r>
              <w:rPr>
                <w:noProof/>
                <w:sz w:val="20"/>
              </w:rPr>
              <w:t>156,060</w:t>
            </w:r>
          </w:p>
        </w:tc>
        <w:tc>
          <w:tcPr>
            <w:tcW w:w="870" w:type="dxa"/>
            <w:vAlign w:val="center"/>
          </w:tcPr>
          <w:p>
            <w:pPr>
              <w:spacing w:before="60" w:after="60"/>
              <w:jc w:val="center"/>
              <w:rPr>
                <w:noProof/>
                <w:sz w:val="20"/>
              </w:rPr>
            </w:pPr>
            <w:r>
              <w:rPr>
                <w:noProof/>
                <w:sz w:val="20"/>
              </w:rPr>
              <w:t>0,000</w:t>
            </w:r>
          </w:p>
        </w:tc>
        <w:tc>
          <w:tcPr>
            <w:tcW w:w="1777" w:type="dxa"/>
            <w:vAlign w:val="center"/>
          </w:tcPr>
          <w:p>
            <w:pPr>
              <w:spacing w:before="60" w:after="60"/>
              <w:jc w:val="center"/>
              <w:rPr>
                <w:b/>
                <w:noProof/>
                <w:sz w:val="20"/>
              </w:rPr>
            </w:pPr>
            <w:r>
              <w:rPr>
                <w:b/>
                <w:noProof/>
                <w:sz w:val="20"/>
              </w:rPr>
              <w:t>1096,090</w:t>
            </w:r>
          </w:p>
        </w:tc>
      </w:tr>
      <w:tr>
        <w:tc>
          <w:tcPr>
            <w:tcW w:w="3958"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center"/>
              <w:rPr>
                <w:noProof/>
                <w:sz w:val="20"/>
              </w:rPr>
            </w:pPr>
            <w:r>
              <w:rPr>
                <w:noProof/>
                <w:sz w:val="20"/>
              </w:rPr>
              <w:t>75,791</w:t>
            </w:r>
          </w:p>
        </w:tc>
        <w:tc>
          <w:tcPr>
            <w:tcW w:w="868" w:type="dxa"/>
            <w:vAlign w:val="center"/>
          </w:tcPr>
          <w:p>
            <w:pPr>
              <w:spacing w:before="60" w:after="60"/>
              <w:jc w:val="center"/>
              <w:rPr>
                <w:noProof/>
                <w:sz w:val="20"/>
              </w:rPr>
            </w:pPr>
            <w:r>
              <w:rPr>
                <w:noProof/>
                <w:sz w:val="20"/>
              </w:rPr>
              <w:t>126,065</w:t>
            </w:r>
          </w:p>
        </w:tc>
        <w:tc>
          <w:tcPr>
            <w:tcW w:w="868" w:type="dxa"/>
            <w:vAlign w:val="center"/>
          </w:tcPr>
          <w:p>
            <w:pPr>
              <w:spacing w:before="60" w:after="60"/>
              <w:jc w:val="center"/>
              <w:rPr>
                <w:noProof/>
                <w:sz w:val="20"/>
              </w:rPr>
            </w:pPr>
            <w:r>
              <w:rPr>
                <w:noProof/>
                <w:sz w:val="20"/>
              </w:rPr>
              <w:t>150,999</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vAlign w:val="center"/>
          </w:tcPr>
          <w:p>
            <w:pPr>
              <w:spacing w:before="60" w:after="60"/>
              <w:jc w:val="center"/>
              <w:rPr>
                <w:noProof/>
                <w:sz w:val="20"/>
              </w:rPr>
            </w:pPr>
            <w:r>
              <w:rPr>
                <w:noProof/>
                <w:sz w:val="20"/>
              </w:rPr>
              <w:t>157,070</w:t>
            </w:r>
          </w:p>
        </w:tc>
        <w:tc>
          <w:tcPr>
            <w:tcW w:w="870" w:type="dxa"/>
            <w:vAlign w:val="center"/>
          </w:tcPr>
          <w:p>
            <w:pPr>
              <w:spacing w:before="60" w:after="60"/>
              <w:jc w:val="center"/>
              <w:rPr>
                <w:noProof/>
                <w:sz w:val="20"/>
              </w:rPr>
            </w:pPr>
            <w:r>
              <w:rPr>
                <w:noProof/>
                <w:sz w:val="20"/>
              </w:rPr>
              <w:t>114,955</w:t>
            </w:r>
          </w:p>
        </w:tc>
        <w:tc>
          <w:tcPr>
            <w:tcW w:w="1777" w:type="dxa"/>
            <w:vAlign w:val="center"/>
          </w:tcPr>
          <w:p>
            <w:pPr>
              <w:spacing w:before="60" w:after="60"/>
              <w:jc w:val="center"/>
              <w:rPr>
                <w:b/>
                <w:noProof/>
                <w:sz w:val="20"/>
              </w:rPr>
            </w:pPr>
            <w:r>
              <w:rPr>
                <w:b/>
                <w:noProof/>
                <w:sz w:val="20"/>
              </w:rPr>
              <w:t>1096,090</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567" w:left="1418" w:header="709" w:footer="709" w:gutter="0"/>
          <w:cols w:space="708"/>
          <w:docGrid w:linePitch="360"/>
        </w:sectPr>
      </w:pPr>
    </w:p>
    <w:p>
      <w:pPr>
        <w:pStyle w:val="ManualHeading3"/>
        <w:rPr>
          <w:bCs/>
          <w:noProof/>
          <w:szCs w:val="24"/>
        </w:rPr>
      </w:pPr>
      <w:r>
        <w:t>3.2.2.</w:t>
      </w:r>
      <w:r>
        <w:tab/>
      </w:r>
      <w:r>
        <w:rPr>
          <w:noProof/>
        </w:rPr>
        <w:t>Εκτιμώμενες επιπτώσεις στις πιστώσεις διοικητικού χαρακτήρα</w:t>
      </w:r>
    </w:p>
    <w:p>
      <w:pPr>
        <w:pStyle w:val="ManualHeading4"/>
        <w:rPr>
          <w:noProof/>
        </w:rPr>
      </w:pPr>
      <w:r>
        <w:t>3.2.2.1.</w:t>
      </w:r>
      <w:r>
        <w:tab/>
      </w:r>
      <w:r>
        <w:rPr>
          <w:noProof/>
        </w:rPr>
        <w:t xml:space="preserve">Συνοπτική παρουσίαση </w:t>
      </w:r>
    </w:p>
    <w:p>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b/>
          <w:noProof/>
        </w:rPr>
        <w:t>X</w:t>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τρία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jc w:val="left"/>
              <w:rPr>
                <w:noProof/>
                <w:sz w:val="16"/>
                <w:szCs w:val="16"/>
              </w:rPr>
            </w:pP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2021</w:t>
            </w:r>
            <w:r>
              <w:rPr>
                <w:rStyle w:val="FootnoteReference"/>
                <w:b/>
                <w:noProof/>
                <w:sz w:val="16"/>
              </w:rPr>
              <w:footnoteReference w:id="34"/>
            </w: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2023</w:t>
            </w: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2024</w:t>
            </w:r>
          </w:p>
        </w:tc>
        <w:tc>
          <w:tcPr>
            <w:tcW w:w="1080" w:type="dxa"/>
          </w:tcPr>
          <w:p>
            <w:pPr>
              <w:spacing w:before="60" w:after="60" w:line="200" w:lineRule="exact"/>
              <w:jc w:val="center"/>
              <w:rPr>
                <w:b/>
                <w:noProof/>
                <w:sz w:val="16"/>
              </w:rPr>
            </w:pPr>
            <w:r>
              <w:rPr>
                <w:noProof/>
                <w:sz w:val="16"/>
              </w:rPr>
              <w:t>Έτος</w:t>
            </w:r>
            <w:r>
              <w:rPr>
                <w:noProof/>
              </w:rPr>
              <w:t xml:space="preserve"> </w:t>
            </w:r>
            <w:r>
              <w:rPr>
                <w:noProof/>
              </w:rPr>
              <w:br/>
            </w:r>
            <w:r>
              <w:rPr>
                <w:b/>
                <w:noProof/>
                <w:sz w:val="16"/>
              </w:rPr>
              <w:t>2025</w:t>
            </w:r>
          </w:p>
        </w:tc>
        <w:tc>
          <w:tcPr>
            <w:tcW w:w="1080" w:type="dxa"/>
          </w:tcPr>
          <w:p>
            <w:pPr>
              <w:spacing w:before="60" w:after="60" w:line="200" w:lineRule="exact"/>
              <w:jc w:val="center"/>
              <w:rPr>
                <w:b/>
                <w:noProof/>
                <w:sz w:val="16"/>
              </w:rPr>
            </w:pPr>
            <w:r>
              <w:rPr>
                <w:noProof/>
                <w:sz w:val="16"/>
              </w:rPr>
              <w:t>Έτος</w:t>
            </w:r>
            <w:r>
              <w:rPr>
                <w:noProof/>
              </w:rPr>
              <w:t xml:space="preserve"> </w:t>
            </w:r>
            <w:r>
              <w:rPr>
                <w:noProof/>
              </w:rPr>
              <w:br/>
            </w:r>
            <w:r>
              <w:rPr>
                <w:b/>
                <w:noProof/>
                <w:sz w:val="16"/>
              </w:rPr>
              <w:t>2026</w:t>
            </w:r>
          </w:p>
        </w:tc>
        <w:tc>
          <w:tcPr>
            <w:tcW w:w="1080" w:type="dxa"/>
          </w:tcPr>
          <w:p>
            <w:pPr>
              <w:spacing w:before="60" w:after="60" w:line="200" w:lineRule="exact"/>
              <w:jc w:val="center"/>
              <w:rPr>
                <w:b/>
                <w:noProof/>
                <w:sz w:val="16"/>
              </w:rPr>
            </w:pPr>
            <w:r>
              <w:rPr>
                <w:noProof/>
                <w:sz w:val="16"/>
              </w:rPr>
              <w:t>Έτος</w:t>
            </w:r>
            <w:r>
              <w:rPr>
                <w:noProof/>
              </w:rPr>
              <w:t xml:space="preserve"> </w:t>
            </w:r>
            <w:r>
              <w:rPr>
                <w:noProof/>
              </w:rPr>
              <w:br/>
            </w:r>
            <w:r>
              <w:rPr>
                <w:b/>
                <w:noProof/>
                <w:sz w:val="16"/>
              </w:rPr>
              <w:t>2027</w:t>
            </w: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before="0" w:after="200" w:line="200" w:lineRule="exact"/>
        <w:jc w:val="lef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7</w:t>
            </w:r>
            <w:r>
              <w:rPr>
                <w:noProof/>
              </w:rPr>
              <w:t xml:space="preserve"> </w:t>
            </w:r>
            <w:r>
              <w:rPr>
                <w:noProof/>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r>
              <w:rPr>
                <w:noProof/>
                <w:sz w:val="16"/>
                <w:szCs w:val="16"/>
              </w:rPr>
              <w:t>29,890</w:t>
            </w:r>
          </w:p>
        </w:tc>
        <w:tc>
          <w:tcPr>
            <w:tcW w:w="1080" w:type="dxa"/>
            <w:vAlign w:val="center"/>
          </w:tcPr>
          <w:p>
            <w:pPr>
              <w:spacing w:before="60" w:after="60" w:line="200" w:lineRule="exact"/>
              <w:jc w:val="right"/>
              <w:rPr>
                <w:noProof/>
                <w:sz w:val="16"/>
                <w:szCs w:val="16"/>
              </w:rPr>
            </w:pPr>
            <w:r>
              <w:rPr>
                <w:noProof/>
                <w:sz w:val="16"/>
                <w:szCs w:val="16"/>
              </w:rPr>
              <w:t>31,945</w:t>
            </w:r>
          </w:p>
        </w:tc>
        <w:tc>
          <w:tcPr>
            <w:tcW w:w="1080" w:type="dxa"/>
            <w:vAlign w:val="center"/>
          </w:tcPr>
          <w:p>
            <w:pPr>
              <w:spacing w:before="60" w:after="60" w:line="200" w:lineRule="exact"/>
              <w:jc w:val="right"/>
              <w:rPr>
                <w:noProof/>
                <w:sz w:val="16"/>
                <w:szCs w:val="16"/>
              </w:rPr>
            </w:pPr>
            <w:r>
              <w:rPr>
                <w:noProof/>
                <w:sz w:val="16"/>
                <w:szCs w:val="16"/>
              </w:rPr>
              <w:t>31,945</w:t>
            </w:r>
          </w:p>
        </w:tc>
        <w:tc>
          <w:tcPr>
            <w:tcW w:w="1080" w:type="dxa"/>
            <w:vAlign w:val="center"/>
          </w:tcPr>
          <w:p>
            <w:pPr>
              <w:spacing w:before="60" w:after="60" w:line="200" w:lineRule="exact"/>
              <w:jc w:val="right"/>
              <w:rPr>
                <w:noProof/>
                <w:sz w:val="16"/>
                <w:szCs w:val="16"/>
              </w:rPr>
            </w:pPr>
            <w:r>
              <w:rPr>
                <w:noProof/>
                <w:sz w:val="16"/>
                <w:szCs w:val="16"/>
              </w:rPr>
              <w:t>31,945</w:t>
            </w:r>
          </w:p>
        </w:tc>
        <w:tc>
          <w:tcPr>
            <w:tcW w:w="1080" w:type="dxa"/>
            <w:vAlign w:val="center"/>
          </w:tcPr>
          <w:p>
            <w:pPr>
              <w:spacing w:before="60" w:after="60" w:line="200" w:lineRule="exact"/>
              <w:jc w:val="right"/>
              <w:rPr>
                <w:noProof/>
                <w:sz w:val="16"/>
              </w:rPr>
            </w:pPr>
            <w:r>
              <w:rPr>
                <w:noProof/>
                <w:sz w:val="16"/>
              </w:rPr>
              <w:t>31,945</w:t>
            </w:r>
          </w:p>
        </w:tc>
        <w:tc>
          <w:tcPr>
            <w:tcW w:w="1080" w:type="dxa"/>
            <w:vAlign w:val="center"/>
          </w:tcPr>
          <w:p>
            <w:pPr>
              <w:spacing w:before="60" w:after="60" w:line="200" w:lineRule="exact"/>
              <w:jc w:val="right"/>
              <w:rPr>
                <w:noProof/>
                <w:sz w:val="16"/>
              </w:rPr>
            </w:pPr>
            <w:r>
              <w:rPr>
                <w:noProof/>
                <w:sz w:val="16"/>
              </w:rPr>
              <w:t>31,945</w:t>
            </w:r>
          </w:p>
        </w:tc>
        <w:tc>
          <w:tcPr>
            <w:tcW w:w="1080" w:type="dxa"/>
            <w:vAlign w:val="center"/>
          </w:tcPr>
          <w:p>
            <w:pPr>
              <w:spacing w:before="60" w:after="60" w:line="200" w:lineRule="exact"/>
              <w:jc w:val="right"/>
              <w:rPr>
                <w:noProof/>
                <w:sz w:val="16"/>
              </w:rPr>
            </w:pPr>
            <w:r>
              <w:rPr>
                <w:noProof/>
                <w:sz w:val="16"/>
              </w:rPr>
              <w:t>31,945</w:t>
            </w:r>
          </w:p>
        </w:tc>
        <w:tc>
          <w:tcPr>
            <w:tcW w:w="1080" w:type="dxa"/>
            <w:vAlign w:val="center"/>
          </w:tcPr>
          <w:p>
            <w:pPr>
              <w:spacing w:before="60" w:after="60" w:line="200" w:lineRule="exact"/>
              <w:jc w:val="right"/>
              <w:rPr>
                <w:b/>
                <w:noProof/>
                <w:sz w:val="16"/>
                <w:szCs w:val="16"/>
              </w:rPr>
            </w:pPr>
            <w:r>
              <w:rPr>
                <w:b/>
                <w:noProof/>
                <w:sz w:val="16"/>
                <w:szCs w:val="16"/>
              </w:rPr>
              <w:t>221,560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6"/>
                <w:szCs w:val="16"/>
              </w:rPr>
            </w:pPr>
            <w:r>
              <w:rPr>
                <w:noProof/>
                <w:sz w:val="16"/>
                <w:szCs w:val="16"/>
              </w:rPr>
              <w:t>1,400</w:t>
            </w:r>
          </w:p>
        </w:tc>
        <w:tc>
          <w:tcPr>
            <w:tcW w:w="1080" w:type="dxa"/>
            <w:vAlign w:val="center"/>
          </w:tcPr>
          <w:p>
            <w:pPr>
              <w:spacing w:before="60" w:after="60" w:line="200" w:lineRule="exact"/>
              <w:jc w:val="right"/>
              <w:rPr>
                <w:noProof/>
                <w:sz w:val="16"/>
                <w:szCs w:val="16"/>
              </w:rPr>
            </w:pPr>
            <w:r>
              <w:rPr>
                <w:noProof/>
                <w:sz w:val="16"/>
                <w:szCs w:val="16"/>
              </w:rPr>
              <w:t>1,655</w:t>
            </w:r>
          </w:p>
        </w:tc>
        <w:tc>
          <w:tcPr>
            <w:tcW w:w="1080" w:type="dxa"/>
            <w:vAlign w:val="center"/>
          </w:tcPr>
          <w:p>
            <w:pPr>
              <w:spacing w:before="60" w:after="60" w:line="200" w:lineRule="exact"/>
              <w:jc w:val="right"/>
              <w:rPr>
                <w:noProof/>
                <w:sz w:val="16"/>
                <w:szCs w:val="16"/>
              </w:rPr>
            </w:pPr>
            <w:r>
              <w:rPr>
                <w:noProof/>
                <w:sz w:val="16"/>
                <w:szCs w:val="16"/>
              </w:rPr>
              <w:t>1,695</w:t>
            </w:r>
          </w:p>
        </w:tc>
        <w:tc>
          <w:tcPr>
            <w:tcW w:w="1080" w:type="dxa"/>
            <w:vAlign w:val="center"/>
          </w:tcPr>
          <w:p>
            <w:pPr>
              <w:spacing w:before="60" w:after="60" w:line="200" w:lineRule="exact"/>
              <w:jc w:val="right"/>
              <w:rPr>
                <w:noProof/>
                <w:sz w:val="16"/>
                <w:szCs w:val="16"/>
              </w:rPr>
            </w:pPr>
            <w:r>
              <w:rPr>
                <w:noProof/>
                <w:sz w:val="16"/>
                <w:szCs w:val="16"/>
              </w:rPr>
              <w:t>1,695</w:t>
            </w:r>
          </w:p>
        </w:tc>
        <w:tc>
          <w:tcPr>
            <w:tcW w:w="1080" w:type="dxa"/>
            <w:vAlign w:val="center"/>
          </w:tcPr>
          <w:p>
            <w:pPr>
              <w:spacing w:before="60" w:after="60" w:line="200" w:lineRule="exact"/>
              <w:jc w:val="right"/>
              <w:rPr>
                <w:noProof/>
                <w:sz w:val="16"/>
              </w:rPr>
            </w:pPr>
            <w:r>
              <w:rPr>
                <w:noProof/>
                <w:sz w:val="16"/>
              </w:rPr>
              <w:t>1,695</w:t>
            </w:r>
          </w:p>
        </w:tc>
        <w:tc>
          <w:tcPr>
            <w:tcW w:w="1080" w:type="dxa"/>
            <w:vAlign w:val="center"/>
          </w:tcPr>
          <w:p>
            <w:pPr>
              <w:spacing w:before="60" w:after="60" w:line="200" w:lineRule="exact"/>
              <w:jc w:val="right"/>
              <w:rPr>
                <w:noProof/>
                <w:sz w:val="16"/>
              </w:rPr>
            </w:pPr>
            <w:r>
              <w:rPr>
                <w:noProof/>
                <w:sz w:val="16"/>
              </w:rPr>
              <w:t>1,695</w:t>
            </w:r>
          </w:p>
        </w:tc>
        <w:tc>
          <w:tcPr>
            <w:tcW w:w="1080" w:type="dxa"/>
            <w:vAlign w:val="center"/>
          </w:tcPr>
          <w:p>
            <w:pPr>
              <w:spacing w:before="60" w:after="60" w:line="200" w:lineRule="exact"/>
              <w:jc w:val="right"/>
              <w:rPr>
                <w:noProof/>
                <w:sz w:val="16"/>
              </w:rPr>
            </w:pPr>
            <w:r>
              <w:rPr>
                <w:noProof/>
                <w:sz w:val="16"/>
              </w:rPr>
              <w:t>1,695</w:t>
            </w:r>
          </w:p>
        </w:tc>
        <w:tc>
          <w:tcPr>
            <w:tcW w:w="1080" w:type="dxa"/>
            <w:vAlign w:val="center"/>
          </w:tcPr>
          <w:p>
            <w:pPr>
              <w:spacing w:before="60" w:after="60" w:line="200" w:lineRule="exact"/>
              <w:jc w:val="right"/>
              <w:rPr>
                <w:b/>
                <w:noProof/>
                <w:sz w:val="16"/>
                <w:szCs w:val="16"/>
              </w:rPr>
            </w:pPr>
            <w:r>
              <w:rPr>
                <w:b/>
                <w:noProof/>
                <w:sz w:val="16"/>
                <w:szCs w:val="16"/>
              </w:rPr>
              <w:t>11,530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7</w:t>
            </w:r>
            <w:r>
              <w:rPr>
                <w:noProof/>
              </w:rPr>
              <w:t xml:space="preserve"> </w:t>
            </w:r>
            <w:r>
              <w:rPr>
                <w:noProof/>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r>
              <w:rPr>
                <w:noProof/>
                <w:sz w:val="16"/>
                <w:szCs w:val="16"/>
              </w:rPr>
              <w:t>31,290</w:t>
            </w:r>
          </w:p>
        </w:tc>
        <w:tc>
          <w:tcPr>
            <w:tcW w:w="1080" w:type="dxa"/>
            <w:vAlign w:val="center"/>
          </w:tcPr>
          <w:p>
            <w:pPr>
              <w:spacing w:before="60" w:after="60" w:line="200" w:lineRule="exact"/>
              <w:jc w:val="right"/>
              <w:rPr>
                <w:noProof/>
                <w:sz w:val="16"/>
                <w:szCs w:val="16"/>
              </w:rPr>
            </w:pPr>
            <w:r>
              <w:rPr>
                <w:noProof/>
                <w:sz w:val="16"/>
                <w:szCs w:val="16"/>
              </w:rPr>
              <w:t>33,600</w:t>
            </w:r>
          </w:p>
        </w:tc>
        <w:tc>
          <w:tcPr>
            <w:tcW w:w="1080" w:type="dxa"/>
            <w:vAlign w:val="center"/>
          </w:tcPr>
          <w:p>
            <w:pPr>
              <w:spacing w:before="60" w:after="60" w:line="200" w:lineRule="exact"/>
              <w:jc w:val="right"/>
              <w:rPr>
                <w:noProof/>
                <w:sz w:val="16"/>
                <w:szCs w:val="16"/>
              </w:rPr>
            </w:pPr>
            <w:r>
              <w:rPr>
                <w:noProof/>
                <w:sz w:val="16"/>
                <w:szCs w:val="16"/>
              </w:rPr>
              <w:t>33,640</w:t>
            </w:r>
          </w:p>
        </w:tc>
        <w:tc>
          <w:tcPr>
            <w:tcW w:w="1080" w:type="dxa"/>
            <w:vAlign w:val="center"/>
          </w:tcPr>
          <w:p>
            <w:pPr>
              <w:spacing w:before="60" w:after="60" w:line="200" w:lineRule="exact"/>
              <w:jc w:val="right"/>
              <w:rPr>
                <w:noProof/>
                <w:sz w:val="16"/>
                <w:szCs w:val="16"/>
              </w:rPr>
            </w:pPr>
            <w:r>
              <w:rPr>
                <w:noProof/>
                <w:sz w:val="16"/>
                <w:szCs w:val="16"/>
              </w:rPr>
              <w:t>33,640</w:t>
            </w:r>
          </w:p>
        </w:tc>
        <w:tc>
          <w:tcPr>
            <w:tcW w:w="1080" w:type="dxa"/>
            <w:vAlign w:val="center"/>
          </w:tcPr>
          <w:p>
            <w:pPr>
              <w:spacing w:before="60" w:after="60" w:line="200" w:lineRule="exact"/>
              <w:jc w:val="right"/>
              <w:rPr>
                <w:noProof/>
                <w:sz w:val="16"/>
              </w:rPr>
            </w:pPr>
            <w:r>
              <w:rPr>
                <w:noProof/>
                <w:sz w:val="16"/>
              </w:rPr>
              <w:t>33,640</w:t>
            </w:r>
          </w:p>
        </w:tc>
        <w:tc>
          <w:tcPr>
            <w:tcW w:w="1080" w:type="dxa"/>
            <w:vAlign w:val="center"/>
          </w:tcPr>
          <w:p>
            <w:pPr>
              <w:spacing w:before="60" w:after="60" w:line="200" w:lineRule="exact"/>
              <w:jc w:val="right"/>
              <w:rPr>
                <w:noProof/>
                <w:sz w:val="16"/>
              </w:rPr>
            </w:pPr>
            <w:r>
              <w:rPr>
                <w:noProof/>
                <w:sz w:val="16"/>
              </w:rPr>
              <w:t>33,640</w:t>
            </w:r>
          </w:p>
        </w:tc>
        <w:tc>
          <w:tcPr>
            <w:tcW w:w="1080" w:type="dxa"/>
            <w:vAlign w:val="center"/>
          </w:tcPr>
          <w:p>
            <w:pPr>
              <w:spacing w:before="60" w:after="60" w:line="200" w:lineRule="exact"/>
              <w:jc w:val="right"/>
              <w:rPr>
                <w:noProof/>
                <w:sz w:val="16"/>
              </w:rPr>
            </w:pPr>
            <w:r>
              <w:rPr>
                <w:noProof/>
                <w:sz w:val="16"/>
              </w:rPr>
              <w:t>33,640</w:t>
            </w:r>
          </w:p>
        </w:tc>
        <w:tc>
          <w:tcPr>
            <w:tcW w:w="1080" w:type="dxa"/>
            <w:vAlign w:val="center"/>
          </w:tcPr>
          <w:p>
            <w:pPr>
              <w:spacing w:before="60" w:after="60" w:line="200" w:lineRule="exact"/>
              <w:jc w:val="right"/>
              <w:rPr>
                <w:b/>
                <w:noProof/>
                <w:sz w:val="16"/>
                <w:szCs w:val="16"/>
              </w:rPr>
            </w:pPr>
            <w:r>
              <w:rPr>
                <w:b/>
                <w:noProof/>
                <w:sz w:val="16"/>
                <w:szCs w:val="16"/>
              </w:rPr>
              <w:t>233,090</w:t>
            </w:r>
          </w:p>
        </w:tc>
      </w:tr>
    </w:tbl>
    <w:p>
      <w:pPr>
        <w:spacing w:before="0" w:after="200" w:line="200" w:lineRule="exact"/>
        <w:jc w:val="lef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lang w:val="en-US"/>
              </w:rPr>
            </w:pPr>
            <w:r>
              <w:rPr>
                <w:b/>
                <w:noProof/>
                <w:sz w:val="16"/>
              </w:rPr>
              <w:t>Εκτός</w:t>
            </w:r>
            <w:r>
              <w:rPr>
                <w:b/>
                <w:noProof/>
                <w:sz w:val="16"/>
                <w:lang w:val="en-US"/>
              </w:rPr>
              <w:t xml:space="preserve"> </w:t>
            </w:r>
            <w:r>
              <w:rPr>
                <w:b/>
                <w:noProof/>
                <w:sz w:val="16"/>
              </w:rPr>
              <w:t>του</w:t>
            </w:r>
            <w:r>
              <w:rPr>
                <w:b/>
                <w:noProof/>
                <w:sz w:val="16"/>
                <w:lang w:val="en-US"/>
              </w:rPr>
              <w:t xml:space="preserve"> </w:t>
            </w:r>
            <w:r>
              <w:rPr>
                <w:b/>
                <w:noProof/>
                <w:sz w:val="16"/>
              </w:rPr>
              <w:t>ΤΟΜΕΑ</w:t>
            </w:r>
            <w:r>
              <w:rPr>
                <w:b/>
                <w:noProof/>
                <w:sz w:val="16"/>
                <w:lang w:val="en-US"/>
              </w:rPr>
              <w:t xml:space="preserve"> 7</w:t>
            </w:r>
            <w:r>
              <w:rPr>
                <w:rStyle w:val="FootnoteReference"/>
                <w:b/>
                <w:noProof/>
                <w:sz w:val="16"/>
              </w:rPr>
              <w:footnoteReference w:id="35"/>
            </w:r>
            <w:r>
              <w:rPr>
                <w:noProof/>
                <w:lang w:val="en-US"/>
              </w:rPr>
              <w:t xml:space="preserve"> </w:t>
            </w:r>
            <w:r>
              <w:rPr>
                <w:noProof/>
                <w:lang w:val="en-US"/>
              </w:rPr>
              <w:br/>
            </w:r>
            <w:r>
              <w:rPr>
                <w:b/>
                <w:noProof/>
                <w:sz w:val="16"/>
                <w:lang w:val="en-US"/>
              </w:rPr>
              <w:t xml:space="preserve">of the multiannual financial framework </w:t>
            </w:r>
          </w:p>
          <w:p>
            <w:pPr>
              <w:spacing w:before="0" w:after="0" w:line="200" w:lineRule="exact"/>
              <w:jc w:val="center"/>
              <w:rPr>
                <w:b/>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tcPr>
          <w:p>
            <w:pPr>
              <w:spacing w:before="60" w:after="60" w:line="200" w:lineRule="exact"/>
              <w:jc w:val="right"/>
              <w:rPr>
                <w:b/>
                <w:noProof/>
                <w:sz w:val="16"/>
                <w:szCs w:val="16"/>
                <w:lang w:val="en-US"/>
              </w:rPr>
            </w:pPr>
          </w:p>
        </w:tc>
        <w:tc>
          <w:tcPr>
            <w:tcW w:w="1080" w:type="dxa"/>
          </w:tcPr>
          <w:p>
            <w:pPr>
              <w:spacing w:before="60" w:after="60" w:line="200" w:lineRule="exact"/>
              <w:jc w:val="right"/>
              <w:rPr>
                <w:b/>
                <w:noProof/>
                <w:sz w:val="16"/>
                <w:szCs w:val="16"/>
                <w:lang w:val="en-US"/>
              </w:rPr>
            </w:pPr>
          </w:p>
        </w:tc>
        <w:tc>
          <w:tcPr>
            <w:tcW w:w="1080" w:type="dxa"/>
          </w:tcPr>
          <w:p>
            <w:pPr>
              <w:spacing w:before="60" w:after="60" w:line="200" w:lineRule="exact"/>
              <w:jc w:val="right"/>
              <w:rPr>
                <w:b/>
                <w:noProof/>
                <w:sz w:val="16"/>
                <w:szCs w:val="16"/>
                <w:lang w:val="en-US"/>
              </w:rPr>
            </w:pPr>
          </w:p>
        </w:tc>
        <w:tc>
          <w:tcPr>
            <w:tcW w:w="1080" w:type="dxa"/>
            <w:vAlign w:val="center"/>
          </w:tcPr>
          <w:p>
            <w:pPr>
              <w:spacing w:before="60" w:after="60" w:line="200" w:lineRule="exact"/>
              <w:jc w:val="right"/>
              <w:rPr>
                <w:b/>
                <w:noProof/>
                <w:sz w:val="16"/>
                <w:szCs w:val="16"/>
                <w:lang w:val="en-US"/>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Άλλες δαπάνες</w:t>
            </w:r>
            <w:r>
              <w:rPr>
                <w:noProof/>
              </w:rPr>
              <w:br/>
              <w:t>διοικητικού χαρακτήρα</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b/>
                <w:noProof/>
                <w:sz w:val="16"/>
                <w:szCs w:val="16"/>
              </w:rPr>
            </w:pPr>
            <w:r>
              <w:rPr>
                <w:b/>
                <w:noProof/>
                <w:sz w:val="16"/>
                <w:szCs w:val="16"/>
              </w:rPr>
              <w:t>14,000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Μερικό σύνολο</w:t>
            </w:r>
            <w:r>
              <w:rPr>
                <w:b/>
                <w:noProof/>
              </w:rPr>
              <w:br/>
              <w:t>εκτός του ΤΟΜΕΑ 7</w:t>
            </w:r>
            <w:r>
              <w:rPr>
                <w:noProof/>
              </w:rPr>
              <w:t xml:space="preserve"> </w:t>
            </w:r>
            <w:r>
              <w:rPr>
                <w:noProof/>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b/>
                <w:noProof/>
                <w:sz w:val="16"/>
                <w:szCs w:val="16"/>
              </w:rPr>
            </w:pPr>
            <w:r>
              <w:rPr>
                <w:b/>
                <w:noProof/>
                <w:sz w:val="16"/>
                <w:szCs w:val="16"/>
              </w:rPr>
              <w:t>14,000</w:t>
            </w:r>
          </w:p>
        </w:tc>
      </w:tr>
    </w:tbl>
    <w:p>
      <w:pPr>
        <w:spacing w:before="0" w:after="200" w:line="200" w:lineRule="exact"/>
        <w:jc w:val="lef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33,290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247,090</w:t>
            </w:r>
          </w:p>
        </w:tc>
      </w:tr>
    </w:tbl>
    <w:p>
      <w:pPr>
        <w:rPr>
          <w:noProof/>
          <w:sz w:val="20"/>
        </w:rPr>
      </w:pPr>
    </w:p>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pStyle w:val="ManualHeading4"/>
        <w:rPr>
          <w:bCs/>
          <w:noProof/>
          <w:szCs w:val="24"/>
        </w:rPr>
      </w:pPr>
      <w:r>
        <w:t>3.2.2.2.</w:t>
      </w:r>
      <w:r>
        <w:tab/>
      </w:r>
      <w:r>
        <w:rPr>
          <w:noProof/>
        </w:rPr>
        <w:t>Εκτιμώμενες ανάγκες σε ανθρώπινους πόρους</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b/>
          <w:noProof/>
        </w:rPr>
        <w:t>X</w:t>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1205"/>
        <w:gridCol w:w="1277"/>
        <w:gridCol w:w="851"/>
        <w:gridCol w:w="560"/>
        <w:gridCol w:w="435"/>
        <w:gridCol w:w="743"/>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b/>
                <w:noProof/>
                <w:sz w:val="16"/>
                <w:szCs w:val="16"/>
              </w:rPr>
            </w:pPr>
            <w:r>
              <w:rPr>
                <w:b/>
                <w:noProof/>
                <w:sz w:val="16"/>
                <w:szCs w:val="16"/>
              </w:rPr>
              <w:t>2021</w:t>
            </w:r>
          </w:p>
        </w:tc>
        <w:tc>
          <w:tcPr>
            <w:tcW w:w="318" w:type="pct"/>
            <w:shd w:val="clear" w:color="auto" w:fill="auto"/>
            <w:vAlign w:val="center"/>
          </w:tcPr>
          <w:p>
            <w:pPr>
              <w:spacing w:before="20" w:after="20"/>
              <w:jc w:val="center"/>
              <w:rPr>
                <w:b/>
                <w:noProof/>
                <w:sz w:val="16"/>
                <w:szCs w:val="16"/>
              </w:rPr>
            </w:pPr>
            <w:r>
              <w:rPr>
                <w:b/>
                <w:noProof/>
                <w:sz w:val="16"/>
                <w:szCs w:val="16"/>
              </w:rPr>
              <w:t>2022</w:t>
            </w:r>
          </w:p>
        </w:tc>
        <w:tc>
          <w:tcPr>
            <w:tcW w:w="585" w:type="pct"/>
            <w:shd w:val="clear" w:color="auto" w:fill="auto"/>
            <w:vAlign w:val="center"/>
          </w:tcPr>
          <w:p>
            <w:pPr>
              <w:spacing w:before="20" w:after="20"/>
              <w:jc w:val="center"/>
              <w:rPr>
                <w:b/>
                <w:noProof/>
                <w:sz w:val="16"/>
                <w:szCs w:val="16"/>
              </w:rPr>
            </w:pPr>
            <w:r>
              <w:rPr>
                <w:b/>
                <w:noProof/>
                <w:sz w:val="16"/>
                <w:szCs w:val="16"/>
              </w:rPr>
              <w:t>2023</w:t>
            </w:r>
          </w:p>
        </w:tc>
        <w:tc>
          <w:tcPr>
            <w:tcW w:w="620" w:type="pct"/>
            <w:shd w:val="clear" w:color="auto" w:fill="auto"/>
            <w:vAlign w:val="center"/>
          </w:tcPr>
          <w:p>
            <w:pPr>
              <w:spacing w:before="20" w:after="20"/>
              <w:jc w:val="center"/>
              <w:rPr>
                <w:b/>
                <w:noProof/>
                <w:sz w:val="16"/>
                <w:szCs w:val="16"/>
              </w:rPr>
            </w:pPr>
            <w:r>
              <w:rPr>
                <w:b/>
                <w:noProof/>
                <w:sz w:val="16"/>
                <w:szCs w:val="16"/>
              </w:rPr>
              <w:t>2024</w:t>
            </w:r>
          </w:p>
        </w:tc>
        <w:tc>
          <w:tcPr>
            <w:tcW w:w="413" w:type="pct"/>
            <w:shd w:val="clear" w:color="auto" w:fill="auto"/>
            <w:vAlign w:val="center"/>
          </w:tcPr>
          <w:p>
            <w:pPr>
              <w:spacing w:before="20" w:after="20"/>
              <w:jc w:val="center"/>
              <w:rPr>
                <w:b/>
                <w:noProof/>
                <w:sz w:val="16"/>
                <w:szCs w:val="16"/>
              </w:rPr>
            </w:pPr>
            <w:r>
              <w:rPr>
                <w:b/>
                <w:noProof/>
                <w:sz w:val="16"/>
                <w:szCs w:val="16"/>
              </w:rPr>
              <w:t>2025</w:t>
            </w:r>
          </w:p>
        </w:tc>
        <w:tc>
          <w:tcPr>
            <w:tcW w:w="481" w:type="pct"/>
            <w:gridSpan w:val="2"/>
            <w:shd w:val="clear" w:color="auto" w:fill="auto"/>
            <w:vAlign w:val="center"/>
          </w:tcPr>
          <w:p>
            <w:pPr>
              <w:spacing w:before="20" w:after="20"/>
              <w:jc w:val="center"/>
              <w:rPr>
                <w:b/>
                <w:noProof/>
                <w:sz w:val="16"/>
                <w:szCs w:val="16"/>
              </w:rPr>
            </w:pPr>
            <w:r>
              <w:rPr>
                <w:b/>
                <w:noProof/>
                <w:sz w:val="16"/>
                <w:szCs w:val="16"/>
              </w:rPr>
              <w:t>2026</w:t>
            </w:r>
          </w:p>
        </w:tc>
        <w:tc>
          <w:tcPr>
            <w:tcW w:w="363" w:type="pct"/>
            <w:shd w:val="clear" w:color="auto" w:fill="auto"/>
            <w:vAlign w:val="center"/>
          </w:tcPr>
          <w:p>
            <w:pPr>
              <w:jc w:val="center"/>
              <w:rPr>
                <w:b/>
                <w:noProof/>
                <w:sz w:val="16"/>
                <w:szCs w:val="16"/>
              </w:rPr>
            </w:pPr>
            <w:r>
              <w:rPr>
                <w:b/>
                <w:noProof/>
                <w:sz w:val="16"/>
                <w:szCs w:val="16"/>
              </w:rPr>
              <w:t>2027</w:t>
            </w:r>
          </w:p>
        </w:tc>
      </w:tr>
      <w:tr>
        <w:trPr>
          <w:gridBefore w:val="1"/>
          <w:wBefore w:w="5" w:type="pct"/>
          <w:trHeight w:val="289"/>
          <w:jc w:val="center"/>
        </w:trPr>
        <w:tc>
          <w:tcPr>
            <w:tcW w:w="3118" w:type="pct"/>
            <w:gridSpan w:val="5"/>
            <w:shd w:val="clear" w:color="auto" w:fill="auto"/>
          </w:tcPr>
          <w:p>
            <w:pPr>
              <w:spacing w:before="20" w:after="20"/>
              <w:rPr>
                <w:noProof/>
                <w:sz w:val="16"/>
                <w:szCs w:val="16"/>
              </w:rPr>
            </w:pPr>
            <w:r>
              <w:rPr>
                <w:b/>
                <w:noProof/>
                <w:sz w:val="16"/>
              </w:rPr>
              <w:sym w:font="Wingdings" w:char="F09F"/>
            </w:r>
            <w:r>
              <w:rPr>
                <w:b/>
                <w:noProof/>
                <w:sz w:val="16"/>
              </w:rPr>
              <w:t xml:space="preserve"> </w:t>
            </w:r>
            <w:r>
              <w:rPr>
                <w:b/>
                <w:noProof/>
              </w:rPr>
              <w:t>Θέσεις απασχόλησης του πίνακα προσωπικού (θέσεις μόνιμων και έκτακτων υπαλλήλων)</w:t>
            </w:r>
          </w:p>
        </w:tc>
        <w:tc>
          <w:tcPr>
            <w:tcW w:w="620" w:type="pct"/>
            <w:shd w:val="clear" w:color="auto" w:fill="auto"/>
            <w:vAlign w:val="center"/>
          </w:tcPr>
          <w:p>
            <w:pPr>
              <w:spacing w:before="20" w:after="20"/>
              <w:jc w:val="center"/>
              <w:rPr>
                <w:noProof/>
                <w:sz w:val="16"/>
                <w:szCs w:val="16"/>
              </w:rPr>
            </w:pPr>
          </w:p>
        </w:tc>
        <w:tc>
          <w:tcPr>
            <w:tcW w:w="1257" w:type="pct"/>
            <w:gridSpan w:val="4"/>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(στην έδρα και στις αντιπροσωπείες της Επιτροπής)</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162</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585"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620"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413"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483" w:type="pct"/>
            <w:gridSpan w:val="2"/>
            <w:shd w:val="clear" w:color="auto" w:fill="auto"/>
            <w:vAlign w:val="center"/>
          </w:tcPr>
          <w:p>
            <w:pPr>
              <w:spacing w:beforeLines="20" w:before="48" w:afterLines="20" w:after="48"/>
              <w:jc w:val="center"/>
              <w:rPr>
                <w:noProof/>
                <w:sz w:val="16"/>
                <w:szCs w:val="16"/>
              </w:rPr>
            </w:pPr>
            <w:r>
              <w:rPr>
                <w:noProof/>
                <w:sz w:val="16"/>
                <w:szCs w:val="16"/>
              </w:rPr>
              <w:t>173</w:t>
            </w:r>
          </w:p>
        </w:tc>
        <w:tc>
          <w:tcPr>
            <w:tcW w:w="361" w:type="pct"/>
            <w:shd w:val="clear" w:color="auto" w:fill="auto"/>
            <w:vAlign w:val="center"/>
          </w:tcPr>
          <w:p>
            <w:pPr>
              <w:spacing w:beforeLines="20" w:before="48" w:afterLines="20" w:after="48"/>
              <w:jc w:val="center"/>
              <w:rPr>
                <w:noProof/>
                <w:sz w:val="16"/>
                <w:szCs w:val="16"/>
              </w:rPr>
            </w:pPr>
            <w:r>
              <w:rPr>
                <w:noProof/>
                <w:sz w:val="16"/>
                <w:szCs w:val="16"/>
              </w:rPr>
              <w:t>173</w:t>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(στις αντιπροσωπείες της ΕΕ)</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(έμμεση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(άμεση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After w:val="2"/>
          <w:wAfter w:w="572" w:type="pct"/>
          <w:trHeight w:val="248"/>
          <w:jc w:val="center"/>
        </w:trPr>
        <w:tc>
          <w:tcPr>
            <w:tcW w:w="4428" w:type="pct"/>
            <w:gridSpan w:val="9"/>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b/>
                <w:noProof/>
                <w:sz w:val="16"/>
              </w:rPr>
              <w:footnoteReference w:id="36"/>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69</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74</w:t>
            </w:r>
          </w:p>
        </w:tc>
        <w:tc>
          <w:tcPr>
            <w:tcW w:w="585" w:type="pct"/>
            <w:shd w:val="clear" w:color="auto" w:fill="auto"/>
            <w:vAlign w:val="center"/>
          </w:tcPr>
          <w:p>
            <w:pPr>
              <w:spacing w:beforeLines="20" w:before="48" w:afterLines="20" w:after="48"/>
              <w:jc w:val="center"/>
              <w:rPr>
                <w:noProof/>
                <w:sz w:val="16"/>
                <w:szCs w:val="16"/>
              </w:rPr>
            </w:pPr>
            <w:r>
              <w:rPr>
                <w:noProof/>
                <w:sz w:val="16"/>
                <w:szCs w:val="16"/>
              </w:rPr>
              <w:t>74</w:t>
            </w:r>
          </w:p>
        </w:tc>
        <w:tc>
          <w:tcPr>
            <w:tcW w:w="620" w:type="pct"/>
            <w:shd w:val="clear" w:color="auto" w:fill="auto"/>
            <w:vAlign w:val="center"/>
          </w:tcPr>
          <w:p>
            <w:pPr>
              <w:spacing w:beforeLines="20" w:before="48" w:afterLines="20" w:after="48"/>
              <w:jc w:val="center"/>
              <w:rPr>
                <w:noProof/>
                <w:sz w:val="16"/>
                <w:szCs w:val="16"/>
              </w:rPr>
            </w:pPr>
            <w:r>
              <w:rPr>
                <w:noProof/>
                <w:sz w:val="16"/>
                <w:szCs w:val="16"/>
              </w:rPr>
              <w:t>74</w:t>
            </w:r>
          </w:p>
        </w:tc>
        <w:tc>
          <w:tcPr>
            <w:tcW w:w="413" w:type="pct"/>
            <w:shd w:val="clear" w:color="auto" w:fill="auto"/>
            <w:vAlign w:val="center"/>
          </w:tcPr>
          <w:p>
            <w:pPr>
              <w:spacing w:beforeLines="20" w:before="48" w:afterLines="20" w:after="48"/>
              <w:jc w:val="center"/>
              <w:rPr>
                <w:noProof/>
                <w:sz w:val="16"/>
                <w:szCs w:val="16"/>
              </w:rPr>
            </w:pPr>
            <w:r>
              <w:rPr>
                <w:noProof/>
                <w:sz w:val="16"/>
                <w:szCs w:val="16"/>
              </w:rPr>
              <w:t>74</w:t>
            </w:r>
          </w:p>
        </w:tc>
        <w:tc>
          <w:tcPr>
            <w:tcW w:w="483" w:type="pct"/>
            <w:gridSpan w:val="2"/>
            <w:shd w:val="clear" w:color="auto" w:fill="auto"/>
            <w:vAlign w:val="center"/>
          </w:tcPr>
          <w:p>
            <w:pPr>
              <w:spacing w:beforeLines="20" w:before="48" w:afterLines="20" w:after="48"/>
              <w:jc w:val="center"/>
              <w:rPr>
                <w:noProof/>
                <w:sz w:val="16"/>
                <w:szCs w:val="16"/>
              </w:rPr>
            </w:pPr>
            <w:r>
              <w:rPr>
                <w:noProof/>
                <w:sz w:val="16"/>
                <w:szCs w:val="16"/>
              </w:rPr>
              <w:t>74</w:t>
            </w:r>
          </w:p>
        </w:tc>
        <w:tc>
          <w:tcPr>
            <w:tcW w:w="361" w:type="pct"/>
            <w:shd w:val="clear" w:color="auto" w:fill="auto"/>
            <w:vAlign w:val="center"/>
          </w:tcPr>
          <w:p>
            <w:pPr>
              <w:spacing w:beforeLines="20" w:before="48" w:afterLines="20" w:after="48"/>
              <w:jc w:val="center"/>
              <w:rPr>
                <w:noProof/>
                <w:sz w:val="16"/>
                <w:szCs w:val="16"/>
              </w:rPr>
            </w:pPr>
            <w:r>
              <w:rPr>
                <w:noProof/>
                <w:sz w:val="16"/>
                <w:szCs w:val="16"/>
              </w:rPr>
              <w:t>74</w:t>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JED στις αντιπροσωπείες της ΕΕ)</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37"/>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στις αντιπροσωπείες της ΕΕ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έμμεση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άμεση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8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231</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58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62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41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48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36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r>
    </w:tbl>
    <w:p>
      <w:pPr>
        <w:pStyle w:val="Text1"/>
        <w:spacing w:before="60" w:after="60"/>
        <w:ind w:left="851"/>
        <w:rPr>
          <w:noProof/>
          <w:sz w:val="18"/>
          <w:szCs w:val="18"/>
        </w:rPr>
      </w:pPr>
      <w:r>
        <w:rPr>
          <w:b/>
          <w:noProof/>
          <w:sz w:val="18"/>
          <w:szCs w:val="18"/>
        </w:rPr>
        <w:t>XX</w:t>
      </w:r>
      <w:r>
        <w:rPr>
          <w:noProof/>
          <w:sz w:val="18"/>
          <w:szCs w:val="18"/>
        </w:rPr>
        <w:t xml:space="preserve"> είναι ο σχετικός τομέας πολιτικής ή ο σχετικός τίτλος του προϋπολογισμού.</w:t>
      </w:r>
    </w:p>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Συμβατότητα με το ισχύον πολυετές δημοσιονομικό πλαίσιο </w:t>
      </w:r>
    </w:p>
    <w:p>
      <w:pPr>
        <w:pStyle w:val="ListDash1"/>
        <w:rPr>
          <w:noProof/>
        </w:rPr>
      </w:pPr>
      <w:r>
        <w:rPr>
          <w:noProof/>
        </w:rPr>
        <w:sym w:font="Wingdings" w:char="F0A8"/>
      </w:r>
      <w:r>
        <w:rPr>
          <w:noProof/>
        </w:rPr>
        <w:tab/>
        <w:t>Η πρόταση/πρωτοβουλία είναι συμβατή με τον ισχύον πολυετές δημοσιονομικό πλαίσιο.</w:t>
      </w:r>
    </w:p>
    <w:p>
      <w:pPr>
        <w:pStyle w:val="ListDash1"/>
        <w:rPr>
          <w:noProof/>
        </w:rPr>
      </w:pPr>
      <w:r>
        <w:rPr>
          <w:noProof/>
        </w:rPr>
        <w:sym w:font="Wingdings" w:char="F0A8"/>
      </w:r>
      <w:r>
        <w:rPr>
          <w:noProof/>
        </w:rPr>
        <w:tab/>
        <w:t>Η πρόταση/πρωτοβουλία απαιτεί αναπρογραμματισμό του σχετικού τομέα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ο απαιτούμενος αναπρογραμματισμός και να προσδιοριστούν οι σχετικές γραμμές του προϋπολογισμού και τα αντίστοιχα ποσά.</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Η πρόταση/πρωτοβουλία απαιτεί τη χρησιμοποίηση του μηχανισμού ευελιξίας ή την αναθεώρηση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καθώς και τα αντίστοιχα ποσά.</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3.2.4.</w:t>
      </w:r>
      <w:r>
        <w:tab/>
      </w:r>
      <w:r>
        <w:rPr>
          <w:noProof/>
        </w:rPr>
        <w:t xml:space="preserve">Συμμετοχή τρίτων στη χρηματοδότηση </w:t>
      </w:r>
    </w:p>
    <w:p>
      <w:pPr>
        <w:pStyle w:val="ListDash1"/>
        <w:rPr>
          <w:noProof/>
        </w:rPr>
      </w:pPr>
      <w:r>
        <w:rPr>
          <w:noProof/>
        </w:rPr>
        <w:t xml:space="preserve">Η πρόταση/πρωτοβουλία δεν προβλέπει συγχρηματοδότηση από τρίτους. </w:t>
      </w:r>
    </w:p>
    <w:p>
      <w:pPr>
        <w:pStyle w:val="ListDash1"/>
        <w:rPr>
          <w:noProof/>
        </w:rPr>
      </w:pPr>
      <w:r>
        <w:rPr>
          <w:noProof/>
        </w:rPr>
        <w:t>Η πρόταση/πρωτοβουλία προβλέπει τη συγχρηματοδότηση που εκτιμάται παρακάτω:</w:t>
      </w:r>
    </w:p>
    <w:p>
      <w:pPr>
        <w:jc w:val="right"/>
        <w:rPr>
          <w:noProof/>
          <w:sz w:val="20"/>
        </w:rPr>
      </w:pPr>
      <w:r>
        <w:rPr>
          <w:noProof/>
          <w:sz w:val="20"/>
        </w:rPr>
        <w:t>Πιστώσεις σε εκατ. EUR (με τρία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εμφανίζεται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sz w:val="22"/>
              </w:rPr>
            </w:pPr>
            <w:r>
              <w:rPr>
                <w:noProof/>
                <w:sz w:val="20"/>
              </w:rPr>
              <w:t>Προσδιορισμός του φορέα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r>
        <w:t>3.3.</w:t>
      </w:r>
      <w:r>
        <w:tab/>
      </w:r>
      <w:r>
        <w:rPr>
          <w:noProof/>
        </w:rPr>
        <w:t xml:space="preserve">Εκτιμώμενες επιπτώσεις στα έσοδα </w:t>
      </w:r>
    </w:p>
    <w:p>
      <w:pPr>
        <w:pStyle w:val="ListDash1"/>
        <w:rPr>
          <w:noProof/>
        </w:rPr>
      </w:pPr>
      <w:r>
        <w:rPr>
          <w:noProof/>
        </w:rPr>
        <w:sym w:font="Wingdings" w:char="F0A8"/>
      </w:r>
      <w:r>
        <w:rPr>
          <w:noProof/>
        </w:rPr>
        <w:tab/>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rPr>
          <w:noProof/>
        </w:rPr>
      </w:pPr>
      <w:r>
        <w:rPr>
          <w:noProof/>
        </w:rPr>
        <w:sym w:font="Wingdings" w:char="F0A8"/>
      </w:r>
      <w:r>
        <w:rPr>
          <w:noProof/>
        </w:rPr>
        <w:tab/>
        <w:t xml:space="preserve">στους ιδίους πόρους </w:t>
      </w:r>
    </w:p>
    <w:p>
      <w:pPr>
        <w:pStyle w:val="ListNumberLevel3"/>
        <w:rPr>
          <w:noProof/>
        </w:rPr>
      </w:pPr>
      <w:r>
        <w:rPr>
          <w:noProof/>
        </w:rPr>
        <w:sym w:font="Wingdings" w:char="F0A8"/>
      </w:r>
      <w:r>
        <w:rPr>
          <w:noProof/>
        </w:rPr>
        <w:tab/>
        <w:t xml:space="preserve">στα λοιπά έσοδα </w:t>
      </w:r>
    </w:p>
    <w:p>
      <w:pPr>
        <w:jc w:val="right"/>
        <w:rPr>
          <w:i/>
          <w:noProof/>
          <w:sz w:val="20"/>
        </w:rPr>
      </w:pPr>
      <w:r>
        <w:rPr>
          <w:noProof/>
        </w:rPr>
        <w:t>σε εκατ. EUR (με τρία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276" w:type="dxa"/>
            <w:vMerge w:val="restart"/>
            <w:vAlign w:val="center"/>
          </w:tcPr>
          <w:p>
            <w:pPr>
              <w:jc w:val="center"/>
              <w:rPr>
                <w:noProof/>
                <w:sz w:val="18"/>
              </w:rPr>
            </w:pPr>
            <w:r>
              <w:rPr>
                <w:noProof/>
                <w:sz w:val="18"/>
              </w:rPr>
              <w:t>Διαθέσιμες πιστώσεις για το τρέχον οικονομικό έτος</w:t>
            </w:r>
          </w:p>
        </w:tc>
        <w:tc>
          <w:tcPr>
            <w:tcW w:w="7200"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Έτος</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Έτος</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Έτος</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Έτος</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εμφανίζεται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Ως προς τα διάφορα έσοδα «για ειδικό προορισμό», να προσδιοριστούν οι γραμμές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Να προσδιοριστεί η μέθοδος υπολογισμού των επιπτώσεων στα έσοδα.</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Κανονισμός (ΕΕ) 2017/825 του Ευρωπαϊκού Κοινοβουλίου και του Συμβουλίου, της 17ης Μαΐου 2017, για τη θέσπιση του προγράμματος στήριξης διαρθρωτικών μεταρρυθμίσεων για την περίοδο 2017 έως 2020 και την τροποποίηση των κανονισμών (ΕΕ) αριθ. 1303/2013 και (ΕΕ) αριθ. 1305/2013 (ΕΕ L 129 της 19.5.2017, σ. 1-16).</w:t>
      </w:r>
    </w:p>
  </w:footnote>
  <w:footnote w:id="3">
    <w:p>
      <w:pPr>
        <w:pStyle w:val="FootnoteText"/>
      </w:pPr>
      <w:r>
        <w:rPr>
          <w:rStyle w:val="FootnoteReference"/>
        </w:rPr>
        <w:footnoteRef/>
      </w:r>
      <w:r>
        <w:tab/>
        <w:t>2018/0213 (COD), Βρυξέλλες 31.5.2018 COM(2018) 391 final.</w:t>
      </w:r>
    </w:p>
  </w:footnote>
  <w:footnote w:id="4">
    <w:p>
      <w:pPr>
        <w:pStyle w:val="FootnoteText"/>
      </w:pPr>
      <w:r>
        <w:rPr>
          <w:rStyle w:val="FootnoteReference"/>
        </w:rPr>
        <w:footnoteRef/>
      </w:r>
      <w:r>
        <w:tab/>
        <w:t>[COD…]</w:t>
      </w:r>
    </w:p>
  </w:footnote>
  <w:footnote w:id="5">
    <w:p>
      <w:pPr>
        <w:pStyle w:val="FootnoteText"/>
      </w:pPr>
      <w:r>
        <w:rPr>
          <w:rStyle w:val="FootnoteReference"/>
        </w:rPr>
        <w:footnoteRef/>
      </w:r>
      <w:r>
        <w:tab/>
        <w:t>ΕΕ…</w:t>
      </w:r>
    </w:p>
  </w:footnote>
  <w:footnote w:id="6">
    <w:p>
      <w:pPr>
        <w:pStyle w:val="FootnoteText"/>
      </w:pPr>
      <w:r>
        <w:rPr>
          <w:rStyle w:val="FootnoteReference"/>
        </w:rPr>
        <w:footnoteRef/>
      </w:r>
      <w:r>
        <w:tab/>
        <w:t>ΕΕ…</w:t>
      </w:r>
    </w:p>
  </w:footnote>
  <w:footnote w:id="7">
    <w:p>
      <w:pPr>
        <w:pStyle w:val="FootnoteText"/>
      </w:pPr>
      <w:r>
        <w:rPr>
          <w:rStyle w:val="FootnoteReference"/>
        </w:rPr>
        <w:footnoteRef/>
      </w:r>
      <w:r>
        <w:tab/>
        <w:t>Κανονισμός (ΕΕ) 2017/825 του Ευρωπαϊκού Κοινοβουλίου και του Συμβουλίου, ΕΕ L 129 της 19.5.2017, σ. 1-16, όπως τροποποιήθηκε με τον κανονισμό (ΕΕ) 2018/1671, ΕΕ L 284 της 12.11.2018, σ. 3-5 (στο εξής: κανονισμός ΠΣΔΜ).</w:t>
      </w:r>
    </w:p>
  </w:footnote>
  <w:footnote w:id="8">
    <w:p>
      <w:pPr>
        <w:pStyle w:val="FootnoteText"/>
      </w:pPr>
      <w:r>
        <w:rPr>
          <w:rStyle w:val="FootnoteReference"/>
        </w:rPr>
        <w:footnoteRef/>
      </w:r>
      <w:r>
        <w:tab/>
        <w:t>Παράρτημα στην εκτελεστική απόφαση της Επιτροπής για την έγκριση του προγράμματος εργασίας για το 2017 και για τη χρηματοδότηση του προγράμματος στήριξης των διαρθρωτικών μεταρρυθμίσεων και για την κατάργηση της απόφασης C(2017)3093, 2017, C(2017) 5780 final</w:t>
      </w:r>
    </w:p>
  </w:footnote>
  <w:footnote w:id="9">
    <w:p>
      <w:pPr>
        <w:pStyle w:val="FootnoteText"/>
      </w:pPr>
      <w:r>
        <w:rPr>
          <w:rStyle w:val="FootnoteReference"/>
        </w:rPr>
        <w:footnoteRef/>
      </w:r>
      <w:r>
        <w:tab/>
      </w:r>
      <w:hyperlink r:id="rId1" w:history="1">
        <w:r>
          <w:rPr>
            <w:rStyle w:val="Hyperlink"/>
          </w:rPr>
          <w:t>https://ec.europa.eu/info/publications/structural-reform-support-programme-financing-decisions-and-annual-work-programmes_el</w:t>
        </w:r>
      </w:hyperlink>
    </w:p>
  </w:footnote>
  <w:footnote w:id="10">
    <w:p>
      <w:pPr>
        <w:pStyle w:val="FootnoteText"/>
      </w:pPr>
      <w:r>
        <w:rPr>
          <w:rStyle w:val="FootnoteReference"/>
        </w:rPr>
        <w:footnoteRef/>
      </w:r>
      <w:r>
        <w:tab/>
      </w:r>
      <w:hyperlink r:id="rId2" w:history="1">
        <w:r>
          <w:rPr>
            <w:rStyle w:val="Hyperlink"/>
          </w:rPr>
          <w:t>https://ec.europa.eu/info/publications/annual-monitoring-reports_el</w:t>
        </w:r>
      </w:hyperlink>
    </w:p>
  </w:footnote>
  <w:footnote w:id="11">
    <w:p>
      <w:pPr>
        <w:pStyle w:val="FootnoteText"/>
      </w:pPr>
      <w:r>
        <w:rPr>
          <w:rStyle w:val="FootnoteReference"/>
        </w:rPr>
        <w:footnoteRef/>
      </w:r>
      <w:r>
        <w:tab/>
        <w:t>Διοργανική συμφωνία μεταξύ του Ευρωπαϊκού Κοινοβουλίου, του Συμβουλίου της Ευρωπαϊκής Ένωσης και της Ευρωπαϊκής Επιτροπής, της 13ης Απριλίου 2016, για τη βελτίωση του νομοθετικού έργου (ΕΕ L 123 της 12.5.2016, σ. 1-14)</w:t>
      </w:r>
    </w:p>
    <w:p>
      <w:pPr>
        <w:pStyle w:val="FootnoteText"/>
        <w:ind w:left="0" w:firstLine="0"/>
      </w:pPr>
    </w:p>
  </w:footnote>
  <w:footnote w:id="12">
    <w:p>
      <w:pPr>
        <w:pStyle w:val="FootnoteText"/>
      </w:pPr>
      <w:r>
        <w:rPr>
          <w:rStyle w:val="FootnoteReference"/>
        </w:rPr>
        <w:footnoteRef/>
      </w:r>
      <w:r>
        <w:tab/>
        <w:t>ΕΕ C της , σ. .</w:t>
      </w:r>
    </w:p>
  </w:footnote>
  <w:footnote w:id="13">
    <w:p>
      <w:pPr>
        <w:pStyle w:val="FootnoteText"/>
      </w:pPr>
      <w:r>
        <w:rPr>
          <w:rStyle w:val="FootnoteReference"/>
        </w:rPr>
        <w:footnoteRef/>
      </w:r>
      <w:r>
        <w:tab/>
        <w:t>ΕΕ C της , σ. .</w:t>
      </w:r>
    </w:p>
  </w:footnote>
  <w:footnote w:id="14">
    <w:p>
      <w:pPr>
        <w:pStyle w:val="FootnoteText"/>
      </w:pPr>
      <w:r>
        <w:rPr>
          <w:rStyle w:val="FootnoteReference"/>
        </w:rPr>
        <w:footnoteRef/>
      </w:r>
      <w:r>
        <w:tab/>
        <w:t>ΕΕ C της , σ. .</w:t>
      </w:r>
    </w:p>
  </w:footnote>
  <w:footnote w:id="15">
    <w:p>
      <w:pPr>
        <w:pStyle w:val="FootnoteText"/>
      </w:pPr>
      <w:r>
        <w:rPr>
          <w:rStyle w:val="FootnoteReference"/>
        </w:rPr>
        <w:footnoteRef/>
      </w:r>
      <w:r>
        <w:tab/>
        <w:t>ΕΕ C της , σ. .</w:t>
      </w:r>
    </w:p>
  </w:footnote>
  <w:footnote w:id="16">
    <w:p>
      <w:pPr>
        <w:pStyle w:val="FootnoteText"/>
      </w:pPr>
      <w:r>
        <w:rPr>
          <w:rStyle w:val="FootnoteReference"/>
        </w:rPr>
        <w:footnoteRef/>
      </w:r>
      <w:r>
        <w:tab/>
        <w:t>Κανονισμός (ΕΕ) 2017/825 του Ευρωπαϊκού Κοινοβουλίου και του Συμβουλίου, της 17ης Μαΐου 2017, για τη θέσπιση του προγράμματος στήριξης διαρθρωτικών μεταρρυθμίσεων για την περίοδο 2017 έως 2020 και την τροποποίηση των κανονισμών (ΕΕ) αριθ. 1303/2013 και (ΕΕ) αριθ. 1305/2013 (ΕΕ L 129 της 19.5.2017, σ. 1).</w:t>
      </w:r>
    </w:p>
  </w:footnote>
  <w:footnote w:id="17">
    <w:p>
      <w:pPr>
        <w:pStyle w:val="FootnoteText"/>
      </w:pPr>
      <w:r>
        <w:rPr>
          <w:rStyle w:val="FootnoteReference"/>
        </w:rPr>
        <w:footnoteRef/>
      </w:r>
      <w:r>
        <w:tab/>
        <w:t>Διοργανική συμφωνία μεταξύ του Ευρωπαϊκού Κοινοβουλίου, του Συμβουλίου της Ευρωπαϊκής Ένωσης και της Ευρωπαϊκής Επιτροπής, της 13ης Απριλίου 2016, για τη βελτίωση του νομοθετικού έργου (ΕΕ L 123 της 12.5.2016, σ. 1-14)</w:t>
      </w:r>
    </w:p>
  </w:footnote>
  <w:footnote w:id="18">
    <w:p>
      <w:pPr>
        <w:pStyle w:val="FootnoteText"/>
      </w:pPr>
      <w:r>
        <w:rPr>
          <w:rStyle w:val="FootnoteReference"/>
        </w:rPr>
        <w:footnoteRef/>
      </w:r>
      <w:r>
        <w:tab/>
        <w:t>Κανονισμός (ΕΕ, Ευρατόμ)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 (ΕΕ L 193 της 30.7.2018, σ. 1).</w:t>
      </w:r>
    </w:p>
  </w:footnote>
  <w:footnote w:id="19">
    <w:p>
      <w:pPr>
        <w:pStyle w:val="FootnoteText"/>
      </w:pPr>
      <w:r>
        <w:rPr>
          <w:rStyle w:val="FootnoteReference"/>
        </w:rPr>
        <w:footnoteRef/>
      </w:r>
      <w:r>
        <w:tab/>
        <w:t>Κανονισμός (ΕΕ, Ευρατόμ) αριθ. 883/2013 του Ευρωπαϊκού Κοινοβουλίου και του Συμβουλίου, της 11ης Σεπτεμβρίου 2013, σχετικά με τις έρευνες που πραγματοποιούνται από την Ευρωπαϊκή Υπηρεσία Καταπολέμησης της Απάτης (OLAF) και την κατάργηση του κανονισμού (ΕΚ) αριθ. 1073/1999 του Ευρωπαϊκού Κοινοβουλίου και του Συμβουλίου και του κανονισμού (Ευρατόμ) αριθ. 1074/1999 του Συμβουλίου (ΕΕ L 248 της 18.9.2013, σ. 1)</w:t>
      </w:r>
    </w:p>
  </w:footnote>
  <w:footnote w:id="20">
    <w:p>
      <w:pPr>
        <w:pStyle w:val="FootnoteText"/>
      </w:pPr>
      <w:r>
        <w:rPr>
          <w:rStyle w:val="FootnoteReference"/>
        </w:rPr>
        <w:footnoteRef/>
      </w:r>
      <w:r>
        <w:tab/>
        <w:t>Κανονισμός (ΕΚ, Ευρατόμ) αριθ. 2988/95 του Συμβουλίου, της 18ης Δεκεμβρίου 1995, σχετικά με την προστασία των οικονομικών συμφερόντων των Ευρωπαϊκών Κοινοτήτων (ΕΕ L 312 της 23.12.95, σ.1)</w:t>
      </w:r>
    </w:p>
  </w:footnote>
  <w:footnote w:id="21">
    <w:p>
      <w:pPr>
        <w:pStyle w:val="FootnoteText"/>
      </w:pPr>
      <w:r>
        <w:rPr>
          <w:rStyle w:val="FootnoteReference"/>
        </w:rPr>
        <w:footnoteRef/>
      </w:r>
      <w:r>
        <w:tab/>
        <w:t>Κανονισμός (Ευρατόμ, ΕΚ) αριθ. 2185/96 του Συμβουλίου,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(ΕΕ L 292 της 15.11.96, σ. 2)</w:t>
      </w:r>
    </w:p>
  </w:footnote>
  <w:footnote w:id="22">
    <w:p>
      <w:pPr>
        <w:pStyle w:val="FootnoteText"/>
      </w:pPr>
      <w:r>
        <w:rPr>
          <w:rStyle w:val="FootnoteReference"/>
        </w:rPr>
        <w:footnoteRef/>
      </w:r>
      <w:r>
        <w:tab/>
        <w:t>Κανονισμός (ΕΕ) 2017/1939 του Συμβουλίου, της 12ης Οκτωβρίου 2017, σχετικά με την εφαρμογή ενισχυμένης συνεργασίας για τη σύσταση της Ευρωπαϊκής Εισαγγελίας (ΕΕ L 283 της 31.10.2017, σ. 1)</w:t>
      </w:r>
    </w:p>
  </w:footnote>
  <w:footnote w:id="23">
    <w:p>
      <w:pPr>
        <w:pStyle w:val="FootnoteText"/>
      </w:pPr>
      <w:r>
        <w:rPr>
          <w:rStyle w:val="FootnoteReference"/>
        </w:rPr>
        <w:footnoteRef/>
      </w:r>
      <w:r>
        <w:tab/>
        <w:t>Οδηγία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(ΕΕ L 198 της 28.7.2017, σ. 29)</w:t>
      </w:r>
    </w:p>
  </w:footnote>
  <w:footnote w:id="24">
    <w:p>
      <w:pPr>
        <w:pStyle w:val="FootnoteText"/>
      </w:pPr>
      <w:r>
        <w:rPr>
          <w:rStyle w:val="FootnoteReference"/>
        </w:rPr>
        <w:footnoteRef/>
      </w:r>
      <w:r>
        <w:tab/>
        <w:t>ΕΕ C της , σ. .</w:t>
      </w:r>
    </w:p>
  </w:footnote>
  <w:footnote w:id="25">
    <w:p>
      <w:pPr>
        <w:pStyle w:val="FootnoteText"/>
      </w:pPr>
      <w:r>
        <w:rPr>
          <w:rStyle w:val="FootnoteReference"/>
        </w:rPr>
        <w:footnoteRef/>
      </w:r>
      <w:r>
        <w:tab/>
        <w:t>Κανονισμός (ΕΕ) αριθ. 472/2013 του Ευρωπαϊκού Κοινοβουλίου και του Συμβουλίου, της 21ης Μαΐου 2013, για την ενίσχυση της οικονομικής και δημοσιονομικής εποπτείας των κρατών μελών στη ζώνη του ευρώ τα οποία αντιμετωπίζουν ή απειλούνται με σοβαρές δυσκολίες αναφορικά με τη χρηματοοικονομική τους σταθερότητα (ΕΕ L 140 της 27.5.2013, σ. 1)</w:t>
      </w:r>
    </w:p>
  </w:footnote>
  <w:footnote w:id="26">
    <w:p>
      <w:pPr>
        <w:pStyle w:val="FootnoteText"/>
      </w:pPr>
      <w:r>
        <w:rPr>
          <w:rStyle w:val="FootnoteReference"/>
        </w:rPr>
        <w:footnoteRef/>
      </w:r>
      <w:r>
        <w:tab/>
        <w:t>Κανονισμός (ΕΚ) αριθ. 332/2002 του Συμβουλίου, της 18ης Φεβρουαρίου 2002, για τη θέσπιση ενός μηχανισμού μεσοπρόθεσμης οικονομικής στήριξης του ισοζυγίου πληρωμών των κρατών μελών (ΕΕ L 53 της 23.2.2002, σ. 1)</w:t>
      </w:r>
    </w:p>
  </w:footnote>
  <w:footnote w:id="27">
    <w:p>
      <w:pPr>
        <w:pStyle w:val="FootnoteText"/>
      </w:pPr>
      <w:r>
        <w:rPr>
          <w:rStyle w:val="FootnoteReference"/>
        </w:rPr>
        <w:footnoteRef/>
      </w:r>
      <w:r>
        <w:tab/>
        <w:t>ΔΒΔ: διαχείριση βάσει δραστηριοτήτων· ΠΒΔ: προϋπολογισμός βάσει δραστηριοτήτων.</w:t>
      </w:r>
    </w:p>
  </w:footnote>
  <w:footnote w:id="28">
    <w:p>
      <w:pPr>
        <w:pStyle w:val="FootnoteText"/>
      </w:pPr>
      <w:r>
        <w:rPr>
          <w:rStyle w:val="FootnoteReference"/>
        </w:rPr>
        <w:footnoteRef/>
      </w:r>
      <w:r>
        <w:tab/>
        <w:t>Όπως αναφέρεται στο άρθρο 54 παράγραφος 2 στοιχεία α) ή β) του δημοσιονομικού κανονισμού.</w:t>
      </w:r>
    </w:p>
  </w:footnote>
  <w:footnote w:id="29">
    <w:p>
      <w:pPr>
        <w:pStyle w:val="FootnoteText"/>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ιστότοπο BudgWeb: </w:t>
      </w:r>
      <w:hyperlink r:id="rId3" w:history="1">
        <w:r>
          <w:rPr>
            <w:rStyle w:val="Hyperlink"/>
            <w:sz w:val="18"/>
          </w:rPr>
          <w:t>http://www.cc.cec/budg/man/budgmanag/budgmanag_en.html</w:t>
        </w:r>
      </w:hyperlink>
    </w:p>
  </w:footnote>
  <w:footnote w:id="30">
    <w:p>
      <w:pPr>
        <w:pStyle w:val="FootnoteText"/>
      </w:pPr>
      <w:r>
        <w:rPr>
          <w:rStyle w:val="FootnoteReference"/>
        </w:rPr>
        <w:footnoteRef/>
      </w:r>
      <w:r>
        <w:tab/>
        <w:t>ΔΠ = Διαχωριζόμενες πιστώσεις / ΜΔΠ = Μη διαχωριζόμενες πιστώσεις.</w:t>
      </w:r>
    </w:p>
  </w:footnote>
  <w:footnote w:id="31">
    <w:p>
      <w:pPr>
        <w:pStyle w:val="FootnoteText"/>
      </w:pPr>
      <w:r>
        <w:rPr>
          <w:rStyle w:val="FootnoteReference"/>
        </w:rPr>
        <w:footnoteRef/>
      </w:r>
      <w:r>
        <w:tab/>
        <w:t>ΕΖΕΣ: Ευρωπαϊκή Ζώνη Ελεύθερων Συναλλαγών.</w:t>
      </w:r>
    </w:p>
  </w:footnote>
  <w:footnote w:id="32">
    <w:p>
      <w:pPr>
        <w:pStyle w:val="FootnoteText"/>
      </w:pPr>
      <w:r>
        <w:rPr>
          <w:rStyle w:val="FootnoteReference"/>
        </w:rPr>
        <w:footnoteRef/>
      </w:r>
      <w:r>
        <w:tab/>
        <w:t>Υποψήφιες χώρες και, κατά περίπτωση, δυνάμει υποψήφια μέλη της ΕΕ από τα Δυτικά Βαλκάνια.</w:t>
      </w:r>
    </w:p>
  </w:footnote>
  <w:footnote w:id="33">
    <w:p>
      <w:pPr>
        <w:pStyle w:val="FootnoteText"/>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34">
    <w:p>
      <w:pPr>
        <w:pStyle w:val="FootnoteText"/>
      </w:pPr>
      <w:r>
        <w:rPr>
          <w:rStyle w:val="FootnoteReference"/>
        </w:rPr>
        <w:footnoteRef/>
      </w:r>
      <w:r>
        <w:tab/>
        <w:t>Το έτος N είναι το έτος έναρξης εφαρμογής της πρότασης/πρωτοβουλίας.</w:t>
      </w:r>
    </w:p>
  </w:footnote>
  <w:footnote w:id="35">
    <w:p>
      <w:pPr>
        <w:pStyle w:val="FootnoteText"/>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36">
    <w:p>
      <w:pPr>
        <w:pStyle w:val="FootnoteText"/>
      </w:pPr>
      <w:r>
        <w:rPr>
          <w:rStyle w:val="FootnoteReference"/>
        </w:rPr>
        <w:footnoteRef/>
      </w:r>
      <w:r>
        <w:tab/>
        <w:t>AC = Συμβασιούχος υπάλληλος· AL = Τοπικός υπάλληλος· END = Αποσπασμένος εθνικός εμπειρογνώμονας· INT = Προσωρινό προσωπικό· JED = Νέος εμπειρογνώμονας σε αντιπροσωπεία της ΕΕ.</w:t>
      </w:r>
    </w:p>
  </w:footnote>
  <w:footnote w:id="37">
    <w:p>
      <w:pPr>
        <w:pStyle w:val="FootnoteText"/>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38">
    <w:p>
      <w:pPr>
        <w:pStyle w:val="FootnoteText"/>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25 %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2">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2"/>
  </w:num>
  <w:num w:numId="11">
    <w:abstractNumId w:val="10"/>
  </w:num>
  <w:num w:numId="12">
    <w:abstractNumId w:val="3"/>
  </w:num>
  <w:num w:numId="13">
    <w:abstractNumId w:val="11"/>
  </w:num>
  <w:num w:numId="14">
    <w:abstractNumId w:val="9"/>
  </w:num>
  <w:num w:numId="15">
    <w:abstractNumId w:val="17"/>
  </w:num>
  <w:num w:numId="16">
    <w:abstractNumId w:val="1"/>
  </w:num>
  <w:num w:numId="17">
    <w:abstractNumId w:val="29"/>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25"/>
  </w:num>
  <w:num w:numId="34">
    <w:abstractNumId w:val="7"/>
  </w:num>
  <w:num w:numId="35">
    <w:abstractNumId w:val="13"/>
  </w:num>
  <w:num w:numId="36">
    <w:abstractNumId w:val="5"/>
  </w:num>
  <w:num w:numId="37">
    <w:abstractNumId w:val="24"/>
  </w:num>
  <w:num w:numId="38">
    <w:abstractNumId w:val="4"/>
  </w:num>
  <w:num w:numId="39">
    <w:abstractNumId w:val="14"/>
  </w:num>
  <w:num w:numId="40">
    <w:abstractNumId w:val="20"/>
  </w:num>
  <w:num w:numId="41">
    <w:abstractNumId w:val="21"/>
  </w:num>
  <w:num w:numId="42">
    <w:abstractNumId w:val="6"/>
  </w:num>
  <w:num w:numId="43">
    <w:abstractNumId w:val="18"/>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1:24: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8940ED3-7B74-470A-BCDA-4CCD1496888A"/>
    <w:docVar w:name="LW_COVERPAGE_TYPE" w:val="1"/>
    <w:docVar w:name="LW_CROSSREFERENCE" w:val="&lt;UNUSED&gt;"/>
    <w:docVar w:name="LW_DocType" w:val="COM"/>
    <w:docVar w:name="LW_EMISSION" w:val="28.5.2020"/>
    <w:docVar w:name="LW_EMISSION_ISODATE" w:val="2020-05-28"/>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03"/>
    <w:docVar w:name="LW_REF.II.NEW.CP_YEAR" w:val="2020"/>
    <w:docVar w:name="LW_REF.INST.NEW" w:val="COM"/>
    <w:docVar w:name="LW_REF.INST.NEW_ADOPTED" w:val="final"/>
    <w:docVar w:name="LW_REF.INST.NEW_TEXT" w:val="(2020) 4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 \u952?\u941?\u963?\u960?\u953?\u963?\u951? \u924?\u941?\u963?\u959?\u965? \u932?\u949?\u967?\u957?\u953?\u954?\u942?\u962? \u933?\u960?\u959?\u963?\u964?\u942?\u961?\u953?\u958?\u951?\u962?"/>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lang w:val="el-GR"/>
    </w:rPr>
  </w:style>
  <w:style w:type="paragraph" w:customStyle="1" w:styleId="Dash4">
    <w:name w:val="Dash 4"/>
    <w:basedOn w:val="Normal"/>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lang w:val="el-GR"/>
    </w:rPr>
  </w:style>
  <w:style w:type="paragraph" w:customStyle="1" w:styleId="Dash4">
    <w:name w:val="Dash 4"/>
    <w:basedOn w:val="Normal"/>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s://ec.europa.eu/info/publications/annual-monitoring-reports_el" TargetMode="External"/><Relationship Id="rId1" Type="http://schemas.openxmlformats.org/officeDocument/2006/relationships/hyperlink" Target="https://ec.europa.eu/info/publications/structural-reform-support-programme-financing-decisions-and-annual-work-programmes_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5BEC-BFBC-4F6D-B9B6-28002DC86968}">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B46175-F381-4D9B-8EB3-0C42B8A5C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1DEF87-7B80-47DB-B0D0-0B96E10F0E30}">
  <ds:schemaRefs>
    <ds:schemaRef ds:uri="http://schemas.microsoft.com/sharepoint/v3/contenttype/forms"/>
  </ds:schemaRefs>
</ds:datastoreItem>
</file>

<file path=customXml/itemProps4.xml><?xml version="1.0" encoding="utf-8"?>
<ds:datastoreItem xmlns:ds="http://schemas.openxmlformats.org/officeDocument/2006/customXml" ds:itemID="{E98732D5-3B5C-44C6-9948-95066DBF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42</Pages>
  <Words>13505</Words>
  <Characters>81978</Characters>
  <Application>Microsoft Office Word</Application>
  <DocSecurity>0</DocSecurity>
  <Lines>2049</Lines>
  <Paragraphs>802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2020-06-01T22:34:00Z</dcterms:created>
  <dcterms:modified xsi:type="dcterms:W3CDTF">2020-06-02T09:24:00Z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