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91C89F7-9A51-4ACC-A6D9-3892B6A7422F" style="width:450.75pt;height:37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p>
    <w:p>
      <w:pPr>
        <w:rPr>
          <w:noProof/>
        </w:rPr>
      </w:pPr>
    </w:p>
    <w:p>
      <w:pPr>
        <w:pStyle w:val="ListParagraph"/>
        <w:rPr>
          <w:b/>
          <w:noProof/>
        </w:rPr>
      </w:pPr>
      <w:r>
        <w:rPr>
          <w:noProof/>
        </w:rPr>
        <w:t xml:space="preserve">Metode til beregning af det maksimale finansielle bidrag </w:t>
      </w:r>
      <w:r>
        <w:rPr>
          <w:b/>
          <w:noProof/>
        </w:rPr>
        <w:t>(dvs. den ikketilbagebetalingspligtige finansielle støtte) pr. medlemsstat under faciliteten</w:t>
      </w:r>
    </w:p>
    <w:p>
      <w:pPr>
        <w:rPr>
          <w:noProof/>
        </w:rPr>
      </w:pPr>
    </w:p>
    <w:p>
      <w:pPr>
        <w:spacing w:before="0" w:after="200"/>
        <w:rPr>
          <w:noProof/>
        </w:rPr>
      </w:pPr>
      <w:r>
        <w:rPr>
          <w:noProof/>
        </w:rPr>
        <w:t>I dette bilag beskrives metoden til beregning af det maksimale finansielle bidrag, der er til rådighed for hver medlemsstat. Metoden tager hensyn til:</w:t>
      </w:r>
    </w:p>
    <w:p>
      <w:pPr>
        <w:pStyle w:val="Bullet0"/>
        <w:numPr>
          <w:ilvl w:val="0"/>
          <w:numId w:val="10"/>
        </w:numPr>
        <w:rPr>
          <w:noProof/>
        </w:rPr>
      </w:pPr>
      <w:r>
        <w:rPr>
          <w:noProof/>
        </w:rPr>
        <w:t>befolkning</w:t>
      </w:r>
    </w:p>
    <w:p>
      <w:pPr>
        <w:pStyle w:val="Bullet0"/>
        <w:rPr>
          <w:noProof/>
        </w:rPr>
      </w:pPr>
      <w:r>
        <w:rPr>
          <w:noProof/>
        </w:rPr>
        <w:t>reciprokværdien af BNP pr. indbygger</w:t>
      </w:r>
    </w:p>
    <w:p>
      <w:pPr>
        <w:pStyle w:val="Bullet0"/>
        <w:rPr>
          <w:noProof/>
        </w:rPr>
      </w:pPr>
      <w:r>
        <w:rPr>
          <w:noProof/>
        </w:rPr>
        <w:t xml:space="preserve">den gennemsnitlige arbejdsløshedsprocent i de seneste 5 år sammenlignet med EU-gennemsnittet (2015-2019). </w:t>
      </w:r>
    </w:p>
    <w:p>
      <w:pPr>
        <w:rPr>
          <w:noProof/>
        </w:rPr>
      </w:pPr>
      <w:r>
        <w:rPr>
          <w:noProof/>
        </w:rPr>
        <w:t>For at undgå overdreven koncentration af midler gælder følgende:</w:t>
      </w:r>
    </w:p>
    <w:p>
      <w:pPr>
        <w:pStyle w:val="Bullet0"/>
        <w:rPr>
          <w:noProof/>
        </w:rPr>
      </w:pPr>
      <w:r>
        <w:rPr>
          <w:noProof/>
        </w:rPr>
        <w:t>Reciprokværdien af BNP pr. indbygger begrænses til 150 % af EU-gennemsnittet.</w:t>
      </w:r>
    </w:p>
    <w:p>
      <w:pPr>
        <w:pStyle w:val="Bullet0"/>
        <w:rPr>
          <w:noProof/>
        </w:rPr>
      </w:pPr>
      <w:r>
        <w:rPr>
          <w:noProof/>
        </w:rPr>
        <w:t>Afvigelsen af individuelle landes arbejdsløshedsprocent fra EU-gennemsnittet begrænses til 150 % af EU-gennemsnittet.</w:t>
      </w:r>
    </w:p>
    <w:p>
      <w:pPr>
        <w:pStyle w:val="Bullet0"/>
        <w:rPr>
          <w:rFonts w:eastAsia="Times New Roman"/>
          <w:noProof/>
          <w:szCs w:val="20"/>
        </w:rPr>
      </w:pPr>
      <w:r>
        <w:rPr>
          <w:noProof/>
        </w:rPr>
        <w:t>For at tage hensyn til, at mere velstående medlemsstater (medlemsstater, hvis BNI pr. indbygger ligger over EU-gennemsnittet) generelt set har mere stabile arbejdsmarkeder begrænses disse medlemsstaters afvigelse fra EU-gennemsnittet til 75 %.</w:t>
      </w:r>
    </w:p>
    <w:p>
      <w:pPr>
        <w:spacing w:before="0" w:after="200"/>
        <w:rPr>
          <w:noProof/>
        </w:rPr>
      </w:pPr>
      <w:r>
        <w:rPr>
          <w:noProof/>
        </w:rPr>
        <w:t>Det maksimale finansielle bidrag til en medlemsstat inden for facilitetens rammer (</w:t>
      </w:r>
      <m:oMath>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oMath>
      <w:r>
        <w:rPr>
          <w:noProof/>
        </w:rPr>
        <w:t>) fastsættes som følger:</w:t>
      </w:r>
    </w:p>
    <w:p>
      <w:pPr>
        <w:spacing w:before="0" w:after="200"/>
        <w:rPr>
          <w:noProof/>
        </w:rPr>
      </w:pPr>
      <m:oMathPara>
        <m:oMathParaPr>
          <m:jc m:val="center"/>
        </m:oMathParaPr>
        <m:oMath>
          <m:sSub>
            <m:sSubPr>
              <m:ctrlPr>
                <w:rPr>
                  <w:rFonts w:ascii="Cambria Math" w:hAnsi="Cambria Math"/>
                  <w:i/>
                  <w:noProof/>
                </w:rPr>
              </m:ctrlPr>
            </m:sSubPr>
            <m:e>
              <m:sSub>
                <m:sSubPr>
                  <m:ctrlPr>
                    <w:rPr>
                      <w:rFonts w:ascii="Cambria Math" w:hAnsi="Cambria Math"/>
                      <w:i/>
                      <w:noProof/>
                    </w:rPr>
                  </m:ctrlPr>
                </m:sSubPr>
                <m:e>
                  <m:r>
                    <w:rPr>
                      <w:rFonts w:ascii="Cambria Math" w:hAnsi="Cambria Math"/>
                      <w:noProof/>
                    </w:rPr>
                    <m:t>MFC</m:t>
                  </m:r>
                </m:e>
                <m:sub>
                  <m:r>
                    <w:rPr>
                      <w:rFonts w:ascii="Cambria Math" w:hAnsi="Cambria Math"/>
                      <w:noProof/>
                    </w:rPr>
                    <m:t>i</m:t>
                  </m:r>
                </m:sub>
              </m:sSub>
              <m:r>
                <w:rPr>
                  <w:rFonts w:ascii="Cambria Math" w:hAnsi="Cambria Math"/>
                  <w:noProof/>
                </w:rPr>
                <m:t>=α</m:t>
              </m:r>
            </m:e>
            <m:sub>
              <m:r>
                <w:rPr>
                  <w:rFonts w:ascii="Cambria Math" w:hAnsi="Cambria Math"/>
                  <w:noProof/>
                </w:rPr>
                <m:t>i</m:t>
              </m:r>
            </m:sub>
          </m:sSub>
          <m:r>
            <w:rPr>
              <w:rFonts w:ascii="Cambria Math" w:hAnsi="Cambria Math"/>
              <w:noProof/>
            </w:rPr>
            <m:t>×(FS)</m:t>
          </m:r>
        </m:oMath>
      </m:oMathPara>
    </w:p>
    <w:p>
      <w:pPr>
        <w:spacing w:before="0" w:after="200"/>
        <w:rPr>
          <w:noProof/>
        </w:rPr>
      </w:pPr>
      <w:r>
        <w:rPr>
          <w:noProof/>
        </w:rPr>
        <w:t>hvor:</w:t>
      </w:r>
    </w:p>
    <w:p>
      <w:pPr>
        <w:spacing w:before="0" w:after="200"/>
        <w:rPr>
          <w:noProof/>
        </w:rPr>
      </w:pPr>
      <w:r>
        <w:rPr>
          <w:i/>
          <w:noProof/>
        </w:rPr>
        <w:t>FS</w:t>
      </w:r>
      <w:r>
        <w:rPr>
          <w:noProof/>
        </w:rPr>
        <w:t xml:space="preserve"> (finansiel støtte) er den finansieringsramme, der er til rådighed inden for facilitetens rammer, jf. artikel 5, stk. 1, litra a), og </w:t>
      </w:r>
    </w:p>
    <w:p>
      <w:pPr>
        <w:spacing w:before="0" w:after="200"/>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er fordelingsnøglen for medlemsstat </w:t>
      </w:r>
      <w:r>
        <w:rPr>
          <w:i/>
          <w:noProof/>
        </w:rPr>
        <w:t>i</w:t>
      </w:r>
      <w:r>
        <w:rPr>
          <w:noProof/>
        </w:rPr>
        <w:t>, defineret som:</w:t>
      </w:r>
    </w:p>
    <w:p>
      <w:pPr>
        <w:spacing w:before="0"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num>
          <m:den>
            <m:nary>
              <m:naryPr>
                <m:chr m:val="∑"/>
                <m:grow m:val="1"/>
                <m:ctrlPr>
                  <w:rPr>
                    <w:rFonts w:ascii="Cambria Math" w:hAnsi="Cambria Math"/>
                    <w:noProof/>
                  </w:rPr>
                </m:ctrlPr>
              </m:naryPr>
              <m:sub>
                <m:r>
                  <w:rPr>
                    <w:rFonts w:ascii="Cambria Math" w:hAnsi="Cambria Math"/>
                    <w:noProof/>
                  </w:rPr>
                  <m:t>i=1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den>
                </m:f>
              </m:e>
            </m:nary>
          </m:den>
        </m:f>
      </m:oMath>
      <w:r>
        <w:rPr>
          <w:noProof/>
        </w:rPr>
        <w:t xml:space="preserve">, </w:t>
      </w:r>
    </w:p>
    <w:p>
      <w:pPr>
        <w:spacing w:before="0" w:after="200"/>
        <w:jc w:val="center"/>
        <w:rPr>
          <w:noProof/>
        </w:rPr>
      </w:pPr>
      <w:r>
        <w:rPr>
          <w:noProof/>
        </w:rPr>
        <w:t xml:space="preserve">med </w:t>
      </w:r>
      <w:r>
        <w:rPr>
          <w:noProof/>
          <w:color w:val="000000" w:themeColor="text1"/>
          <w:sz w:val="20"/>
          <w:szCs w:val="20"/>
        </w:rPr>
        <w:t>1,</w:t>
      </w:r>
      <m:oMath>
        <m:r>
          <m:rPr>
            <m:sty m:val="p"/>
          </m:rPr>
          <w:rPr>
            <w:rFonts w:ascii="Cambria Math" w:eastAsia="Cambria Math" w:hAnsi="Cambria Math" w:cstheme="minorBidi"/>
            <w:noProof/>
            <w:color w:val="000000" w:themeColor="text1"/>
            <w:kern w:val="24"/>
            <w:sz w:val="20"/>
            <w:szCs w:val="20"/>
          </w:rPr>
          <m:t>5</m:t>
        </m:r>
        <m:r>
          <w:rPr>
            <w:rFonts w:ascii="Cambria Math" w:eastAsia="Cambria Math" w:hAnsi="Cambria Math" w:cstheme="minorBidi"/>
            <w:noProof/>
            <w:color w:val="000000" w:themeColor="text1"/>
            <w:kern w:val="24"/>
            <w:sz w:val="20"/>
            <w:szCs w:val="20"/>
          </w:rPr>
          <m:t>≥</m:t>
        </m:r>
        <m:f>
          <m:fPr>
            <m:ctrlPr>
              <w:rPr>
                <w:rFonts w:ascii="Cambria Math" w:eastAsiaTheme="minorEastAsia" w:hAnsi="Cambria Math" w:cstheme="minorBidi"/>
                <w:i/>
                <w:iCs/>
                <w:noProof/>
                <w:color w:val="000000" w:themeColor="text1"/>
                <w:kern w:val="24"/>
                <w:sz w:val="20"/>
                <w:szCs w:val="20"/>
              </w:rPr>
            </m:ctrlPr>
          </m:fPr>
          <m:num>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average </m:t>
                </m:r>
              </m:sub>
              <m:sup>
                <m:r>
                  <w:rPr>
                    <w:rFonts w:ascii="Cambria Math" w:hAnsi="Cambria Math" w:cstheme="minorBidi"/>
                    <w:noProof/>
                    <w:color w:val="000000" w:themeColor="text1"/>
                    <w:kern w:val="24"/>
                    <w:sz w:val="20"/>
                    <w:szCs w:val="20"/>
                  </w:rPr>
                  <m:t>PC</m:t>
                </m:r>
              </m:sup>
            </m:sSubSup>
          </m:num>
          <m:den>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PC</m:t>
                </m:r>
              </m:sup>
            </m:sSubSup>
          </m:den>
        </m:f>
      </m:oMath>
      <w:r>
        <w:rPr>
          <w:noProof/>
        </w:rPr>
        <w:t xml:space="preserve"> </w:t>
      </w:r>
    </w:p>
    <w:p>
      <w:pPr>
        <w:spacing w:before="0" w:after="200"/>
        <w:jc w:val="center"/>
        <w:rPr>
          <w:noProof/>
        </w:rPr>
      </w:pPr>
      <w:r>
        <w:rPr>
          <w:noProof/>
        </w:rPr>
        <w:t xml:space="preserve">og med   </w:t>
      </w:r>
      <m:oMath>
        <m:sSub>
          <m:sSubPr>
            <m:ctrlPr>
              <w:rPr>
                <w:rFonts w:ascii="Cambria Math" w:hAnsi="Cambria Math"/>
                <w:i/>
                <w:noProof/>
              </w:rPr>
            </m:ctrlPr>
          </m:sSubPr>
          <m:e>
            <m:r>
              <w:rPr>
                <w:rFonts w:ascii="Cambria Math" w:hAnsi="Cambria Math"/>
                <w:noProof/>
              </w:rPr>
              <m:t>1,5≥U</m:t>
            </m:r>
          </m:e>
          <m:sub>
            <m:r>
              <w:rPr>
                <w:rFonts w:ascii="Cambria Math" w:hAnsi="Cambria Math"/>
                <w:noProof/>
              </w:rPr>
              <m:t>i</m:t>
            </m:r>
          </m:sub>
        </m:sSub>
        <m:r>
          <w:rPr>
            <w:rFonts w:ascii="Cambria Math" w:hAnsi="Cambria Math"/>
            <w:noProof/>
          </w:rPr>
          <m:t>/</m:t>
        </m:r>
        <m:sSub>
          <m:sSubPr>
            <m:ctrlPr>
              <w:rPr>
                <w:rFonts w:ascii="Cambria Math" w:hAnsi="Cambria Math"/>
                <w:i/>
                <w:noProof/>
              </w:rPr>
            </m:ctrlPr>
          </m:sSubPr>
          <m:e>
            <m:r>
              <w:rPr>
                <w:rFonts w:ascii="Cambria Math" w:hAnsi="Cambria Math"/>
                <w:noProof/>
              </w:rPr>
              <m:t>U</m:t>
            </m:r>
          </m:e>
          <m:sub>
            <m:r>
              <w:rPr>
                <w:rFonts w:ascii="Cambria Math" w:hAnsi="Cambria Math"/>
                <w:noProof/>
              </w:rPr>
              <m:t>iEU</m:t>
            </m:r>
          </m:sub>
        </m:sSub>
      </m:oMath>
      <w:r>
        <w:rPr>
          <w:noProof/>
        </w:rPr>
        <w:t xml:space="preserve"> </w:t>
      </w:r>
      <w:r>
        <w:rPr>
          <w:noProof/>
          <w:sz w:val="20"/>
          <w:szCs w:val="20"/>
        </w:rPr>
        <w:t>og</w:t>
      </w:r>
      <w:r>
        <w:rPr>
          <w:noProof/>
        </w:rPr>
        <w:t xml:space="preserve"> </w:t>
      </w:r>
      <w:r>
        <w:rPr>
          <w:noProof/>
          <w:color w:val="000000" w:themeColor="text1"/>
          <w:sz w:val="20"/>
          <w:szCs w:val="20"/>
        </w:rPr>
        <w:t>0,75</w:t>
      </w:r>
      <m:oMath>
        <m:r>
          <w:rPr>
            <w:rFonts w:ascii="Cambria Math" w:eastAsia="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m:t>
            </m:r>
          </m:sub>
        </m:sSub>
        <m:r>
          <w:rPr>
            <w:rFonts w:ascii="Cambria Math" w:hAnsi="Cambria Math" w:cstheme="minorBidi"/>
            <w:noProof/>
            <w:color w:val="000000" w:themeColor="text1"/>
            <w:kern w:val="24"/>
            <w:sz w:val="20"/>
            <w:szCs w:val="20"/>
          </w:rPr>
          <m:t>/</m:t>
        </m:r>
        <m:sSub>
          <m:sSubPr>
            <m:ctrlPr>
              <w:rPr>
                <w:rFonts w:ascii="Cambria Math" w:eastAsiaTheme="minorEastAsia" w:hAnsi="Cambria Math" w:cstheme="minorBidi"/>
                <w:i/>
                <w:iCs/>
                <w:noProof/>
                <w:color w:val="000000" w:themeColor="text1"/>
                <w:kern w:val="24"/>
                <w:sz w:val="20"/>
                <w:szCs w:val="20"/>
              </w:rPr>
            </m:ctrlPr>
          </m:sSubPr>
          <m:e>
            <m:r>
              <w:rPr>
                <w:rFonts w:ascii="Cambria Math" w:hAnsi="Cambria Math" w:cstheme="minorBidi"/>
                <w:noProof/>
                <w:color w:val="000000" w:themeColor="text1"/>
                <w:kern w:val="24"/>
                <w:sz w:val="20"/>
                <w:szCs w:val="20"/>
              </w:rPr>
              <m:t>U</m:t>
            </m:r>
          </m:e>
          <m:sub>
            <m:r>
              <w:rPr>
                <w:rFonts w:ascii="Cambria Math" w:hAnsi="Cambria Math" w:cstheme="minorBidi"/>
                <w:noProof/>
                <w:color w:val="000000" w:themeColor="text1"/>
                <w:kern w:val="24"/>
                <w:sz w:val="20"/>
                <w:szCs w:val="20"/>
              </w:rPr>
              <m:t>iEU</m:t>
            </m:r>
          </m:sub>
        </m:sSub>
      </m:oMath>
      <w:r>
        <w:rPr>
          <w:rFonts w:asciiTheme="minorHAnsi" w:hAnsi="Calibri"/>
          <w:noProof/>
          <w:color w:val="000000" w:themeColor="text1"/>
          <w:sz w:val="20"/>
          <w:szCs w:val="20"/>
        </w:rPr>
        <w:t xml:space="preserve"> </w:t>
      </w:r>
      <w:r>
        <w:rPr>
          <w:noProof/>
          <w:color w:val="000000" w:themeColor="text1"/>
          <w:sz w:val="20"/>
          <w:szCs w:val="20"/>
        </w:rPr>
        <w:t>for medlemsstater med</w:t>
      </w:r>
      <w:r>
        <w:rPr>
          <w:rFonts w:asciiTheme="minorHAnsi" w:hAnsi="Calibri"/>
          <w:noProof/>
          <w:color w:val="000000" w:themeColor="text1"/>
          <w:sz w:val="20"/>
          <w:szCs w:val="20"/>
        </w:rPr>
        <w:t xml:space="preserve"> </w:t>
      </w:r>
      <m:oMath>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i</m:t>
            </m:r>
          </m:sub>
          <m:sup>
            <m:r>
              <w:rPr>
                <w:rFonts w:ascii="Cambria Math" w:hAnsi="Cambria Math" w:cstheme="minorBidi"/>
                <w:noProof/>
                <w:color w:val="000000" w:themeColor="text1"/>
                <w:kern w:val="24"/>
                <w:sz w:val="20"/>
                <w:szCs w:val="20"/>
              </w:rPr>
              <m:t>PC</m:t>
            </m:r>
          </m:sup>
        </m:sSubSup>
        <m:r>
          <w:rPr>
            <w:rFonts w:ascii="Cambria Math" w:eastAsia="Cambria Math" w:hAnsi="Cambria Math" w:cstheme="minorBidi"/>
            <w:noProof/>
            <w:color w:val="000000" w:themeColor="text1"/>
            <w:kern w:val="24"/>
            <w:sz w:val="20"/>
            <w:szCs w:val="20"/>
          </w:rPr>
          <m:t>&gt;100% * </m:t>
        </m:r>
        <m:sSubSup>
          <m:sSubSupPr>
            <m:ctrlPr>
              <w:rPr>
                <w:rFonts w:ascii="Cambria Math" w:eastAsiaTheme="minorEastAsia" w:hAnsi="Cambria Math" w:cstheme="minorBidi"/>
                <w:i/>
                <w:iCs/>
                <w:noProof/>
                <w:color w:val="000000" w:themeColor="text1"/>
                <w:kern w:val="24"/>
                <w:sz w:val="20"/>
                <w:szCs w:val="20"/>
              </w:rPr>
            </m:ctrlPr>
          </m:sSubSupPr>
          <m:e>
            <m:r>
              <w:rPr>
                <w:rFonts w:ascii="Cambria Math" w:hAnsi="Cambria Math" w:cstheme="minorBidi"/>
                <w:noProof/>
                <w:color w:val="000000" w:themeColor="text1"/>
                <w:kern w:val="24"/>
                <w:sz w:val="20"/>
                <w:szCs w:val="20"/>
              </w:rPr>
              <m:t>GDP</m:t>
            </m:r>
          </m:e>
          <m:sub>
            <m:r>
              <w:rPr>
                <w:rFonts w:ascii="Cambria Math" w:hAnsi="Cambria Math" w:cstheme="minorBidi"/>
                <w:noProof/>
                <w:color w:val="000000" w:themeColor="text1"/>
                <w:kern w:val="24"/>
                <w:sz w:val="20"/>
                <w:szCs w:val="20"/>
              </w:rPr>
              <m:t>average </m:t>
            </m:r>
          </m:sub>
          <m:sup>
            <m:r>
              <w:rPr>
                <w:rFonts w:ascii="Cambria Math" w:hAnsi="Cambria Math" w:cstheme="minorBidi"/>
                <w:noProof/>
                <w:color w:val="000000" w:themeColor="text1"/>
                <w:kern w:val="24"/>
                <w:sz w:val="20"/>
                <w:szCs w:val="20"/>
              </w:rPr>
              <m:t>PC</m:t>
            </m:r>
          </m:sup>
        </m:sSubSup>
      </m:oMath>
    </w:p>
    <w:p>
      <w:pPr>
        <w:spacing w:before="0" w:after="200"/>
        <w:rPr>
          <w:noProof/>
        </w:rPr>
      </w:pPr>
    </w:p>
    <w:p>
      <w:pPr>
        <w:spacing w:before="0" w:after="200"/>
        <w:rPr>
          <w:noProof/>
        </w:rPr>
      </w:pPr>
      <w:r>
        <w:rPr>
          <w:noProof/>
        </w:rPr>
        <w:t>hvor:</w:t>
      </w:r>
    </w:p>
    <w:p>
      <w:pPr>
        <w:spacing w:before="0" w:after="200"/>
        <w:rPr>
          <w:i/>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oMath>
      <w:r>
        <w:rPr>
          <w:noProof/>
        </w:rPr>
        <w:t xml:space="preserve"> er fordelingsnøglen for land </w:t>
      </w:r>
      <w:r>
        <w:rPr>
          <w:i/>
          <w:noProof/>
        </w:rPr>
        <w:t>i</w:t>
      </w:r>
    </w:p>
    <w:p>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i</m:t>
            </m:r>
          </m:sub>
          <m:sup>
            <m:r>
              <w:rPr>
                <w:rFonts w:ascii="Cambria Math" w:hAnsi="Cambria Math"/>
                <w:noProof/>
              </w:rPr>
              <m:t>PC</m:t>
            </m:r>
          </m:sup>
        </m:sSubSup>
      </m:oMath>
      <w:r>
        <w:rPr>
          <w:noProof/>
        </w:rPr>
        <w:t xml:space="preserve"> er bruttonationalproduktet i 2019 pr. indbygger i land </w:t>
      </w:r>
      <w:r>
        <w:rPr>
          <w:i/>
          <w:noProof/>
        </w:rPr>
        <w:t>i</w:t>
      </w:r>
    </w:p>
    <w:p>
      <w:pPr>
        <w:spacing w:before="0" w:after="200"/>
        <w:rPr>
          <w:i/>
          <w:noProof/>
        </w:rPr>
      </w:pPr>
      <m:oMath>
        <m:sSubSup>
          <m:sSubSupPr>
            <m:ctrlPr>
              <w:rPr>
                <w:rFonts w:ascii="Cambria Math" w:hAnsi="Cambria Math"/>
                <w:i/>
                <w:noProof/>
              </w:rPr>
            </m:ctrlPr>
          </m:sSubSupPr>
          <m:e>
            <m:r>
              <w:rPr>
                <w:rFonts w:ascii="Cambria Math" w:hAnsi="Cambria Math"/>
                <w:noProof/>
              </w:rPr>
              <m:t>GDP</m:t>
            </m:r>
          </m:e>
          <m:sub>
            <m:r>
              <w:rPr>
                <w:rFonts w:ascii="Cambria Math" w:hAnsi="Cambria Math"/>
                <w:noProof/>
              </w:rPr>
              <m:t>average</m:t>
            </m:r>
          </m:sub>
          <m:sup>
            <m:r>
              <w:rPr>
                <w:rFonts w:ascii="Cambria Math" w:hAnsi="Cambria Math"/>
                <w:noProof/>
              </w:rPr>
              <m:t>PC</m:t>
            </m:r>
          </m:sup>
        </m:sSubSup>
      </m:oMath>
      <w:r>
        <w:rPr>
          <w:i/>
          <w:noProof/>
        </w:rPr>
        <w:t xml:space="preserve"> </w:t>
      </w:r>
      <w:r>
        <w:rPr>
          <w:noProof/>
        </w:rPr>
        <w:t>er det vægtede gennemsnitlige bruttonationalprodukt i 2019 pr. indbygger for medlemsstaterne i EU-27</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oMath>
      <w:r>
        <w:rPr>
          <w:noProof/>
        </w:rPr>
        <w:t xml:space="preserve"> er den samlede befolkning i 2019 i land </w:t>
      </w:r>
      <w:r>
        <w:rPr>
          <w:i/>
          <w:noProof/>
        </w:rPr>
        <w:t>i</w:t>
      </w:r>
    </w:p>
    <w:p>
      <w:pPr>
        <w:spacing w:before="0" w:after="200"/>
        <w:rPr>
          <w:noProof/>
        </w:rPr>
      </w:pPr>
      <m:oMath>
        <m:sSub>
          <m:sSubPr>
            <m:ctrlPr>
              <w:rPr>
                <w:rFonts w:ascii="Cambria Math" w:hAnsi="Cambria Math"/>
                <w:i/>
                <w:noProof/>
              </w:rPr>
            </m:ctrlPr>
          </m:sSubPr>
          <m:e>
            <m:r>
              <w:rPr>
                <w:rFonts w:ascii="Cambria Math" w:hAnsi="Cambria Math"/>
                <w:noProof/>
              </w:rPr>
              <m:t>pop</m:t>
            </m:r>
          </m:e>
          <m:sub>
            <m:r>
              <w:rPr>
                <w:rFonts w:ascii="Cambria Math" w:hAnsi="Cambria Math"/>
                <w:noProof/>
              </w:rPr>
              <m:t>EU</m:t>
            </m:r>
          </m:sub>
        </m:sSub>
      </m:oMath>
      <w:r>
        <w:rPr>
          <w:noProof/>
        </w:rPr>
        <w:t xml:space="preserve"> er den samlede befolkning i 2019 i medlemsstaterne i EU-27</w:t>
      </w:r>
    </w:p>
    <w:p>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i</m:t>
            </m:r>
          </m:sub>
        </m:sSub>
      </m:oMath>
      <w:r>
        <w:rPr>
          <w:noProof/>
        </w:rPr>
        <w:t xml:space="preserve"> er den gennemsnitlige arbejdsløshedsprocent i perioden 2015-2019 i land </w:t>
      </w:r>
      <w:r>
        <w:rPr>
          <w:i/>
          <w:noProof/>
        </w:rPr>
        <w:t xml:space="preserve">i </w:t>
      </w:r>
    </w:p>
    <w:p>
      <w:pPr>
        <w:spacing w:before="0" w:after="200"/>
        <w:rPr>
          <w:noProof/>
        </w:rPr>
      </w:pPr>
      <m:oMath>
        <m:sSub>
          <m:sSubPr>
            <m:ctrlPr>
              <w:rPr>
                <w:rFonts w:ascii="Cambria Math" w:hAnsi="Cambria Math"/>
                <w:i/>
                <w:noProof/>
              </w:rPr>
            </m:ctrlPr>
          </m:sSubPr>
          <m:e>
            <m:r>
              <w:rPr>
                <w:rFonts w:ascii="Cambria Math" w:hAnsi="Cambria Math"/>
                <w:noProof/>
              </w:rPr>
              <m:t>U</m:t>
            </m:r>
          </m:e>
          <m:sub>
            <m:r>
              <w:rPr>
                <w:rFonts w:ascii="Cambria Math" w:hAnsi="Cambria Math"/>
                <w:noProof/>
              </w:rPr>
              <m:t>EU</m:t>
            </m:r>
          </m:sub>
        </m:sSub>
      </m:oMath>
      <w:r>
        <w:rPr>
          <w:noProof/>
        </w:rPr>
        <w:t xml:space="preserve"> er den gennemsnitlige arbejdsløshedsprocent i perioden 2015-2019 i EU-27.</w:t>
      </w:r>
      <w:r>
        <w:rPr>
          <w:i/>
          <w:noProof/>
        </w:rPr>
        <w:t xml:space="preserve"> </w:t>
      </w:r>
    </w:p>
    <w:p>
      <w:pPr>
        <w:spacing w:before="0" w:after="200"/>
        <w:rPr>
          <w:noProof/>
        </w:rPr>
      </w:pPr>
      <w:r>
        <w:rPr>
          <w:noProof/>
        </w:rPr>
        <w:t>Anvendelsen af metoden vil give følgende andel og beløb for det maksimale finansielle bidrag pr. medlemsstat.</w:t>
      </w:r>
    </w:p>
    <w:p>
      <w:pPr>
        <w:rPr>
          <w:noProof/>
        </w:rPr>
      </w:pPr>
      <w:r>
        <w:rPr>
          <w:noProof/>
          <w:lang w:val="en-GB" w:eastAsia="en-GB"/>
        </w:rPr>
        <w:drawing>
          <wp:inline distT="0" distB="0" distL="0" distR="0">
            <wp:extent cx="2221737" cy="632637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258" cy="6410433"/>
                    </a:xfrm>
                    <a:prstGeom prst="rect">
                      <a:avLst/>
                    </a:prstGeom>
                    <a:noFill/>
                    <a:ln>
                      <a:noFill/>
                    </a:ln>
                  </pic:spPr>
                </pic:pic>
              </a:graphicData>
            </a:graphic>
          </wp:inline>
        </w:drawing>
      </w:r>
    </w:p>
    <w:p>
      <w:pPr>
        <w:jc w:val="center"/>
        <w:rPr>
          <w:noProof/>
        </w:rPr>
        <w:sectPr>
          <w:footerReference w:type="default" r:id="rId17"/>
          <w:footerReference w:type="first" r:id="rId18"/>
          <w:pgSz w:w="11907" w:h="16839"/>
          <w:pgMar w:top="1134" w:right="1417" w:bottom="1134" w:left="1417" w:header="709" w:footer="709" w:gutter="0"/>
          <w:cols w:space="720"/>
          <w:docGrid w:linePitch="360"/>
        </w:sectPr>
      </w:pPr>
    </w:p>
    <w:p>
      <w:pPr>
        <w:pStyle w:val="Annexetitre"/>
        <w:rPr>
          <w:noProof/>
        </w:rPr>
      </w:pPr>
      <w:r>
        <w:rPr>
          <w:noProof/>
        </w:rPr>
        <w:t>BILAG II</w:t>
      </w:r>
    </w:p>
    <w:p>
      <w:pPr>
        <w:jc w:val="center"/>
        <w:rPr>
          <w:noProof/>
        </w:rPr>
      </w:pPr>
      <w:r>
        <w:rPr>
          <w:b/>
          <w:noProof/>
        </w:rPr>
        <w:t>Vurderingsretningslinjer for faciliteten</w:t>
      </w:r>
    </w:p>
    <w:p>
      <w:pPr>
        <w:spacing w:before="0" w:after="200"/>
        <w:rPr>
          <w:b/>
          <w:noProof/>
        </w:rPr>
      </w:pPr>
      <w:r>
        <w:rPr>
          <w:b/>
          <w:noProof/>
        </w:rPr>
        <w:t xml:space="preserve">1. Anvendelsesområde </w:t>
      </w:r>
    </w:p>
    <w:p>
      <w:pPr>
        <w:spacing w:before="0" w:after="200"/>
        <w:rPr>
          <w:noProof/>
        </w:rPr>
      </w:pPr>
      <w:r>
        <w:rPr>
          <w:noProof/>
        </w:rPr>
        <w:t xml:space="preserve">Disse vurderingsretningslinjer har til formål sammen med forordningen at danne grundlag for en gennemsigtig og rimelig vurdering fra Kommissionens side af forslag til genopretnings- og resiliensplaner, som medlemsstaterne fremlægger, og for fastsættelse af det finansielle bidrag i overensstemmelse med de målsætninger og eventuelle andre relevante krav, der er fastsat i denne forordning. Retningslinjerne udgør navnlig grundlaget for anvendelsen af vurderingskriterierne og fastsættelsen af det finansielle bidrag, som er omhandlet i henholdsvis artikel 16, stk. 3, og artikel 17, stk. 3. </w:t>
      </w:r>
    </w:p>
    <w:p>
      <w:pPr>
        <w:spacing w:before="0" w:after="200"/>
        <w:rPr>
          <w:noProof/>
        </w:rPr>
      </w:pPr>
      <w:r>
        <w:rPr>
          <w:noProof/>
        </w:rPr>
        <w:t xml:space="preserve">Vurderingsretningslinjerne har til formål: </w:t>
      </w:r>
    </w:p>
    <w:p>
      <w:pPr>
        <w:spacing w:before="0" w:after="200"/>
        <w:rPr>
          <w:noProof/>
        </w:rPr>
      </w:pPr>
      <w:r>
        <w:rPr>
          <w:noProof/>
        </w:rPr>
        <w:t xml:space="preserve">a) at give yderligere vejledning om proceduren for vurdering af de forslag til genopretnings- og resiliensplaner, som medlemsstaterne indgiver </w:t>
      </w:r>
    </w:p>
    <w:p>
      <w:pPr>
        <w:spacing w:before="0" w:after="200"/>
        <w:rPr>
          <w:noProof/>
        </w:rPr>
      </w:pPr>
      <w:r>
        <w:rPr>
          <w:noProof/>
        </w:rPr>
        <w:t>b) nærmere at beskrive vurderingskriterierne og etablere et ratingsystem, der skal fastsættes med henblik på at sikre en rimelig og gennemsigtig proces, og</w:t>
      </w:r>
    </w:p>
    <w:p>
      <w:pPr>
        <w:spacing w:before="0" w:after="200"/>
        <w:rPr>
          <w:noProof/>
        </w:rPr>
      </w:pPr>
      <w:r>
        <w:rPr>
          <w:noProof/>
        </w:rPr>
        <w:t xml:space="preserve">c) at præcisere sammenhængen mellem den vurdering, der skal foretages af Kommissionen efter vurderingskriterierne, og fastsættelsen af det finansielle bidrag, der skal fremgå af Kommissionens afgørelse om de udvalgte genopretnings- og resiliensplaner. </w:t>
      </w:r>
    </w:p>
    <w:p>
      <w:pPr>
        <w:spacing w:before="0" w:after="200"/>
        <w:rPr>
          <w:noProof/>
        </w:rPr>
      </w:pPr>
      <w:r>
        <w:rPr>
          <w:noProof/>
        </w:rPr>
        <w:t xml:space="preserve">Retningslinjerne er et redskab til at lette Kommissionens vurdering af de forslag til genopretnings- og resiliensplaner, som medlemsstaterne indgiver, og til at sikre, at genopretnings- og resiliensplanerne støtter reformer og offentlige investeringer, der er relevante og giver høj merværdi, samtidig med at der sikres ligebehandling blandt medlemsstaterne. </w:t>
      </w:r>
    </w:p>
    <w:p>
      <w:pPr>
        <w:spacing w:before="0" w:after="200"/>
        <w:rPr>
          <w:b/>
          <w:noProof/>
        </w:rPr>
      </w:pPr>
      <w:r>
        <w:rPr>
          <w:b/>
          <w:noProof/>
        </w:rPr>
        <w:t>2. Vurderingskriterier</w:t>
      </w:r>
    </w:p>
    <w:p>
      <w:pPr>
        <w:spacing w:before="0" w:after="200"/>
        <w:rPr>
          <w:noProof/>
        </w:rPr>
      </w:pPr>
      <w:r>
        <w:rPr>
          <w:noProof/>
        </w:rPr>
        <w:t xml:space="preserve">I overensstemmelse med artikel 16, stk. 3, vurderer Kommissionen betydningen af og sammenhængen i genopretnings- og resiliensplanen og dens bidrag til den grønne og den digitale omstilling og tager med henblik herpå hensyn til følgende kriterier: </w:t>
      </w:r>
    </w:p>
    <w:p>
      <w:pPr>
        <w:pStyle w:val="Point1"/>
        <w:rPr>
          <w:noProof/>
        </w:rPr>
      </w:pPr>
      <w:r>
        <w:rPr>
          <w:noProof/>
        </w:rPr>
        <w:t>a)</w:t>
      </w:r>
      <w:r>
        <w:rPr>
          <w:noProof/>
        </w:rPr>
        <w:tab/>
        <w:t>om genopretnings- og resiliensplanen forventes at bidrage til effektivt at håndtere udfordringer identificeret i de relevante landespecifikke henstillinger rettet til den berørte medlemsstat eller i andre relevante dokumenter, som Kommissionen vedtager officielt som led i det europæiske semester</w:t>
      </w:r>
    </w:p>
    <w:p>
      <w:pPr>
        <w:pStyle w:val="Point1"/>
        <w:rPr>
          <w:noProof/>
        </w:rPr>
      </w:pPr>
      <w:r>
        <w:rPr>
          <w:noProof/>
        </w:rPr>
        <w:t>b)</w:t>
      </w:r>
      <w:r>
        <w:rPr>
          <w:noProof/>
        </w:rPr>
        <w:tab/>
        <w:t>om planen indeholder foranstaltninger, der effektivt bidrager til den grønne og den digitale omstilling og til at håndtere de dermed forbundne udfordringer</w:t>
      </w:r>
    </w:p>
    <w:p>
      <w:pPr>
        <w:pStyle w:val="Point1"/>
        <w:rPr>
          <w:noProof/>
        </w:rPr>
      </w:pPr>
      <w:r>
        <w:rPr>
          <w:noProof/>
        </w:rPr>
        <w:t>c)</w:t>
      </w:r>
      <w:r>
        <w:rPr>
          <w:noProof/>
        </w:rPr>
        <w:tab/>
        <w:t xml:space="preserve">om genopretnings- og resiliensplanen forventes at få varige virkninger i den berørte medlemsstat </w:t>
      </w:r>
    </w:p>
    <w:p>
      <w:pPr>
        <w:pStyle w:val="Point1"/>
        <w:rPr>
          <w:noProof/>
        </w:rPr>
      </w:pPr>
      <w:r>
        <w:rPr>
          <w:noProof/>
        </w:rPr>
        <w:t>d)</w:t>
      </w:r>
      <w:r>
        <w:rPr>
          <w:noProof/>
        </w:rPr>
        <w:tab/>
        <w:t xml:space="preserve">om genopretnings- og resiliensplanen forventes at bidrage effektivt til at styrke medlemsstatens vækstpotentiale, jobskabelse og økonomiske og sociale resiliens, afbøde krisens økonomiske og sociale konsekvenser samt medvirke til at forbedre den økonomiske, sociale og territoriale samhørighed </w:t>
      </w:r>
    </w:p>
    <w:p>
      <w:pPr>
        <w:pStyle w:val="Point1"/>
        <w:rPr>
          <w:noProof/>
        </w:rPr>
      </w:pPr>
      <w:r>
        <w:rPr>
          <w:noProof/>
        </w:rPr>
        <w:t>e)</w:t>
      </w:r>
      <w:r>
        <w:rPr>
          <w:noProof/>
        </w:rPr>
        <w:tab/>
        <w:t xml:space="preserve">om den begrundelse, der er forelagt af medlemsstaten for den indgivne genopretnings- og resiliensplans anslåede samlede omkostninger, er rimelig og plausibel og står mål med den forventede virkning for økonomien og beskæftigelsen </w:t>
      </w:r>
    </w:p>
    <w:p>
      <w:pPr>
        <w:pStyle w:val="Point1"/>
        <w:rPr>
          <w:noProof/>
        </w:rPr>
      </w:pPr>
      <w:r>
        <w:rPr>
          <w:noProof/>
        </w:rPr>
        <w:t>f)</w:t>
      </w:r>
      <w:r>
        <w:rPr>
          <w:noProof/>
        </w:rPr>
        <w:tab/>
        <w:t>om genopretnings- og resiliensplanen indeholder foranstaltninger til gennemførelse af reformer og offentlige investeringsprojekter, der repræsenterer sammenhængende tiltag</w:t>
      </w:r>
    </w:p>
    <w:p>
      <w:pPr>
        <w:pStyle w:val="Point1"/>
        <w:rPr>
          <w:noProof/>
        </w:rPr>
      </w:pPr>
      <w:r>
        <w:rPr>
          <w:noProof/>
        </w:rPr>
        <w:t>g)</w:t>
      </w:r>
      <w:r>
        <w:rPr>
          <w:noProof/>
        </w:rPr>
        <w:tab/>
        <w:t xml:space="preserve"> om de ordninger, som den berørte medlemsstat har foreslået, forventes at sikre en effektiv gennemførelse af genopretnings- og resiliensplanen, herunder den foreslåede tidsplan og de foreslåede delmål og slutmål samt de dertil knyttede indikatorer.  </w:t>
      </w:r>
    </w:p>
    <w:p>
      <w:pPr>
        <w:spacing w:before="0" w:after="200"/>
        <w:ind w:left="720" w:firstLine="1"/>
        <w:contextualSpacing/>
        <w:rPr>
          <w:noProof/>
        </w:rPr>
      </w:pPr>
    </w:p>
    <w:p>
      <w:pPr>
        <w:spacing w:before="0" w:after="200"/>
        <w:rPr>
          <w:noProof/>
        </w:rPr>
      </w:pPr>
      <w:r>
        <w:rPr>
          <w:noProof/>
        </w:rPr>
        <w:t>På grundlag af vurderingsprocessen rater Kommissionen de genopretnings- og resiliensplaner, som medlemsstaterne har indgivet, ud fra hvert af de vurderingskriterier, der er omhandlet i artikel 16, stk. 3, med henblik på at vurdere betydningen af og sammenhængen i planerne og med henblik på at fastsætte den finansielle tildeling i overensstemmelse med artikel 17, stk. 3.</w:t>
      </w:r>
    </w:p>
    <w:p>
      <w:pPr>
        <w:spacing w:before="0" w:after="200"/>
        <w:rPr>
          <w:noProof/>
        </w:rPr>
      </w:pPr>
      <w:r>
        <w:rPr>
          <w:noProof/>
        </w:rPr>
        <w:t>Af hensyn til forenkling og effektivitet spænder ratingsystemet fra A til C, som beskrevet nedenfor:</w:t>
      </w:r>
    </w:p>
    <w:p>
      <w:pPr>
        <w:spacing w:before="0" w:after="200"/>
        <w:ind w:left="567"/>
        <w:rPr>
          <w:b/>
          <w:i/>
          <w:noProof/>
        </w:rPr>
      </w:pPr>
      <w:r>
        <w:rPr>
          <w:b/>
          <w:i/>
          <w:noProof/>
        </w:rPr>
        <w:t>2.1 Genopretnings- og resiliensplanen forventes at bidrage til effektivt at håndtere udfordringer, der er identificeret i de relevante landespecifikke henstillinger rettet til den berørte medlemsstat eller i andre relevante dokumenter, som Kommissionen vedtager officielt som led i det europæiske semester</w:t>
      </w:r>
    </w:p>
    <w:p>
      <w:pPr>
        <w:spacing w:before="0" w:after="0"/>
        <w:rPr>
          <w:noProof/>
        </w:rPr>
      </w:pPr>
      <w:r>
        <w:rPr>
          <w:noProof/>
        </w:rPr>
        <w:t xml:space="preserve">Kommissionen tager hensyn til følgende elementer ved vurderingen ud fra dette kriterium: </w:t>
      </w:r>
    </w:p>
    <w:p>
      <w:pPr>
        <w:spacing w:before="0" w:after="0"/>
        <w:rPr>
          <w:b/>
          <w:i/>
          <w:noProof/>
        </w:rPr>
      </w:pPr>
    </w:p>
    <w:p>
      <w:pPr>
        <w:spacing w:before="0" w:after="0"/>
        <w:rPr>
          <w:b/>
          <w:i/>
          <w:noProof/>
        </w:rPr>
      </w:pPr>
      <w:r>
        <w:rPr>
          <w:b/>
          <w:i/>
          <w:noProof/>
        </w:rPr>
        <w:t xml:space="preserve">Anvendelsesområde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Genopretnings- og resiliensplanen forventes at bidrage til effektivt at håndtere udfordringer, der er identificeret i de relevante landespecifikke henstillinger, herunder finansielle aspekter, eller i andre relevante dokumenter, som Kommissionen vedtager officielt som led i det europæiske semester, rettet til den berørte medlemsstat,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disse udfordringer anses for at være væsentlige for at fremme vækstpotentialet i den berørte medlemsstats økonomi,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efter gennemførelsen af de foreslåede reformer og investeringer forventes de dermed forbundne udfordringer at være blevet løst eller håndteret på tilfredsstillende vis,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genopretnings- og resiliensplanen udgør en omfattende og tilstrækkelig reaktion på den berørte medlemsstats økonomiske og sociale situation. </w:t>
      </w:r>
    </w:p>
    <w:p>
      <w:pPr>
        <w:pBdr>
          <w:top w:val="single" w:sz="4" w:space="1" w:color="auto"/>
          <w:left w:val="single" w:sz="4" w:space="4" w:color="auto"/>
          <w:bottom w:val="single" w:sz="4" w:space="1" w:color="auto"/>
          <w:right w:val="single" w:sz="4" w:space="4" w:color="auto"/>
        </w:pBdr>
        <w:spacing w:before="0" w:after="0"/>
        <w:rPr>
          <w:noProof/>
        </w:rPr>
      </w:pPr>
    </w:p>
    <w:p>
      <w:pPr>
        <w:spacing w:before="0" w:after="0"/>
        <w:rPr>
          <w:b/>
          <w:i/>
          <w:noProof/>
        </w:rPr>
      </w:pPr>
    </w:p>
    <w:p>
      <w:pPr>
        <w:spacing w:before="0" w:after="0"/>
        <w:rPr>
          <w:b/>
          <w:i/>
          <w:noProof/>
        </w:rPr>
      </w:pPr>
    </w:p>
    <w:p>
      <w:pPr>
        <w:spacing w:before="0" w:after="0"/>
        <w:rPr>
          <w:b/>
          <w:i/>
          <w:noProof/>
        </w:rPr>
      </w:pPr>
      <w:r>
        <w:rPr>
          <w:b/>
          <w:i/>
          <w:noProof/>
        </w:rPr>
        <w:t>Rating</w:t>
      </w:r>
    </w:p>
    <w:p>
      <w:pPr>
        <w:pBdr>
          <w:top w:val="single" w:sz="4" w:space="1" w:color="auto"/>
          <w:left w:val="single" w:sz="4" w:space="4" w:color="auto"/>
          <w:bottom w:val="single" w:sz="4" w:space="1" w:color="auto"/>
          <w:right w:val="single" w:sz="4" w:space="4" w:color="auto"/>
        </w:pBdr>
        <w:spacing w:before="0" w:after="0"/>
        <w:rPr>
          <w:noProof/>
        </w:rPr>
      </w:pPr>
      <w:r>
        <w:rPr>
          <w:noProof/>
        </w:rPr>
        <w:t>A – Genopretnings- og resiliensplanen bidrager til effektivt at håndtere de udfordringer, der er identificeret i de landespecifikke henstillinger eller i andre relevante dokumenter, som Kommissionen vedtager officielt som led i det europæiske semester, og planen er en tilstrækkelig reaktion på den berørte medlemsstats økonomiske og sociale situation.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B – Genopretnings- og resiliensplanen bidrager til delvist at håndtere de udfordringer, der er identificeret i de landespecifikke henstillinger eller i andre relevante dokumenter, som Kommissionen vedtager officielt som led i det europæiske semester, og planen er en delvist tilstrækkelig reaktion på den berørte medlemsstats økonomiske og sociale situation.</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C – Genopretnings- og resiliensplanen bidrager ikke til effektivt at håndtere de udfordringer, der er identificeret i de landespecifikke henstillinger eller i andre relevante dokumenter, som Kommissionen vedtager officielt som led i det europæiske semester, og planen er ikke en tilstrækkelig reaktion på den berørte medlemsstats økonomiske og sociale situation.</w:t>
      </w:r>
    </w:p>
    <w:p>
      <w:pPr>
        <w:spacing w:before="0" w:after="200"/>
        <w:ind w:left="720"/>
        <w:rPr>
          <w:i/>
          <w:noProof/>
        </w:rPr>
      </w:pPr>
    </w:p>
    <w:p>
      <w:pPr>
        <w:spacing w:before="0" w:after="200"/>
        <w:ind w:left="426"/>
        <w:rPr>
          <w:b/>
          <w:i/>
          <w:noProof/>
        </w:rPr>
      </w:pPr>
      <w:r>
        <w:rPr>
          <w:b/>
          <w:i/>
          <w:noProof/>
        </w:rPr>
        <w:t>2.2 Planen indeholder foranstaltninger, der effektivt bidrager til den grønne og den digitale omstilling eller til at håndtere de dermed forbundne udfordringer</w:t>
      </w:r>
    </w:p>
    <w:p>
      <w:pPr>
        <w:spacing w:before="0" w:after="0"/>
        <w:rPr>
          <w:noProof/>
        </w:rPr>
      </w:pPr>
      <w:r>
        <w:rPr>
          <w:noProof/>
        </w:rPr>
        <w:t>Kommissionen tager hensyn til følgende elementer ved vurderingen ud fra dette kriterium:</w:t>
      </w:r>
    </w:p>
    <w:p>
      <w:pPr>
        <w:spacing w:before="0" w:after="0"/>
        <w:rPr>
          <w:b/>
          <w:i/>
          <w:noProof/>
        </w:rPr>
      </w:pPr>
    </w:p>
    <w:p>
      <w:pPr>
        <w:spacing w:before="0" w:after="0"/>
        <w:rPr>
          <w:b/>
          <w:i/>
          <w:noProof/>
        </w:rPr>
      </w:pPr>
      <w:r>
        <w:rPr>
          <w:b/>
          <w:i/>
          <w:noProof/>
        </w:rPr>
        <w:t>Anvendelsesområde</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bidrage væsentligt til etablering af klima- og miljøvenlige systemer og til at gøre økonomiske eller sociale sektorer grønnere med henblik på at bidrage til at nå det overordnede mål om et klimaneutralt Europa senest i 2050,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eller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bidrage væsentligt til den digitale omstilling af økonomiske eller sociale sektorer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eller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gennemførelsen af de påtænkte foranstaltninger forventes at bidrage væsentligt til at håndtere de med den grønne og/eller den digitale omstilling forbundne udfordringer,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få varige virkninger. </w:t>
      </w:r>
    </w:p>
    <w:p>
      <w:pPr>
        <w:spacing w:before="0" w:after="200"/>
        <w:rPr>
          <w:b/>
          <w:i/>
          <w:noProof/>
        </w:rPr>
      </w:pPr>
    </w:p>
    <w:p>
      <w:pPr>
        <w:spacing w:before="0" w:after="0"/>
        <w:rPr>
          <w:b/>
          <w:i/>
          <w:noProof/>
        </w:rPr>
      </w:pPr>
      <w:r>
        <w:rPr>
          <w:b/>
          <w:i/>
          <w:noProof/>
        </w:rPr>
        <w:t>Rating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 høj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 moderat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 ringe grad </w:t>
      </w:r>
    </w:p>
    <w:p>
      <w:pPr>
        <w:spacing w:before="0" w:after="200"/>
        <w:ind w:left="426"/>
        <w:rPr>
          <w:b/>
          <w:i/>
          <w:noProof/>
        </w:rPr>
      </w:pPr>
    </w:p>
    <w:p>
      <w:pPr>
        <w:spacing w:before="0" w:after="200"/>
        <w:ind w:left="426"/>
        <w:rPr>
          <w:b/>
          <w:i/>
          <w:noProof/>
        </w:rPr>
      </w:pPr>
      <w:r>
        <w:rPr>
          <w:b/>
          <w:i/>
          <w:noProof/>
        </w:rPr>
        <w:t xml:space="preserve">2.3 Genopretnings- og resiliensplanen forventes at få varige virkninger i den berørte medlemsstat  </w:t>
      </w:r>
    </w:p>
    <w:p>
      <w:pPr>
        <w:spacing w:before="0" w:after="0"/>
        <w:rPr>
          <w:noProof/>
        </w:rPr>
      </w:pPr>
      <w:r>
        <w:rPr>
          <w:noProof/>
        </w:rPr>
        <w:t>Kommissionen tager hensyn til følgende elementer ved vurderingen ud fra dette kriterium:</w:t>
      </w:r>
    </w:p>
    <w:p>
      <w:pPr>
        <w:spacing w:before="0" w:after="0"/>
        <w:rPr>
          <w:b/>
          <w:i/>
          <w:noProof/>
        </w:rPr>
      </w:pPr>
    </w:p>
    <w:p>
      <w:pPr>
        <w:spacing w:before="0" w:after="0"/>
        <w:rPr>
          <w:b/>
          <w:i/>
          <w:noProof/>
        </w:rPr>
      </w:pPr>
      <w:r>
        <w:rPr>
          <w:b/>
          <w:i/>
          <w:noProof/>
        </w:rPr>
        <w:t>Anvendelsesområde</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bevirke en strukturel ændring i administrationen eller i de relevante institutioner,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eller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bevirke en strukturel ændring i de relevante politikker,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gennemførelsen af de påtænkte foranstaltninger forventes at få varige virkninger. </w:t>
      </w:r>
    </w:p>
    <w:p>
      <w:pPr>
        <w:spacing w:before="0" w:after="200"/>
        <w:rPr>
          <w:b/>
          <w:i/>
          <w:noProof/>
        </w:rPr>
      </w:pPr>
    </w:p>
    <w:p>
      <w:pPr>
        <w:spacing w:before="0" w:after="0"/>
        <w:rPr>
          <w:b/>
          <w:i/>
          <w:noProof/>
        </w:rPr>
      </w:pPr>
      <w:r>
        <w:rPr>
          <w:b/>
          <w:i/>
          <w:noProof/>
        </w:rPr>
        <w:t>Rating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 høj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 moderat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 ringe grad </w:t>
      </w:r>
    </w:p>
    <w:p>
      <w:pPr>
        <w:ind w:left="426"/>
        <w:rPr>
          <w:b/>
          <w:i/>
          <w:noProof/>
        </w:rPr>
      </w:pPr>
    </w:p>
    <w:p>
      <w:pPr>
        <w:ind w:left="567"/>
        <w:rPr>
          <w:b/>
          <w:i/>
          <w:noProof/>
        </w:rPr>
      </w:pPr>
      <w:r>
        <w:rPr>
          <w:b/>
          <w:bCs/>
          <w:noProof/>
        </w:rPr>
        <w:t>2.4 Genopretnings- og resiliensplanen forventes at bidrage effektivt til at styrke medlemsstatens vækstpotentiale, jobskabelse og økonomiske og sociale resiliens, afbøde krisens økonomiske og sociale konsekvenser samt medvirke til at forbedre den økonomiske, sociale og territoriale samhørighed</w:t>
      </w:r>
    </w:p>
    <w:p>
      <w:pPr>
        <w:spacing w:after="0"/>
        <w:jc w:val="left"/>
        <w:rPr>
          <w:noProof/>
        </w:rPr>
      </w:pPr>
      <w:r>
        <w:rPr>
          <w:noProof/>
        </w:rPr>
        <w:t xml:space="preserve">Kommissionen tager hensyn til følgende elementer ved vurderingen ud fra dette kriterium: </w:t>
      </w:r>
    </w:p>
    <w:p>
      <w:pPr>
        <w:spacing w:after="0"/>
        <w:jc w:val="left"/>
        <w:rPr>
          <w:b/>
          <w:i/>
          <w:noProof/>
        </w:rPr>
      </w:pPr>
      <w:r>
        <w:rPr>
          <w:b/>
          <w:i/>
          <w:noProof/>
        </w:rPr>
        <w:t xml:space="preserve">Anvendelsesområde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Genopretnings- og resiliensplanen indeholder foranstaltninger, der tager sigte på at afhjælpe svagheder i medlemsstaternes økonomier og på at fremme vækstpotentialet i den berørte medlemsstats økonomi, stimulere jobskabelse og afbøde krisens negative konsekvenser, samtidig med at negative følger af disse foranstaltninger for klimaet og miljøet forebygges,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genopretnings- og resiliensplanen sigter på at mindske medlemsstatens økonomis sårbarhed over for chok,</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eller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genopretnings- og resiliensplanen sigter på at øge medlemsstatens økonomiske og/eller sociale strukturers kapacitet til at tilpasse sig og modstå chok, </w:t>
      </w: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genopretnings- og resiliensplanen forventes at bidrage til at forbedre den økonomiske, sociale og territoriale samhørighed. </w:t>
      </w:r>
    </w:p>
    <w:p>
      <w:pPr>
        <w:spacing w:after="0"/>
        <w:jc w:val="left"/>
        <w:rPr>
          <w:b/>
          <w:i/>
          <w:noProof/>
        </w:rPr>
      </w:pPr>
    </w:p>
    <w:p>
      <w:pPr>
        <w:spacing w:after="0"/>
        <w:rPr>
          <w:b/>
          <w:noProof/>
        </w:rPr>
      </w:pPr>
      <w:r>
        <w:rPr>
          <w:b/>
          <w:i/>
          <w:noProof/>
        </w:rPr>
        <w:t xml:space="preserve"> Rating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Stor forventet indvirkning på vækstpotentiale og økonomisk og social resiliens samt på samhørighed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Middelstor forventet indvirkning på vækstpotentiale og økonomisk og social resiliens samt på samhørighed </w:t>
      </w:r>
    </w:p>
    <w:p>
      <w:pPr>
        <w:pBdr>
          <w:top w:val="single" w:sz="4" w:space="1" w:color="auto"/>
          <w:left w:val="single" w:sz="4" w:space="4" w:color="auto"/>
          <w:bottom w:val="single" w:sz="4" w:space="1" w:color="auto"/>
          <w:right w:val="single" w:sz="4" w:space="4" w:color="auto"/>
        </w:pBdr>
        <w:spacing w:before="0" w:after="0"/>
        <w:rPr>
          <w:noProof/>
        </w:rPr>
      </w:pPr>
      <w:r>
        <w:rPr>
          <w:noProof/>
        </w:rPr>
        <w:t>B – Lille forventet indvirkning på vækstpotentiale og økonomisk og social resiliens samt på samhørighed</w:t>
      </w:r>
    </w:p>
    <w:p>
      <w:pPr>
        <w:spacing w:before="0" w:after="200"/>
        <w:rPr>
          <w:i/>
          <w:noProof/>
        </w:rPr>
      </w:pPr>
    </w:p>
    <w:p>
      <w:pPr>
        <w:spacing w:before="0" w:after="200"/>
        <w:ind w:left="426"/>
        <w:rPr>
          <w:b/>
          <w:i/>
          <w:noProof/>
        </w:rPr>
      </w:pPr>
      <w:r>
        <w:rPr>
          <w:b/>
          <w:i/>
          <w:noProof/>
        </w:rPr>
        <w:t>2.5 Den begrundelse, der er forelagt af medlemsstaten for genopretnings- og resiliensplanens anslåede samlede omkostninger, er rimelig og plausibel og står mål med den forventede virkning for økonomien og beskæftigelsen</w:t>
      </w:r>
    </w:p>
    <w:p>
      <w:pPr>
        <w:spacing w:before="0" w:after="0"/>
        <w:rPr>
          <w:noProof/>
        </w:rPr>
      </w:pPr>
      <w:r>
        <w:rPr>
          <w:noProof/>
        </w:rPr>
        <w:t xml:space="preserve">Kommissionen tager hensyn til følgende elementer ved vurderingen ud fra dette kriterium: </w:t>
      </w:r>
    </w:p>
    <w:p>
      <w:pPr>
        <w:spacing w:before="0" w:after="0"/>
        <w:rPr>
          <w:i/>
          <w:noProof/>
        </w:rPr>
      </w:pPr>
      <w:r>
        <w:rPr>
          <w:i/>
          <w:noProof/>
        </w:rPr>
        <w:t xml:space="preserve">Anvendelsesområde </w:t>
      </w:r>
    </w:p>
    <w:p>
      <w:pPr>
        <w:pBdr>
          <w:top w:val="single" w:sz="4" w:space="1" w:color="auto"/>
          <w:left w:val="single" w:sz="4" w:space="4" w:color="auto"/>
          <w:bottom w:val="single" w:sz="4" w:space="1" w:color="auto"/>
          <w:right w:val="single" w:sz="4" w:space="4" w:color="auto"/>
        </w:pBdr>
        <w:spacing w:before="0" w:after="0"/>
        <w:rPr>
          <w:noProof/>
        </w:rPr>
      </w:pPr>
      <w:r>
        <w:rPr>
          <w:noProof/>
        </w:rPr>
        <w:t>- Medlemsstaten har fremlagt tilstrækkelige oplysninger og dokumentation for, at beløbet for genopretnings- og resiliensplanens anslåede samlede omkostninger er passende ("rimeligt"),</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medlemsstaten har fremlagt tilstrækkelige oplysninger og dokumentation for, at beløbet for genopretnings- og resiliensplanens anslåede samlede omkostninger er i overensstemmelse med arten og typen af de påtænkte reformer og investeringer ("plausibelt"),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w:t>
      </w: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medlemsstaten har fremlagt tilstrækkelige oplysninger og dokumentation for, at beløbet for de anslåede samlede omkostninger til den genopretnings- og resiliensplan, der skal finansieres inden for rammerne af instrumentet, ikke er dækket af eksisterende eller planlagt EU-finansiering,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r>
        <w:rPr>
          <w:noProof/>
        </w:rPr>
        <w:t>- beløbet for de anslåede samlede omkostninger til genopretnings- og resiliensplanens anslåede samlede omkostninger står mål med den forventede virkning for den berørte medlemsstats økonomi af de påtænkte foranstaltninger i planen .</w:t>
      </w:r>
    </w:p>
    <w:p>
      <w:pPr>
        <w:spacing w:before="0" w:after="0"/>
        <w:rPr>
          <w:b/>
          <w:i/>
          <w:noProof/>
        </w:rPr>
      </w:pPr>
    </w:p>
    <w:p>
      <w:pPr>
        <w:spacing w:before="0" w:after="0"/>
        <w:rPr>
          <w:b/>
          <w:i/>
          <w:noProof/>
        </w:rPr>
      </w:pPr>
      <w:r>
        <w:rPr>
          <w:b/>
          <w:i/>
          <w:noProof/>
        </w:rPr>
        <w:t>Rating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 høj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 moderat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 ringe grad </w:t>
      </w:r>
    </w:p>
    <w:p>
      <w:pPr>
        <w:spacing w:before="0" w:after="200"/>
        <w:rPr>
          <w:noProof/>
        </w:rPr>
      </w:pPr>
    </w:p>
    <w:p>
      <w:pPr>
        <w:spacing w:before="0" w:after="200"/>
        <w:ind w:left="426"/>
        <w:rPr>
          <w:b/>
          <w:i/>
          <w:strike/>
          <w:noProof/>
        </w:rPr>
      </w:pPr>
      <w:r>
        <w:rPr>
          <w:b/>
          <w:i/>
          <w:noProof/>
        </w:rPr>
        <w:t>2.6. Genopretnings- og resiliensplanen indeholder foranstaltninger til gennemførelsen af reformer og offentlige investeringsprojekter, der repræsenterer sammenhængende tiltag</w:t>
      </w:r>
    </w:p>
    <w:p>
      <w:pPr>
        <w:spacing w:before="0" w:after="200"/>
        <w:rPr>
          <w:noProof/>
        </w:rPr>
      </w:pPr>
      <w:r>
        <w:rPr>
          <w:noProof/>
        </w:rPr>
        <w:t xml:space="preserve">Kommissionen tager hensyn til følgende elementer ved vurderingen ud fra dette kriterium: </w:t>
      </w:r>
    </w:p>
    <w:p>
      <w:pPr>
        <w:spacing w:before="0" w:after="0"/>
        <w:rPr>
          <w:b/>
          <w:i/>
          <w:noProof/>
        </w:rPr>
      </w:pPr>
      <w:r>
        <w:rPr>
          <w:b/>
          <w:i/>
          <w:noProof/>
        </w:rPr>
        <w:t>Anvendelsesområde</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Genopretnings- og resiliensplanen indeholder foranstaltninger, der bidrager til at forstærke virkningerne indbyrdes. </w:t>
      </w:r>
    </w:p>
    <w:p>
      <w:pPr>
        <w:spacing w:before="0" w:after="200"/>
        <w:rPr>
          <w:b/>
          <w:i/>
          <w:noProof/>
        </w:rPr>
      </w:pPr>
    </w:p>
    <w:p>
      <w:pPr>
        <w:spacing w:before="0" w:after="0"/>
        <w:rPr>
          <w:b/>
          <w:i/>
          <w:noProof/>
        </w:rPr>
      </w:pPr>
      <w:r>
        <w:rPr>
          <w:b/>
          <w:i/>
          <w:noProof/>
        </w:rPr>
        <w:t xml:space="preserve">Rating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I høj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B – I moderat grad </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C – I ringe grad </w:t>
      </w:r>
    </w:p>
    <w:p>
      <w:pPr>
        <w:spacing w:before="0" w:after="200"/>
        <w:rPr>
          <w:noProof/>
        </w:rPr>
      </w:pPr>
    </w:p>
    <w:p>
      <w:pPr>
        <w:spacing w:before="0" w:after="200"/>
        <w:ind w:left="426"/>
        <w:rPr>
          <w:b/>
          <w:i/>
          <w:noProof/>
        </w:rPr>
      </w:pPr>
      <w:r>
        <w:rPr>
          <w:b/>
          <w:i/>
          <w:noProof/>
        </w:rPr>
        <w:t>2.7 De ordninger, som den berørte medlemsstat har foreslået, forventes at sikre en effektiv gennemførelse af genopretnings- og resiliensplanen, herunder de foreslåede delmål og slutmål samt de dertil knyttede indikatorer.</w:t>
      </w:r>
    </w:p>
    <w:p>
      <w:pPr>
        <w:spacing w:before="0" w:after="0"/>
        <w:rPr>
          <w:noProof/>
        </w:rPr>
      </w:pPr>
      <w:r>
        <w:rPr>
          <w:noProof/>
        </w:rPr>
        <w:t>Kommissionen tager hensyn til følgende elementer ved vurderingen ud fra dette kriterium:</w:t>
      </w:r>
    </w:p>
    <w:p>
      <w:pPr>
        <w:spacing w:before="0" w:after="0"/>
        <w:rPr>
          <w:b/>
          <w:i/>
          <w:noProof/>
        </w:rPr>
      </w:pPr>
    </w:p>
    <w:p>
      <w:pPr>
        <w:spacing w:before="0" w:after="0"/>
        <w:rPr>
          <w:b/>
          <w:i/>
          <w:noProof/>
        </w:rPr>
      </w:pPr>
      <w:r>
        <w:rPr>
          <w:b/>
          <w:i/>
          <w:noProof/>
        </w:rPr>
        <w:t>Anvendelsesområde</w:t>
      </w:r>
    </w:p>
    <w:p>
      <w:pPr>
        <w:pBdr>
          <w:top w:val="single" w:sz="4" w:space="1" w:color="auto"/>
          <w:left w:val="single" w:sz="4" w:space="4" w:color="auto"/>
          <w:bottom w:val="single" w:sz="4" w:space="1" w:color="auto"/>
          <w:right w:val="single" w:sz="4" w:space="4" w:color="auto"/>
        </w:pBdr>
        <w:spacing w:before="0" w:after="0"/>
        <w:rPr>
          <w:noProof/>
        </w:rPr>
      </w:pPr>
      <w:r>
        <w:rPr>
          <w:noProof/>
        </w:rPr>
        <w:t>- En struktur får i medlemsstaten følgende opgaver: i) gennemførelse af genopretnings- og resiliensplanen, ii) overvågning af fremskridt med hensyn til opfyldelsen af delmål og slutmål og iii) rapportering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 foreslåede delmål og slutmål er klare og realistiske, og de foreslåede indikatorer er relevante, acceptable og holdbare,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de generelle ordninger, som foreslås af medlemsstaterne med hensyn til tilrettelæggelsen (herunder foranstaltninger til at sikre en tilstrækkelig personaletildeling) af gennemførelsen af reformen og investeringerne, er troværdige. </w:t>
      </w:r>
    </w:p>
    <w:p>
      <w:pPr>
        <w:spacing w:before="0" w:after="200"/>
        <w:rPr>
          <w:b/>
          <w:i/>
          <w:noProof/>
        </w:rPr>
      </w:pPr>
    </w:p>
    <w:p>
      <w:pPr>
        <w:spacing w:before="0" w:after="0"/>
        <w:rPr>
          <w:b/>
          <w:i/>
          <w:noProof/>
        </w:rPr>
      </w:pPr>
      <w:r>
        <w:rPr>
          <w:b/>
          <w:i/>
          <w:noProof/>
        </w:rPr>
        <w:t>Rating</w:t>
      </w: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A – Tilstrækkelige ordninger til effektiv gennemførelse </w:t>
      </w:r>
    </w:p>
    <w:p>
      <w:pPr>
        <w:pBdr>
          <w:top w:val="single" w:sz="4" w:space="1" w:color="auto"/>
          <w:left w:val="single" w:sz="4" w:space="4" w:color="auto"/>
          <w:bottom w:val="single" w:sz="4" w:space="1" w:color="auto"/>
          <w:right w:val="single" w:sz="4" w:space="4" w:color="auto"/>
        </w:pBdr>
        <w:spacing w:before="0" w:after="0"/>
        <w:rPr>
          <w:noProof/>
        </w:rPr>
      </w:pPr>
      <w:r>
        <w:rPr>
          <w:noProof/>
        </w:rPr>
        <w:t>B – Minimale ordninger til effektiv gennemførelse</w:t>
      </w:r>
    </w:p>
    <w:p>
      <w:pPr>
        <w:pBdr>
          <w:top w:val="single" w:sz="4" w:space="1" w:color="auto"/>
          <w:left w:val="single" w:sz="4" w:space="4" w:color="auto"/>
          <w:bottom w:val="single" w:sz="4" w:space="1" w:color="auto"/>
          <w:right w:val="single" w:sz="4" w:space="4" w:color="auto"/>
        </w:pBdr>
        <w:spacing w:before="0" w:after="0"/>
        <w:rPr>
          <w:noProof/>
        </w:rPr>
      </w:pPr>
      <w:r>
        <w:rPr>
          <w:noProof/>
        </w:rPr>
        <w:t>C – Utilstrækkelige ordninger til effektiv gennemførelse</w:t>
      </w:r>
    </w:p>
    <w:p>
      <w:pPr>
        <w:spacing w:before="0" w:after="0"/>
        <w:rPr>
          <w:b/>
          <w:i/>
          <w:noProof/>
        </w:rPr>
      </w:pPr>
    </w:p>
    <w:p>
      <w:pPr>
        <w:spacing w:before="0" w:after="0"/>
        <w:rPr>
          <w:b/>
          <w:i/>
          <w:noProof/>
        </w:rPr>
      </w:pPr>
    </w:p>
    <w:p>
      <w:pPr>
        <w:spacing w:before="0" w:after="200"/>
        <w:rPr>
          <w:b/>
          <w:noProof/>
          <w:color w:val="000000" w:themeColor="text1"/>
        </w:rPr>
      </w:pPr>
      <w:r>
        <w:rPr>
          <w:b/>
          <w:i/>
          <w:noProof/>
        </w:rPr>
        <w:t>3</w:t>
      </w:r>
      <w:r>
        <w:rPr>
          <w:b/>
          <w:noProof/>
          <w:color w:val="000000" w:themeColor="text1"/>
        </w:rPr>
        <w:t>. Fastsættelse af det finansielle bidrag inden for rammerne af budgetinstrumentet for genopretning og resiliens</w:t>
      </w:r>
    </w:p>
    <w:p>
      <w:pPr>
        <w:spacing w:before="0" w:after="200"/>
        <w:rPr>
          <w:noProof/>
          <w:color w:val="000000" w:themeColor="text1"/>
        </w:rPr>
      </w:pPr>
      <w:r>
        <w:rPr>
          <w:noProof/>
          <w:color w:val="000000" w:themeColor="text1"/>
        </w:rPr>
        <w:t>Kommissionen fastsætter i overensstemmelse med artikel 17, stk. 3, det finansielle bidrag under hensyntagen til betydningen af og sammenhængen i den foreslåede genopretnings- og resiliensplan, som den berørte medlemsstat har indgivet, vurderet på grundlag af kriterierne i artikel 17, stk. 3. Med henblik herpå anvender den følgende kriterier:</w:t>
      </w:r>
    </w:p>
    <w:p>
      <w:pPr>
        <w:pStyle w:val="Point1"/>
        <w:rPr>
          <w:noProof/>
        </w:rPr>
      </w:pPr>
      <w:r>
        <w:rPr>
          <w:noProof/>
        </w:rPr>
        <w:t>a)</w:t>
      </w:r>
      <w:r>
        <w:rPr>
          <w:noProof/>
        </w:rPr>
        <w:tab/>
        <w:t>Hvis genopretnings- og resiliensplanen opfylder kriterierne i artikel 16, stk. 3, på tilfredsstillende vis, og genopretnings- og resiliensplanens anslåede samlede omkostninger beløber sig til det samme eller mere end det maksimale finansielle bidrag til den pågældende medlemsstat, jf. artikel 10, er det finansielle bidrag, der tildeles til medlemsstaten, lig med det fulde beløb af det maksimale finansielle bidrag, der er omhandlet i artikel 10.</w:t>
      </w:r>
    </w:p>
    <w:p>
      <w:pPr>
        <w:pStyle w:val="Point1"/>
        <w:rPr>
          <w:noProof/>
        </w:rPr>
      </w:pPr>
      <w:r>
        <w:rPr>
          <w:noProof/>
        </w:rPr>
        <w:t>b)</w:t>
      </w:r>
      <w:r>
        <w:rPr>
          <w:noProof/>
        </w:rPr>
        <w:tab/>
        <w:t>Hvis genopretnings- og resiliensplanen opfylder kriterierne i artikel 16, stk. 3, på tilfredsstillende vis, og genopretnings- og resiliensplanens anslåede samlede omkostninger beløber sig til mindre end det maksimale finansielle bidrag til den pågældende medlemsstat, jf. artikel 10, er det finansielle bidrag, der tildeles til medlemsstaten, lig med beløbet for anslåede samlede omkostninger ved genopretnings- og resiliensplanen.</w:t>
      </w:r>
    </w:p>
    <w:p>
      <w:pPr>
        <w:pStyle w:val="Point1"/>
        <w:rPr>
          <w:noProof/>
        </w:rPr>
      </w:pPr>
      <w:r>
        <w:rPr>
          <w:noProof/>
        </w:rPr>
        <w:t>c)</w:t>
      </w:r>
      <w:r>
        <w:rPr>
          <w:noProof/>
        </w:rPr>
        <w:tab/>
        <w:t xml:space="preserve">Hvis genopretnings- og resiliensplanen ikke opfylder kriterierne i artikel 16, stk. 3, på tilfredsstillende vis, tildeles den berørte medlemsstat ikke noget finansielt bidrag. </w:t>
      </w:r>
    </w:p>
    <w:p>
      <w:pPr>
        <w:numPr>
          <w:ilvl w:val="3"/>
          <w:numId w:val="0"/>
        </w:numPr>
        <w:tabs>
          <w:tab w:val="num" w:pos="1843"/>
        </w:tabs>
        <w:spacing w:before="0" w:after="240"/>
        <w:rPr>
          <w:noProof/>
        </w:rPr>
      </w:pPr>
      <w:r>
        <w:rPr>
          <w:noProof/>
        </w:rPr>
        <w:t xml:space="preserve">Med henblik på gennemførelse af dette afsnit finder følgende formler anvendelse:  </w:t>
      </w:r>
    </w:p>
    <w:p>
      <w:pPr>
        <w:pStyle w:val="Tiret1"/>
        <w:numPr>
          <w:ilvl w:val="0"/>
          <w:numId w:val="9"/>
        </w:numPr>
        <w:rPr>
          <w:noProof/>
        </w:rPr>
      </w:pPr>
      <w:r>
        <w:rPr>
          <w:noProof/>
        </w:rPr>
        <w:t xml:space="preserve">for a) ovenfor: </w:t>
      </w:r>
      <m:oMath>
        <m:sSup>
          <m:sSupPr>
            <m:ctrlPr>
              <w:rPr>
                <w:rFonts w:ascii="Cambria Math" w:hAnsi="Cambria Math"/>
                <w:noProof/>
              </w:rPr>
            </m:ctrlPr>
          </m:sSupPr>
          <m:e>
            <m:r>
              <w:rPr>
                <w:rFonts w:ascii="Cambria Math" w:hAnsi="Cambria Math"/>
                <w:noProof/>
              </w:rPr>
              <m:t xml:space="preserve">Hvis </m:t>
            </m:r>
            <m:sSup>
              <m:sSupPr>
                <m:ctrlPr>
                  <w:rPr>
                    <w:rFonts w:ascii="Cambria Math" w:hAnsi="Cambria Math"/>
                    <w:noProof/>
                  </w:rPr>
                </m:ctrlPr>
              </m:sSupPr>
              <m:e>
                <m:r>
                  <w:rPr>
                    <w:rFonts w:ascii="Cambria Math" w:hAnsi="Cambria Math"/>
                    <w:noProof/>
                  </w:rPr>
                  <m:t>C</m:t>
                </m:r>
              </m:e>
              <m:sup>
                <m:r>
                  <w:rPr>
                    <w:rFonts w:ascii="Cambria Math" w:hAnsi="Cambria Math"/>
                    <w:noProof/>
                  </w:rPr>
                  <m:t>i</m:t>
                </m:r>
              </m:sup>
            </m:sSup>
            <m:r>
              <m:rPr>
                <m:sty m:val="p"/>
              </m:rPr>
              <w:rPr>
                <w:rFonts w:ascii="Cambria Math" w:hAnsi="Cambria Math"/>
                <w:noProof/>
              </w:rPr>
              <m:t>≥</m:t>
            </m:r>
            <m:r>
              <w:rPr>
                <w:rFonts w:ascii="Cambria Math" w:hAnsi="Cambria Math"/>
                <w:noProof/>
              </w:rPr>
              <m:t>MFC</m:t>
            </m:r>
          </m:e>
          <m:sup>
            <m:r>
              <w:rPr>
                <w:rFonts w:ascii="Cambria Math" w:hAnsi="Cambria Math"/>
                <w:noProof/>
              </w:rPr>
              <m:t>i</m:t>
            </m:r>
          </m:sup>
        </m:sSup>
        <m:r>
          <m:rPr>
            <m:sty m:val="p"/>
          </m:rPr>
          <w:rPr>
            <w:rFonts w:ascii="Cambria Math" w:hAnsi="Cambria Math"/>
            <w:noProof/>
          </w:rPr>
          <m:t xml:space="preserve">   modtager medlemsstat </m:t>
        </m:r>
        <m:r>
          <w:rPr>
            <w:rFonts w:ascii="Cambria Math" w:hAnsi="Cambria Math"/>
            <w:noProof/>
          </w:rPr>
          <m:t>i</m:t>
        </m:r>
        <m:r>
          <m:rPr>
            <m:sty m:val="p"/>
          </m:rPr>
          <w:rPr>
            <w:rFonts w:ascii="Cambria Math" w:hAnsi="Cambria Math"/>
            <w:noProof/>
          </w:rPr>
          <m:t xml:space="preserve"> </m:t>
        </m:r>
        <m:sSup>
          <m:sSupPr>
            <m:ctrlPr>
              <w:rPr>
                <w:rFonts w:ascii="Cambria Math" w:hAnsi="Cambria Math"/>
                <w:noProof/>
              </w:rPr>
            </m:ctrlPr>
          </m:sSupPr>
          <m:e>
            <m:r>
              <w:rPr>
                <w:rFonts w:ascii="Cambria Math" w:hAnsi="Cambria Math"/>
                <w:noProof/>
              </w:rPr>
              <m:t>MFC</m:t>
            </m:r>
          </m:e>
          <m:sup>
            <m:r>
              <w:rPr>
                <w:rFonts w:ascii="Cambria Math" w:hAnsi="Cambria Math"/>
                <w:noProof/>
              </w:rPr>
              <m:t>i</m:t>
            </m:r>
          </m:sup>
        </m:sSup>
      </m:oMath>
    </w:p>
    <w:p>
      <w:pPr>
        <w:pStyle w:val="Tiret1"/>
        <w:rPr>
          <w:noProof/>
        </w:rPr>
      </w:pPr>
      <w:r>
        <w:rPr>
          <w:noProof/>
        </w:rPr>
        <w:t xml:space="preserve">for b) ovenfor: </w:t>
      </w:r>
      <m:oMath>
        <m:r>
          <w:rPr>
            <w:rFonts w:ascii="Cambria Math" w:hAnsi="Cambria Math"/>
            <w:noProof/>
          </w:rPr>
          <m:t xml:space="preserve">Hvis </m:t>
        </m:r>
        <m:sSup>
          <m:sSupPr>
            <m:ctrlPr>
              <w:rPr>
                <w:rFonts w:ascii="Cambria Math" w:hAnsi="Cambria Math"/>
                <w:i/>
                <w:noProof/>
              </w:rPr>
            </m:ctrlPr>
          </m:sSupPr>
          <m:e>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r>
              <w:rPr>
                <w:rFonts w:ascii="Cambria Math" w:hAnsi="Cambria Math"/>
                <w:noProof/>
              </w:rPr>
              <m:t>&lt;MFC</m:t>
            </m:r>
          </m:e>
          <m:sup>
            <m:r>
              <w:rPr>
                <w:rFonts w:ascii="Cambria Math" w:hAnsi="Cambria Math"/>
                <w:noProof/>
              </w:rPr>
              <m:t>i</m:t>
            </m:r>
          </m:sup>
        </m:sSup>
        <m:r>
          <m:rPr>
            <m:sty m:val="p"/>
          </m:rPr>
          <w:rPr>
            <w:rFonts w:ascii="Cambria Math" w:hAnsi="Cambria Math"/>
            <w:noProof/>
          </w:rPr>
          <m:t xml:space="preserve"> modtager medlemsstat </m:t>
        </m:r>
        <m:r>
          <w:rPr>
            <w:rFonts w:ascii="Cambria Math" w:hAnsi="Cambria Math"/>
            <w:noProof/>
          </w:rPr>
          <m:t xml:space="preserve">i </m:t>
        </m:r>
        <m:sSup>
          <m:sSupPr>
            <m:ctrlPr>
              <w:rPr>
                <w:rFonts w:ascii="Cambria Math" w:hAnsi="Cambria Math"/>
                <w:i/>
                <w:noProof/>
              </w:rPr>
            </m:ctrlPr>
          </m:sSupPr>
          <m:e>
            <m:r>
              <w:rPr>
                <w:rFonts w:ascii="Cambria Math" w:hAnsi="Cambria Math"/>
                <w:noProof/>
              </w:rPr>
              <m:t>C</m:t>
            </m:r>
          </m:e>
          <m:sup>
            <m:r>
              <w:rPr>
                <w:rFonts w:ascii="Cambria Math" w:hAnsi="Cambria Math"/>
                <w:noProof/>
              </w:rPr>
              <m:t>i</m:t>
            </m:r>
          </m:sup>
        </m:sSup>
      </m:oMath>
    </w:p>
    <w:p>
      <w:pPr>
        <w:pStyle w:val="Tiret1"/>
        <w:rPr>
          <w:noProof/>
        </w:rPr>
      </w:pPr>
      <w:r>
        <w:rPr>
          <w:noProof/>
        </w:rPr>
        <w:t xml:space="preserve">hvor: </w:t>
      </w:r>
    </w:p>
    <w:p>
      <w:pPr>
        <w:pStyle w:val="Tiret1"/>
        <w:rPr>
          <w:noProof/>
        </w:rPr>
      </w:pPr>
      <w:r>
        <w:rPr>
          <w:i/>
          <w:noProof/>
        </w:rPr>
        <w:t>i</w:t>
      </w:r>
      <w:r>
        <w:rPr>
          <w:noProof/>
        </w:rPr>
        <w:t xml:space="preserve"> henviser til den berørte medlemsstat</w:t>
      </w:r>
    </w:p>
    <w:p>
      <w:pPr>
        <w:pStyle w:val="Tiret1"/>
        <w:rPr>
          <w:noProof/>
        </w:rPr>
      </w:pPr>
      <w:r>
        <w:rPr>
          <w:i/>
          <w:noProof/>
        </w:rPr>
        <w:t>MFC</w:t>
      </w:r>
      <w:r>
        <w:rPr>
          <w:noProof/>
        </w:rPr>
        <w:t xml:space="preserve"> er det maksimale finansielle bidrag til den berørte medlemsstat </w:t>
      </w:r>
    </w:p>
    <w:p>
      <w:pPr>
        <w:pStyle w:val="Tiret1"/>
        <w:rPr>
          <w:noProof/>
        </w:rPr>
      </w:pPr>
      <w:r>
        <w:rPr>
          <w:i/>
          <w:noProof/>
        </w:rPr>
        <w:t>C</w:t>
      </w:r>
      <w:r>
        <w:rPr>
          <w:noProof/>
        </w:rPr>
        <w:t xml:space="preserve"> er beløbet for genopretnings- og resiliensplanens anslåede samlede omkostninger</w:t>
      </w:r>
    </w:p>
    <w:p>
      <w:pPr>
        <w:spacing w:before="0" w:after="200"/>
        <w:rPr>
          <w:noProof/>
        </w:rPr>
      </w:pPr>
    </w:p>
    <w:p>
      <w:pPr>
        <w:spacing w:before="0" w:after="200"/>
        <w:rPr>
          <w:noProof/>
        </w:rPr>
      </w:pPr>
      <w:r>
        <w:rPr>
          <w:noProof/>
        </w:rPr>
        <w:t xml:space="preserve">På grundlag af vurderingsprocessen og under hensyntagen til ratingen: </w:t>
      </w: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Genopretnings- og resiliensplanen opfylder vurderingskriterierne på tilfredsstillende vis: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hvis scoren i den endelige rating for kriterium 2.1-2.7 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et A for kriterium 2.1og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 for de øvrige kriterier: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udelukkende A'er,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eller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flere A'er end B'er og ingen C'er </w:t>
      </w:r>
    </w:p>
    <w:p>
      <w:pPr>
        <w:spacing w:before="0" w:after="200"/>
        <w:rPr>
          <w:noProof/>
        </w:rPr>
      </w:pPr>
    </w:p>
    <w:p>
      <w:pPr>
        <w:pBdr>
          <w:top w:val="single" w:sz="4" w:space="1" w:color="auto"/>
          <w:left w:val="single" w:sz="4" w:space="4" w:color="auto"/>
          <w:bottom w:val="single" w:sz="4" w:space="1" w:color="auto"/>
          <w:right w:val="single" w:sz="4" w:space="4" w:color="auto"/>
        </w:pBdr>
        <w:spacing w:before="0" w:after="0"/>
        <w:rPr>
          <w:noProof/>
          <w:u w:val="single"/>
        </w:rPr>
      </w:pPr>
      <w:r>
        <w:rPr>
          <w:noProof/>
          <w:u w:val="single"/>
        </w:rPr>
        <w:t>Genopretnings- og resiliensplanen opfylder ikke vurderingskriterierne på tilfredsstillende vis:</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hvis scoren i den endelige rating for kriterium 2.1-2.7 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ingen A'er for kriterium 2.1og 2.2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og for de øvrige kriterier:</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rPr>
      </w:pPr>
      <w:r>
        <w:rPr>
          <w:noProof/>
        </w:rPr>
        <w:t xml:space="preserve">- flere B'er end A'er </w:t>
      </w:r>
    </w:p>
    <w:p>
      <w:pPr>
        <w:pBdr>
          <w:top w:val="single" w:sz="4" w:space="1" w:color="auto"/>
          <w:left w:val="single" w:sz="4" w:space="4" w:color="auto"/>
          <w:bottom w:val="single" w:sz="4" w:space="1" w:color="auto"/>
          <w:right w:val="single" w:sz="4" w:space="4" w:color="auto"/>
        </w:pBdr>
        <w:spacing w:before="0" w:after="0"/>
        <w:rPr>
          <w:noProof/>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rPr>
        <w:t>eller</w:t>
      </w:r>
    </w:p>
    <w:p>
      <w:pPr>
        <w:pBdr>
          <w:top w:val="single" w:sz="4" w:space="1" w:color="auto"/>
          <w:left w:val="single" w:sz="4" w:space="4" w:color="auto"/>
          <w:bottom w:val="single" w:sz="4" w:space="1" w:color="auto"/>
          <w:right w:val="single" w:sz="4" w:space="4" w:color="auto"/>
        </w:pBdr>
        <w:spacing w:before="0" w:after="0"/>
        <w:rPr>
          <w:noProof/>
          <w:color w:val="000000" w:themeColor="text1"/>
        </w:rPr>
      </w:pPr>
    </w:p>
    <w:p>
      <w:pPr>
        <w:pBdr>
          <w:top w:val="single" w:sz="4" w:space="1" w:color="auto"/>
          <w:left w:val="single" w:sz="4" w:space="4" w:color="auto"/>
          <w:bottom w:val="single" w:sz="4" w:space="1" w:color="auto"/>
          <w:right w:val="single" w:sz="4" w:space="4" w:color="auto"/>
        </w:pBdr>
        <w:spacing w:before="0" w:after="0"/>
        <w:rPr>
          <w:noProof/>
          <w:color w:val="000000" w:themeColor="text1"/>
        </w:rPr>
      </w:pPr>
      <w:r>
        <w:rPr>
          <w:noProof/>
          <w:color w:val="000000" w:themeColor="text1"/>
        </w:rPr>
        <w:t xml:space="preserve">- mindst ét C. </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 xml:space="preserve">BILAG III </w:t>
      </w:r>
    </w:p>
    <w:p>
      <w:pPr>
        <w:jc w:val="center"/>
        <w:rPr>
          <w:noProof/>
        </w:rPr>
      </w:pPr>
      <w:r>
        <w:rPr>
          <w:b/>
          <w:noProof/>
        </w:rPr>
        <w:t>Indikatorer</w:t>
      </w:r>
    </w:p>
    <w:p>
      <w:pPr>
        <w:spacing w:before="0" w:after="200"/>
        <w:rPr>
          <w:noProof/>
        </w:rPr>
      </w:pPr>
      <w:r>
        <w:rPr>
          <w:noProof/>
        </w:rPr>
        <w:t>Opfyldelsen af de mål, der er omhandlet i artikel 4, vurderes på grundlag af følgende indikatorer, fordelt på medlemsstat og indsatsområde.</w:t>
      </w:r>
    </w:p>
    <w:p>
      <w:pPr>
        <w:spacing w:before="0" w:after="200"/>
        <w:rPr>
          <w:noProof/>
        </w:rPr>
      </w:pPr>
      <w:r>
        <w:rPr>
          <w:noProof/>
        </w:rPr>
        <w:t xml:space="preserve">Indikatorerne skal anvendes i overensstemmelse med de tilgængelige data og oplysninger, herunder kvantitative og/eller kvalitative data. </w:t>
      </w:r>
    </w:p>
    <w:p>
      <w:pPr>
        <w:tabs>
          <w:tab w:val="num" w:pos="850"/>
        </w:tabs>
        <w:spacing w:before="0" w:after="200"/>
        <w:ind w:left="850" w:hanging="850"/>
        <w:rPr>
          <w:b/>
          <w:noProof/>
        </w:rPr>
      </w:pPr>
      <w:r>
        <w:rPr>
          <w:noProof/>
        </w:rPr>
        <w:tab/>
      </w:r>
      <w:r>
        <w:rPr>
          <w:b/>
          <w:noProof/>
        </w:rPr>
        <w:t>Outputindikatorer:</w:t>
      </w:r>
    </w:p>
    <w:p>
      <w:pPr>
        <w:pStyle w:val="Point1"/>
        <w:rPr>
          <w:noProof/>
        </w:rPr>
      </w:pPr>
      <w:r>
        <w:rPr>
          <w:noProof/>
        </w:rPr>
        <w:t>a)</w:t>
      </w:r>
      <w:r>
        <w:rPr>
          <w:noProof/>
        </w:rPr>
        <w:tab/>
        <w:t>antal genopretnings- og resiliensplaner godkendt ved Kommissionens gennemførelsesretsakt</w:t>
      </w:r>
    </w:p>
    <w:p>
      <w:pPr>
        <w:pStyle w:val="Point1"/>
        <w:rPr>
          <w:noProof/>
          <w:u w:val="single"/>
        </w:rPr>
      </w:pPr>
      <w:r>
        <w:rPr>
          <w:noProof/>
        </w:rPr>
        <w:t>b)</w:t>
      </w:r>
      <w:r>
        <w:rPr>
          <w:noProof/>
        </w:rPr>
        <w:tab/>
        <w:t>samlet finansielt bidrag tildelt til genopretnings- og resiliensplanen</w:t>
      </w:r>
    </w:p>
    <w:p>
      <w:pPr>
        <w:tabs>
          <w:tab w:val="num" w:pos="850"/>
        </w:tabs>
        <w:spacing w:before="0" w:after="200"/>
        <w:ind w:left="850" w:hanging="850"/>
        <w:rPr>
          <w:noProof/>
          <w:u w:val="single"/>
        </w:rPr>
      </w:pPr>
      <w:r>
        <w:rPr>
          <w:noProof/>
        </w:rPr>
        <w:tab/>
      </w:r>
      <w:r>
        <w:rPr>
          <w:b/>
          <w:noProof/>
        </w:rPr>
        <w:t>Resultatindikatorer</w:t>
      </w:r>
      <w:r>
        <w:rPr>
          <w:noProof/>
        </w:rPr>
        <w:t>:</w:t>
      </w:r>
      <w:r>
        <w:rPr>
          <w:noProof/>
          <w:u w:val="single"/>
        </w:rPr>
        <w:t xml:space="preserve"> </w:t>
      </w:r>
    </w:p>
    <w:p>
      <w:pPr>
        <w:pStyle w:val="Point1"/>
        <w:rPr>
          <w:noProof/>
          <w:u w:val="single"/>
        </w:rPr>
      </w:pPr>
      <w:r>
        <w:rPr>
          <w:noProof/>
        </w:rPr>
        <w:t>c)</w:t>
      </w:r>
      <w:r>
        <w:rPr>
          <w:noProof/>
        </w:rPr>
        <w:tab/>
        <w:t>antal gennemførte genopretnings- og resiliensplaner</w:t>
      </w:r>
      <w:r>
        <w:rPr>
          <w:noProof/>
          <w:u w:val="single"/>
        </w:rPr>
        <w:t xml:space="preserve"> </w:t>
      </w:r>
    </w:p>
    <w:p>
      <w:pPr>
        <w:spacing w:before="0" w:after="200"/>
        <w:rPr>
          <w:b/>
          <w:noProof/>
          <w:u w:val="single"/>
        </w:rPr>
      </w:pPr>
      <w:r>
        <w:rPr>
          <w:b/>
          <w:noProof/>
          <w:u w:val="single"/>
        </w:rPr>
        <w:t>Virkningsindikatorer indført ved denne forordning</w:t>
      </w:r>
    </w:p>
    <w:p>
      <w:pPr>
        <w:pStyle w:val="Point1"/>
        <w:rPr>
          <w:noProof/>
        </w:rPr>
      </w:pPr>
      <w:r>
        <w:rPr>
          <w:noProof/>
        </w:rPr>
        <w:t>d)</w:t>
      </w:r>
      <w:r>
        <w:rPr>
          <w:noProof/>
        </w:rPr>
        <w:tab/>
        <w:t>De mål i genopretnings- og resiliensplanen, som er blevet nået bl.a. ved hjælp af den samlede finansielle støtte (herunder, hvis det er relevant, lånestøtten), der er modtaget inden for rammerne af genopretnings- og resiliensfaciliteten, som oprettes ved denne forordning.</w:t>
      </w:r>
    </w:p>
    <w:p>
      <w:pPr>
        <w:spacing w:before="0" w:after="200"/>
        <w:rPr>
          <w:noProof/>
        </w:rPr>
      </w:pPr>
      <w:r>
        <w:rPr>
          <w:noProof/>
        </w:rPr>
        <w:t>Den efterfølgende evaluering som omhandlet i artikel 25 foretages af Kommissionen bl.a. med henblik på at etablere sammenhæng mellem den samlede finansielle støtte (herunder, hvis det er relevant, lånestøtten) fra genopretnings- og resiliensfaciliteten og gennemførelsen af de relevante foranstaltninger i den berørte medlemsstat med henblik på at styrke genopretningen, resiliensen, bæredygtig vækst, beskæftigelsen og samhørigheden.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062B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22A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E83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E9CF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5055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25C6F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B09BD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9027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5:22: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80"/>
    <w:docVar w:name="DQCResult_UnknownFonts" w:val="0;0"/>
    <w:docVar w:name="DQCResult_UnknownStyles" w:val="0;1"/>
    <w:docVar w:name="DQCStatus" w:val="Green"/>
    <w:docVar w:name="DQCVersion" w:val="3"/>
    <w:docVar w:name="DQCWithWarnings" w:val="0"/>
    <w:docVar w:name="LW_ACCOMPAGNANT" w:val="til forslag til"/>
    <w:docVar w:name="LW_ACCOMPAGNANT.CP" w:val="til forslag til"/>
    <w:docVar w:name="LW_ANNEX_NBR_FIRST" w:val="1"/>
    <w:docVar w:name="LW_ANNEX_NBR_LAST" w:val="3"/>
    <w:docVar w:name="LW_ANNEX_UNIQUE" w:val="0"/>
    <w:docVar w:name="LW_CORRIGENDUM" w:val="&lt;UNUSED&gt;"/>
    <w:docVar w:name="LW_COVERPAGE_EXISTS" w:val="True"/>
    <w:docVar w:name="LW_COVERPAGE_GUID" w:val="F91C89F7-9A51-4ACC-A6D9-3892B6A7422F"/>
    <w:docVar w:name="LW_COVERPAGE_TYPE" w:val="1"/>
    <w:docVar w:name="LW_CROSSREFERENCE" w:val="&lt;UNUSED&gt;"/>
    <w:docVar w:name="LW_DocType" w:val="ANNEX"/>
    <w:docVar w:name="LW_EMISSION" w:val="28.5.2020"/>
    <w:docVar w:name="LW_EMISSION_ISODATE" w:val="2020-05-28"/>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oprettelse af en genopretnings- og resiliensfacilitet"/>
    <w:docVar w:name="LW_OBJETACTEPRINCIPAL.CP" w:val="om oprettelse af en genopretnings- og resiliensfacilitet"/>
    <w:docVar w:name="LW_PART_NBR" w:val="&lt;UNUSED&gt;"/>
    <w:docVar w:name="LW_PART_NBR_TOTAL" w:val="&lt;UNUSED&gt;"/>
    <w:docVar w:name="LW_REF.INST.NEW" w:val="COM"/>
    <w:docVar w:name="LW_REF.INST.NEW_ADOPTED" w:val="final"/>
    <w:docVar w:name="LW_REF.INST.NEW_TEXT" w:val="(2020) 4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EUROPA-PARLAMENTETS OG RÅDETS FORORDNING"/>
    <w:docVar w:name="LW_TYPEACTEPRINCIPAL.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ListBulletLevel2">
    <w:name w:val="List Bullet (Level 2)"/>
    <w:basedOn w:val="Text1"/>
    <w:pPr>
      <w:tabs>
        <w:tab w:val="num" w:pos="567"/>
      </w:tabs>
      <w:spacing w:before="0" w:after="240"/>
      <w:ind w:left="567" w:hanging="284"/>
    </w:pPr>
    <w:rPr>
      <w:rFonts w:eastAsia="Times New Roman"/>
      <w:szCs w:val="2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7943">
      <w:bodyDiv w:val="1"/>
      <w:marLeft w:val="0"/>
      <w:marRight w:val="0"/>
      <w:marTop w:val="0"/>
      <w:marBottom w:val="0"/>
      <w:divBdr>
        <w:top w:val="none" w:sz="0" w:space="0" w:color="auto"/>
        <w:left w:val="none" w:sz="0" w:space="0" w:color="auto"/>
        <w:bottom w:val="none" w:sz="0" w:space="0" w:color="auto"/>
        <w:right w:val="none" w:sz="0" w:space="0" w:color="auto"/>
      </w:divBdr>
    </w:div>
    <w:div w:id="12701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737B-8917-4707-8BBB-30A2387A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11</Pages>
  <Words>2494</Words>
  <Characters>16092</Characters>
  <Application>Microsoft Office Word</Application>
  <DocSecurity>0</DocSecurity>
  <Lines>402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AMUZAN Andreea Gabriela (REFORM)</dc:creator>
  <cp:keywords/>
  <dc:description/>
  <cp:lastModifiedBy>DIGIT/C6</cp:lastModifiedBy>
  <cp:revision>11</cp:revision>
  <dcterms:created xsi:type="dcterms:W3CDTF">2020-06-01T15:06:00Z</dcterms:created>
  <dcterms:modified xsi:type="dcterms:W3CDTF">2020-06-02T13:22:00Z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