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BD1680B-33A7-4B01-9134-7D16B52F0D2E" style="width:451.35pt;height:365.35pt">
            <v:imagedata r:id="rId9" o:title=""/>
          </v:shape>
        </w:pict>
      </w:r>
    </w:p>
    <w:p>
      <w:pPr>
        <w:rPr>
          <w:noProof/>
          <w:szCs w:val="24"/>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szCs w:val="24"/>
        </w:rPr>
        <w:lastRenderedPageBreak/>
        <w:t>DÔVODOVÁ SPRÁVA</w:t>
      </w:r>
    </w:p>
    <w:p>
      <w:pPr>
        <w:pStyle w:val="ManualHeading1"/>
        <w:rPr>
          <w:noProof/>
          <w:szCs w:val="24"/>
        </w:rPr>
      </w:pPr>
      <w:r>
        <w:rPr>
          <w:noProof/>
          <w:szCs w:val="24"/>
        </w:rPr>
        <w:t>1.</w:t>
      </w:r>
      <w:r>
        <w:rPr>
          <w:noProof/>
          <w:szCs w:val="24"/>
        </w:rPr>
        <w:tab/>
        <w:t>KONTEXT NÁVRHU</w:t>
      </w:r>
    </w:p>
    <w:p>
      <w:pPr>
        <w:pStyle w:val="ManualHeading2"/>
        <w:rPr>
          <w:rFonts w:eastAsia="Arial Unicode MS"/>
          <w:noProof/>
          <w:szCs w:val="24"/>
        </w:rPr>
      </w:pPr>
      <w:r>
        <w:rPr>
          <w:noProof/>
          <w:color w:val="000000"/>
          <w:szCs w:val="24"/>
          <w:u w:color="000000"/>
          <w:bdr w:val="nil"/>
        </w:rPr>
        <w:t>•</w:t>
      </w:r>
      <w:r>
        <w:rPr>
          <w:noProof/>
          <w:szCs w:val="24"/>
        </w:rPr>
        <w:tab/>
        <w:t>Dôvody a ciele návrhu</w:t>
      </w:r>
    </w:p>
    <w:p>
      <w:pPr>
        <w:keepNext/>
        <w:tabs>
          <w:tab w:val="left" w:pos="0"/>
        </w:tabs>
        <w:outlineLvl w:val="1"/>
        <w:rPr>
          <w:rFonts w:eastAsia="Calibri"/>
          <w:noProof/>
          <w:szCs w:val="24"/>
        </w:rPr>
      </w:pPr>
      <w:r>
        <w:rPr>
          <w:noProof/>
          <w:szCs w:val="24"/>
        </w:rPr>
        <w:t>Priame a nepriame dôsledky pandémie COVID-19 sú vo všetkých členských štátoch stále markantnejšie. Súčasná situácia je bezprecedentná a okolnosti si vyžadujú výnimočné a prispôsobené opatrenia vrátane podpory pre najodkázanejšie osoby, ktorú poskytuje Fond európskej pomoci pre najodkázanejšie osoby (FEAD). Kríza prináša najodkázanejším osobám nielen osobitné riziká, ale prehlbuje aj ich ekonomické ťažkosti. Najzraniteľnejšie osoby v spoločnosti budú pravdepodobne najviac zasiahnuté sociálno-ekonomickými dôsledkami krízy. Okrem toho vzhľadom na sociálne a ekonomické dôsledky pandémie COVID-19 stúpa počet najodkázanejších osôb.</w:t>
      </w:r>
    </w:p>
    <w:p>
      <w:pPr>
        <w:keepNext/>
        <w:tabs>
          <w:tab w:val="left" w:pos="0"/>
        </w:tabs>
        <w:outlineLvl w:val="1"/>
        <w:rPr>
          <w:rFonts w:eastAsia="Calibri"/>
          <w:noProof/>
          <w:szCs w:val="24"/>
        </w:rPr>
      </w:pPr>
      <w:r>
        <w:rPr>
          <w:noProof/>
          <w:szCs w:val="24"/>
        </w:rPr>
        <w:t>Prvá „Investičná iniciatíva v reakcii na koronavírus“ (Coronavirus Response Investment Initiative, CRII)</w:t>
      </w:r>
      <w:r>
        <w:rPr>
          <w:rStyle w:val="FootnoteReference"/>
          <w:rFonts w:eastAsia="Calibri"/>
          <w:noProof/>
          <w:szCs w:val="24"/>
        </w:rPr>
        <w:footnoteReference w:id="1"/>
      </w:r>
      <w:r>
        <w:rPr>
          <w:noProof/>
          <w:szCs w:val="24"/>
        </w:rPr>
        <w:t>, balík opatrení, ktorý nadobudol účinnosť 1. apríla 2020, zaviedla niekoľko dôležitých zmien legislatívneho rámca platného pre európske štrukturálne a investičné fondy, ktorými sa umožnilo účinnejšie reagovať na súčasnú situáciu. Doplňujúce opatrenia boli prijaté v rámci „Investičnej iniciatívy v reakcii na koronavírus Plus“ (CRII plus)</w:t>
      </w:r>
      <w:r>
        <w:rPr>
          <w:rStyle w:val="FootnoteReference"/>
          <w:rFonts w:eastAsia="Calibri"/>
          <w:noProof/>
          <w:szCs w:val="24"/>
        </w:rPr>
        <w:footnoteReference w:id="2"/>
      </w:r>
      <w:r>
        <w:rPr>
          <w:noProof/>
          <w:szCs w:val="24"/>
        </w:rPr>
        <w:t>. Uvedený balík obsahoval aj zmeny nariadenia (EÚ) č. 223/2014</w:t>
      </w:r>
      <w:r>
        <w:rPr>
          <w:rStyle w:val="FootnoteReference"/>
          <w:rFonts w:eastAsia="Calibri"/>
          <w:noProof/>
          <w:szCs w:val="24"/>
        </w:rPr>
        <w:footnoteReference w:id="3"/>
      </w:r>
      <w:r>
        <w:rPr>
          <w:noProof/>
          <w:szCs w:val="24"/>
        </w:rPr>
        <w:t xml:space="preserve"> (nariadenie o FEAD) zavedené nariadením Európskeho parlamentu a Rady (EÚ) 2020/559 z 23. apríla 2020</w:t>
      </w:r>
      <w:r>
        <w:rPr>
          <w:rStyle w:val="FootnoteReference"/>
          <w:rFonts w:eastAsia="Calibri"/>
          <w:noProof/>
          <w:szCs w:val="24"/>
        </w:rPr>
        <w:footnoteReference w:id="4"/>
      </w:r>
      <w:r>
        <w:rPr>
          <w:noProof/>
          <w:szCs w:val="24"/>
        </w:rPr>
        <w:t>, ktoré nadobudlo účinnosť 25. apríla 2020 a ktorým sa zavádzajú osobitné opatrenia týkajúce sa dodatočnej flexibility a likvidity pre členské štáty na riešenie pandémie COVID-19 v rámci FEAD.</w:t>
      </w:r>
    </w:p>
    <w:p>
      <w:pPr>
        <w:keepNext/>
        <w:tabs>
          <w:tab w:val="left" w:pos="0"/>
        </w:tabs>
        <w:outlineLvl w:val="1"/>
        <w:rPr>
          <w:rFonts w:eastAsia="Calibri"/>
          <w:noProof/>
          <w:szCs w:val="24"/>
        </w:rPr>
      </w:pPr>
      <w:r>
        <w:rPr>
          <w:noProof/>
          <w:szCs w:val="24"/>
        </w:rPr>
        <w:t>Situácia sa pomaly vyvíja a mnohé regióny a členské štáty sa pripravujú na opatrné zmierňovanie obmedzení pre svojich obyvateľov a podniky, ako aj na znovunaštartovanie svojho hospodárstva. Priame a nepriame účinky krízy si však v mnohých odvetviach už vybrali svoju daň. Proces obnovy bude istý čas trvať a nemožno vylúčiť ani potrebu ďalších opatrení na obmedzenie pohybu. V tejto súvislosti hrozí vážne riziko, že počet ľudí trpiacich potravinovou a materiálnou depriváciou sa zvýši, a preto je potrebné prijať ďalšie opatrenia s cieľom reagovať na sociálne dôsledky pandémie COVID-19 a zabezpečiť sociálne spravodlivú obnovu v súlade s Európskym pilierom sociálnych práv.</w:t>
      </w:r>
    </w:p>
    <w:p>
      <w:pPr>
        <w:keepNext/>
        <w:tabs>
          <w:tab w:val="left" w:pos="0"/>
        </w:tabs>
        <w:outlineLvl w:val="1"/>
        <w:rPr>
          <w:rFonts w:eastAsia="Calibri"/>
          <w:noProof/>
          <w:szCs w:val="24"/>
        </w:rPr>
      </w:pPr>
      <w:r>
        <w:rPr>
          <w:noProof/>
          <w:szCs w:val="24"/>
        </w:rPr>
        <w:t xml:space="preserve">Komisia síce navrhla mimoriadne opatrenia, ktoré poskytli najväčšiu možnú flexibilitu a podporu subjektom verejného sektora, partnerským organizáciám a iným aktérom zapojeným do implementácie FEAD, no členské štáty čelia nedostatku likvidity na to, aby mohli reagovať na krízu spôsobenú pandémiou COVID-19 a na rastúce potreby na mieste. </w:t>
      </w:r>
    </w:p>
    <w:p>
      <w:pPr>
        <w:keepNext/>
        <w:tabs>
          <w:tab w:val="left" w:pos="0"/>
        </w:tabs>
        <w:outlineLvl w:val="1"/>
        <w:rPr>
          <w:rFonts w:eastAsia="Calibri"/>
          <w:noProof/>
          <w:szCs w:val="24"/>
        </w:rPr>
      </w:pPr>
      <w:r>
        <w:rPr>
          <w:noProof/>
          <w:szCs w:val="24"/>
        </w:rPr>
        <w:t xml:space="preserve">S cieľom pomôcť členským štátom, aby mohli účinne reagovať na pandémiu COVID-19 vrátane jej sociálnych a ekonomických dôsledkov, je preto potrebné prijať dodatočné opatrenia, okrem iného aj zvýšiť dostupné zdroje pre Európsky fond regionálneho rozvoja </w:t>
      </w:r>
      <w:r>
        <w:rPr>
          <w:noProof/>
          <w:szCs w:val="24"/>
        </w:rPr>
        <w:lastRenderedPageBreak/>
        <w:t>(EFRR), Európsky sociálny fond (ESF) a FEAD. Komisia v tejto súvislosti navrhuje novú zmenu nariadenia o spoločných ustanoveniach (NSU) (REACT-EU)</w:t>
      </w:r>
      <w:r>
        <w:rPr>
          <w:rStyle w:val="FootnoteReference"/>
          <w:rFonts w:eastAsia="Calibri"/>
          <w:noProof/>
          <w:szCs w:val="24"/>
        </w:rPr>
        <w:footnoteReference w:id="5"/>
      </w:r>
      <w:r>
        <w:rPr>
          <w:noProof/>
          <w:szCs w:val="24"/>
        </w:rPr>
        <w:t xml:space="preserve"> a nariadenia o FEAD v reakcii na pandémiu COVID-19, aby sa sprístupnili dodatočné zdroje pre tieto fondy na roky 2020, 2021 a 2022. </w:t>
      </w:r>
    </w:p>
    <w:p>
      <w:pPr>
        <w:pBdr>
          <w:top w:val="nil"/>
          <w:left w:val="nil"/>
          <w:bottom w:val="nil"/>
          <w:right w:val="nil"/>
          <w:between w:val="nil"/>
          <w:bar w:val="nil"/>
        </w:pBdr>
        <w:spacing w:before="0" w:after="240"/>
        <w:rPr>
          <w:noProof/>
          <w:szCs w:val="24"/>
        </w:rPr>
      </w:pPr>
      <w:r>
        <w:rPr>
          <w:noProof/>
          <w:szCs w:val="24"/>
        </w:rPr>
        <w:t xml:space="preserve">Dodatočné zdroje na rok 2020 pochádzajú zo zvýšenia celkových zdrojov na hospodársku, sociálnu a územnú súdržnosť vo viacročnom finančnom rámci na roky 2014 – 2020. Na dodatočné zdroje na roky 2021 a 2022 sa použijú vonkajšie pripísané príjmy, ktoré plynú z [Európskeho nástroja obnovy]. </w:t>
      </w:r>
    </w:p>
    <w:p>
      <w:pPr>
        <w:pBdr>
          <w:top w:val="nil"/>
          <w:left w:val="nil"/>
          <w:bottom w:val="nil"/>
          <w:right w:val="nil"/>
          <w:between w:val="nil"/>
          <w:bar w:val="nil"/>
        </w:pBdr>
        <w:spacing w:before="0" w:after="240"/>
        <w:rPr>
          <w:rFonts w:eastAsia="Calibri"/>
          <w:noProof/>
          <w:szCs w:val="24"/>
        </w:rPr>
      </w:pPr>
      <w:r>
        <w:rPr>
          <w:noProof/>
          <w:szCs w:val="24"/>
        </w:rPr>
        <w:t>Tieto sumy sa rozdelia medzi členské štáty s prihliadnutím na ich relatívnu prosperitu a rozsah účinkov súčasnej krízy na ich hospodárstvo a spoločnosť. Na podnet Komisie treba 0,35 % dodatočných zdrojov prideliť na technickú pomoc. Odchylne od pravidiel platných pre vonkajšie pripísané príjmy, ktoré sa stanovujú v nariadení o rozpočtových pravidlách, sa uvedené dodatočné zdroje po pridelení na operačné programy riadia platnými pravidlami stanovenými v nariadení o spoločných ustanoveniach a v nariadení o FEAD vrátane pravidiel, ktoré sa týkajú záväzkov a zrušení viazanosti.</w:t>
      </w:r>
    </w:p>
    <w:p>
      <w:pPr>
        <w:pBdr>
          <w:top w:val="nil"/>
          <w:left w:val="nil"/>
          <w:bottom w:val="nil"/>
          <w:right w:val="nil"/>
          <w:between w:val="nil"/>
          <w:bar w:val="nil"/>
        </w:pBdr>
        <w:spacing w:before="0" w:after="240"/>
        <w:rPr>
          <w:rFonts w:eastAsia="Calibri"/>
          <w:noProof/>
          <w:szCs w:val="24"/>
        </w:rPr>
      </w:pPr>
      <w:r>
        <w:rPr>
          <w:noProof/>
          <w:szCs w:val="24"/>
        </w:rPr>
        <w:t>Členské štáty môžu tieto sumy využiť v rámci cieľa Investovanie do rastu a zamestnanosti, a to na podporu operácií zameraných na nápravu dôsledkov krízy v kontexte pandémie COVID-19 v regiónoch, ktorých hospodárstvo a zamestnanosť boli najviac zasiahnuté, a na prípravu oživenia ich hospodárstva prostredníctvom EFRR alebo ESF alebo na zvýšenie prostriedkov alokovaných na programy podporované z FEAD.</w:t>
      </w:r>
    </w:p>
    <w:p>
      <w:pPr>
        <w:pBdr>
          <w:top w:val="nil"/>
          <w:left w:val="nil"/>
          <w:bottom w:val="nil"/>
          <w:right w:val="nil"/>
          <w:between w:val="nil"/>
          <w:bar w:val="nil"/>
        </w:pBdr>
        <w:spacing w:before="0" w:after="240"/>
        <w:rPr>
          <w:rFonts w:eastAsia="Calibri"/>
          <w:noProof/>
          <w:szCs w:val="24"/>
        </w:rPr>
      </w:pPr>
      <w:r>
        <w:rPr>
          <w:noProof/>
          <w:szCs w:val="24"/>
        </w:rPr>
        <w:t>Členské štáty si môžu podľa svojich osobitných potrieb dobrovoľne zvoliť, či alokovať dodatočné zdroje na FEAD. Pri zvažovaní tejto možnosti by mali venovať náležitú pozornosť zvýšeniu počtu najodkázanejších osôb od vypuknutia pandémie COVID-19.</w:t>
      </w:r>
    </w:p>
    <w:p>
      <w:pPr>
        <w:pBdr>
          <w:top w:val="nil"/>
          <w:left w:val="nil"/>
          <w:bottom w:val="nil"/>
          <w:right w:val="nil"/>
          <w:between w:val="nil"/>
          <w:bar w:val="nil"/>
        </w:pBdr>
        <w:spacing w:before="0" w:after="240"/>
        <w:rPr>
          <w:rFonts w:eastAsia="Calibri"/>
          <w:noProof/>
          <w:szCs w:val="24"/>
        </w:rPr>
      </w:pPr>
      <w:r>
        <w:rPr>
          <w:noProof/>
          <w:szCs w:val="24"/>
        </w:rPr>
        <w:t>Komisia navyše v súlade s predkladanými zmenami nariadenia o spoločných ustanoveniach (zmeny týkajúce sa REACT-EU)</w:t>
      </w:r>
      <w:r>
        <w:rPr>
          <w:rStyle w:val="FootnoteReference"/>
          <w:rFonts w:eastAsia="Calibri"/>
          <w:noProof/>
          <w:szCs w:val="24"/>
        </w:rPr>
        <w:footnoteReference w:id="6"/>
      </w:r>
      <w:r>
        <w:rPr>
          <w:noProof/>
          <w:szCs w:val="24"/>
        </w:rPr>
        <w:t xml:space="preserve"> navrhuje zaviesť dodatočné opatrenia, ktoré zabezpečia väčšiu likviditu pre členské štáty najmä tým, že im v prípade zvýšenia zdrojov v rámci FEAD umožnia získať predbežné financovanie v značnej výške, a ich oslobodením od povinnosti podieľať sa národným príspevkom na zvýšených zdrojoch. Podobne ako pri návrhu pre nariadenie o spoločných ustanoveniach (zmeny týkajúce sa REACT-EU) a vzhľadom na potrebu zabezpečiť, aby sa tieto dodatočné zdroje rýchlo vynaložili na investície na mieste a premietli sa do reálnej ekonomiky, sa nenavrhuje predĺžiť konečný termín oprávnenosti, ktorým je naďalej 31. december 2023 – aj pre dodatočné zdroje (pre výdavky vynaložené na úrovni prijímateľov). Objasňuje sa však, že viazanosť záväzkov, ktoré sa týkajú dodatočných zdrojov, sa zruší v súlade s pravidlami ukončovania programov (t. j. v roku 2025 po predložení potrebných dokumentov podľa článku 52). Takisto sa plánuje úprava systému elektronickej výmeny informácií používaného na úradné výmeny medzi Komisiou a členskými štátmi podľa článku 30 ods. 4, aby členským štátom umožňoval bezodkladne predkladať žiadosti o zmeny operačného programu týkajúce sa prideľovania dodatočných zdrojov na roky 2020, 2021 a 2022.</w:t>
      </w:r>
    </w:p>
    <w:p>
      <w:pPr>
        <w:keepNext/>
        <w:tabs>
          <w:tab w:val="left" w:pos="0"/>
        </w:tabs>
        <w:outlineLvl w:val="1"/>
        <w:rPr>
          <w:rFonts w:eastAsia="Calibri"/>
          <w:noProof/>
          <w:szCs w:val="24"/>
        </w:rPr>
      </w:pPr>
      <w:r>
        <w:rPr>
          <w:noProof/>
          <w:szCs w:val="24"/>
        </w:rPr>
        <w:lastRenderedPageBreak/>
        <w:t>Pandémia COVID-19 mala aj neprimeraný sociálno-ekonomický vplyv na ženy. Členské štáty by preto pri operáciách mali náležite zohľadniť dodržiavanie horizontálnej zásady rodovej rovnosti stanovenej v článku 5 ods. 11 nariadenia o FEAD.</w:t>
      </w:r>
    </w:p>
    <w:p>
      <w:pPr>
        <w:keepNext/>
        <w:tabs>
          <w:tab w:val="left" w:pos="0"/>
        </w:tabs>
        <w:outlineLvl w:val="1"/>
        <w:rPr>
          <w:rFonts w:eastAsia="Calibri"/>
          <w:noProof/>
          <w:szCs w:val="24"/>
        </w:rPr>
      </w:pPr>
      <w:r>
        <w:rPr>
          <w:noProof/>
          <w:szCs w:val="24"/>
        </w:rPr>
        <w:t>Komisia takisto navrhuje dodatočné ustanovenia, ktoré členským štátom poskytujú flexibilitu pri využívaní technickej pomoci.</w:t>
      </w:r>
    </w:p>
    <w:p>
      <w:pPr>
        <w:pStyle w:val="ManualHeading2"/>
        <w:rPr>
          <w:rFonts w:eastAsia="Arial Unicode MS"/>
          <w:noProof/>
          <w:color w:val="000000"/>
          <w:szCs w:val="24"/>
          <w:u w:color="000000"/>
          <w:bdr w:val="nil"/>
        </w:rPr>
      </w:pPr>
      <w:r>
        <w:rPr>
          <w:noProof/>
          <w:color w:val="000000"/>
          <w:szCs w:val="24"/>
          <w:u w:color="000000"/>
          <w:bdr w:val="nil"/>
        </w:rPr>
        <w:t>•</w:t>
      </w:r>
      <w:r>
        <w:rPr>
          <w:noProof/>
          <w:szCs w:val="24"/>
        </w:rPr>
        <w:tab/>
        <w:t>Súlad s existujúcimi ustanoveniami v tejto oblasti politiky</w:t>
      </w:r>
    </w:p>
    <w:p>
      <w:pPr>
        <w:pBdr>
          <w:top w:val="nil"/>
          <w:left w:val="nil"/>
          <w:bottom w:val="nil"/>
          <w:right w:val="nil"/>
          <w:between w:val="nil"/>
          <w:bar w:val="nil"/>
        </w:pBdr>
        <w:spacing w:after="240"/>
        <w:rPr>
          <w:rFonts w:eastAsia="Calibri"/>
          <w:noProof/>
          <w:szCs w:val="24"/>
        </w:rPr>
      </w:pPr>
      <w:r>
        <w:rPr>
          <w:noProof/>
          <w:szCs w:val="24"/>
        </w:rPr>
        <w:t>Tento návrh je v súlade s existujúcimi ustanoveniami v tejto oblasti politiky, najmä s ustanoveniami, ktoré Komisia navrhla v rámci nariadenia o spoločných ustanoveniach (zmeny týkajúce sa REACT-EU) v reakcii na šírenie ochorenia COVID-19 ako súčasť návrhu Komisie na zabezpečenie mimoriadnej flexibility pri využívaní EFRR a ESF v reakcii na pandémiu COVID-19.</w:t>
      </w:r>
    </w:p>
    <w:p>
      <w:pPr>
        <w:pStyle w:val="ManualHeading2"/>
        <w:rPr>
          <w:rFonts w:eastAsia="Arial Unicode MS"/>
          <w:noProof/>
          <w:szCs w:val="24"/>
        </w:rPr>
      </w:pPr>
      <w:r>
        <w:rPr>
          <w:noProof/>
          <w:color w:val="000000"/>
          <w:szCs w:val="24"/>
          <w:u w:color="000000"/>
          <w:bdr w:val="nil"/>
        </w:rPr>
        <w:t>•</w:t>
      </w:r>
      <w:r>
        <w:rPr>
          <w:noProof/>
          <w:szCs w:val="24"/>
        </w:rPr>
        <w:tab/>
        <w:t>Súlad s ostatnými politikami Únie</w:t>
      </w:r>
    </w:p>
    <w:p>
      <w:pPr>
        <w:pBdr>
          <w:top w:val="nil"/>
          <w:left w:val="nil"/>
          <w:bottom w:val="nil"/>
          <w:right w:val="nil"/>
          <w:between w:val="nil"/>
          <w:bar w:val="nil"/>
        </w:pBdr>
        <w:spacing w:after="240"/>
        <w:rPr>
          <w:rFonts w:eastAsia="Calibri"/>
          <w:noProof/>
          <w:szCs w:val="24"/>
        </w:rPr>
      </w:pPr>
      <w:r>
        <w:rPr>
          <w:noProof/>
          <w:szCs w:val="24"/>
        </w:rPr>
        <w:t xml:space="preserve">Návrh je v súlade s ostatnými návrhmi a iniciatívami prijatými Komisiou, najmä s návrhmi, ktoré Komisia prijala, pokiaľ ide o EFRR a ESF v reakcii na pandémiu COVID-19. </w:t>
      </w:r>
    </w:p>
    <w:p>
      <w:pPr>
        <w:pStyle w:val="ManualHeading1"/>
        <w:rPr>
          <w:noProof/>
          <w:szCs w:val="24"/>
        </w:rPr>
      </w:pPr>
      <w:r>
        <w:rPr>
          <w:noProof/>
          <w:szCs w:val="24"/>
        </w:rPr>
        <w:t>2.</w:t>
      </w:r>
      <w:r>
        <w:rPr>
          <w:noProof/>
          <w:szCs w:val="24"/>
        </w:rPr>
        <w:tab/>
        <w:t>PRÁVNY ZÁKLAD, SUBSIDIARITA A PROPORCIONALITA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Právny základ</w:t>
      </w:r>
    </w:p>
    <w:p>
      <w:pPr>
        <w:pBdr>
          <w:top w:val="nil"/>
          <w:left w:val="nil"/>
          <w:bottom w:val="nil"/>
          <w:right w:val="nil"/>
          <w:between w:val="nil"/>
          <w:bar w:val="nil"/>
        </w:pBdr>
        <w:spacing w:after="240"/>
        <w:rPr>
          <w:rFonts w:eastAsia="Calibri"/>
          <w:noProof/>
          <w:szCs w:val="24"/>
        </w:rPr>
      </w:pPr>
      <w:r>
        <w:rPr>
          <w:noProof/>
          <w:szCs w:val="24"/>
        </w:rPr>
        <w:t>Návrh sa zakladá na článku 175 ods. 3 Zmluvy o fungovaní Európskej únie. Poskytuje členským štátom možnosť zvýšiť zdroje v rámci FEAD, získať dodatočnú platbu v rámci predbežného financovania a oslobodzuje ich od povinnosti prispievať na dodatočné zdroje. Týmito výnimočnými zmenami nie sú dotknuté pravidlá, ktoré sa uplatňujú za bežných okolností.</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 xml:space="preserve">Subsidiarita (v prípade inej ako výlučnej právomoci) </w:t>
      </w:r>
    </w:p>
    <w:p>
      <w:pPr>
        <w:pStyle w:val="Body"/>
        <w:spacing w:after="240"/>
        <w:rPr>
          <w:noProof/>
          <w:lang w:val="sk-SK"/>
        </w:rPr>
      </w:pPr>
      <w:r>
        <w:rPr>
          <w:noProof/>
          <w:lang w:val="sk-SK"/>
        </w:rPr>
        <w:t>Návrh je v súlade so zásadou subsidiarity. Návrhom sa nemení spôsob poskytovania pomoci z fondu FEAD, na ktorý sa naďalej vzťahuje zdieľané riadenie.</w:t>
      </w:r>
    </w:p>
    <w:p>
      <w:pPr>
        <w:pStyle w:val="Body"/>
        <w:spacing w:after="240"/>
        <w:rPr>
          <w:noProof/>
          <w:lang w:val="sk-SK"/>
        </w:rPr>
      </w:pPr>
      <w:r>
        <w:rPr>
          <w:noProof/>
          <w:lang w:val="sk-SK"/>
        </w:rPr>
        <w:t>Zdieľané riadenie sa opiera o zásadu subsidiarity, keďže Komisia deleguje členským štátom úlohy týkajúce sa strategického programovania a implementačné úlohy. Takisto obmedzuje činnosť Únie na to, čo je nevyhnutné na dosiahnutie cieľov stanovených v zmluvách.</w:t>
      </w:r>
    </w:p>
    <w:p>
      <w:pPr>
        <w:pStyle w:val="Body"/>
        <w:spacing w:after="240"/>
        <w:rPr>
          <w:noProof/>
          <w:lang w:val="sk-SK"/>
        </w:rPr>
      </w:pPr>
      <w:r>
        <w:rPr>
          <w:noProof/>
          <w:lang w:val="sk-SK"/>
        </w:rPr>
        <w:t>Cieľom tohto návrhu, spolu s návrhom na zmenu nariadenia (EÚ) č. 1303/2013</w:t>
      </w:r>
      <w:r>
        <w:rPr>
          <w:rStyle w:val="FootnoteReference"/>
          <w:noProof/>
          <w:lang w:val="sk-SK"/>
        </w:rPr>
        <w:footnoteReference w:id="7"/>
      </w:r>
      <w:r>
        <w:rPr>
          <w:noProof/>
          <w:lang w:val="sk-SK"/>
        </w:rPr>
        <w:t xml:space="preserve">, je umožniť sprístupnenie dodatočných zdrojov. Jeho ďalším cieľom je objasniť pravidlá používania takýchto zdrojov v súvislosti s programami v rámci programového obdobia 2014 – 2020. </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Proporcionalita</w:t>
      </w:r>
    </w:p>
    <w:p>
      <w:pPr>
        <w:rPr>
          <w:rFonts w:eastAsia="Calibri"/>
          <w:noProof/>
          <w:szCs w:val="24"/>
        </w:rPr>
      </w:pPr>
      <w:r>
        <w:rPr>
          <w:noProof/>
          <w:szCs w:val="24"/>
        </w:rPr>
        <w:t>Návrh je primeraný a nezahŕňa ustanovenia, ktoré nie sú potrebné na dosiahnutie cieľov zmluvy. Obmedzuje sa na zmeny považované za potrebné na stanovenie pravidiel, ktoré sa majú dodržiavať v súvislosti s dodatočnými zdrojmi, a na riešenie problémov, ktorým čelia členské štáty počas krízy spôsobenej pandémiou COVID-19 v kontexte vykonávania FEAD.</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Výber nástroja</w:t>
      </w:r>
    </w:p>
    <w:p>
      <w:pPr>
        <w:pBdr>
          <w:top w:val="nil"/>
          <w:left w:val="nil"/>
          <w:bottom w:val="nil"/>
          <w:right w:val="nil"/>
          <w:between w:val="nil"/>
          <w:bar w:val="nil"/>
        </w:pBdr>
        <w:spacing w:after="240"/>
        <w:rPr>
          <w:rFonts w:eastAsia="Calibri"/>
          <w:noProof/>
          <w:szCs w:val="24"/>
        </w:rPr>
      </w:pPr>
      <w:r>
        <w:rPr>
          <w:noProof/>
          <w:szCs w:val="24"/>
        </w:rPr>
        <w:t xml:space="preserve">Zvoleným nástrojom je nariadenie Európskeho parlamentu a Rady, v súlade s riadnym legislatívnym postupom uvedeným v článku 175 ods. 3 zmluvy. Komisia preskúmala </w:t>
      </w:r>
      <w:r>
        <w:rPr>
          <w:noProof/>
          <w:szCs w:val="24"/>
        </w:rPr>
        <w:lastRenderedPageBreak/>
        <w:t xml:space="preserve">možnosti, ktoré poskytuje právny rámec, a považuje za potrebné navrhnúť zmeny nariadenia (EÚ) č. 223/2014. </w:t>
      </w:r>
    </w:p>
    <w:p>
      <w:pPr>
        <w:pStyle w:val="ManualHeading1"/>
        <w:rPr>
          <w:noProof/>
          <w:szCs w:val="24"/>
        </w:rPr>
      </w:pPr>
      <w:r>
        <w:rPr>
          <w:noProof/>
          <w:szCs w:val="24"/>
        </w:rPr>
        <w:t>3.</w:t>
      </w:r>
      <w:r>
        <w:rPr>
          <w:noProof/>
          <w:szCs w:val="24"/>
        </w:rPr>
        <w:tab/>
        <w:t xml:space="preserve">VÝSLEDKY HODNOTENÍ </w:t>
      </w:r>
      <w:r>
        <w:rPr>
          <w:i/>
          <w:noProof/>
          <w:szCs w:val="24"/>
        </w:rPr>
        <w:t>EX POST</w:t>
      </w:r>
      <w:r>
        <w:rPr>
          <w:noProof/>
          <w:szCs w:val="24"/>
        </w:rPr>
        <w:t>, KONZULTÁCIÍ SO ZAINTERESOVANÝMI STRANAMI A POSÚDENÍ VPLYVU</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 xml:space="preserve">Hodnotenia </w:t>
      </w:r>
      <w:r>
        <w:rPr>
          <w:i/>
          <w:noProof/>
          <w:szCs w:val="24"/>
          <w:u w:color="000000"/>
          <w:bdr w:val="nil"/>
        </w:rPr>
        <w:t>ex post</w:t>
      </w:r>
      <w:r>
        <w:rPr>
          <w:noProof/>
          <w:szCs w:val="24"/>
          <w:u w:color="000000"/>
          <w:bdr w:val="nil"/>
        </w:rPr>
        <w:t>/kontroly vhodnosti existujúcich právnych predpisov</w:t>
      </w:r>
    </w:p>
    <w:p>
      <w:pPr>
        <w:pBdr>
          <w:top w:val="nil"/>
          <w:left w:val="nil"/>
          <w:bottom w:val="nil"/>
          <w:right w:val="nil"/>
          <w:between w:val="nil"/>
          <w:bar w:val="nil"/>
        </w:pBdr>
        <w:spacing w:after="240"/>
        <w:rPr>
          <w:rFonts w:eastAsia="Arial Unicode MS"/>
          <w:noProof/>
          <w:szCs w:val="24"/>
        </w:rPr>
      </w:pPr>
      <w:r>
        <w:rPr>
          <w:noProof/>
          <w:szCs w:val="24"/>
        </w:rPr>
        <w:t xml:space="preserve">Vzhľadom na osobitné okolnosti tohto návrhu sa neuskutočnili žiadne hodnotenia </w:t>
      </w:r>
      <w:r>
        <w:rPr>
          <w:i/>
          <w:noProof/>
          <w:szCs w:val="24"/>
        </w:rPr>
        <w:t>ex post</w:t>
      </w:r>
      <w:r>
        <w:rPr>
          <w:noProof/>
          <w:szCs w:val="24"/>
        </w:rPr>
        <w:t>/alebo kontroly vhodnosti existujúcich právnych predpisov.</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Konzultácie so zainteresovanými stranami</w:t>
      </w:r>
    </w:p>
    <w:p>
      <w:pPr>
        <w:pBdr>
          <w:top w:val="nil"/>
          <w:left w:val="nil"/>
          <w:bottom w:val="nil"/>
          <w:right w:val="nil"/>
          <w:between w:val="nil"/>
          <w:bar w:val="nil"/>
        </w:pBdr>
        <w:spacing w:after="240"/>
        <w:rPr>
          <w:rFonts w:eastAsia="Arial Unicode MS"/>
          <w:noProof/>
          <w:szCs w:val="24"/>
        </w:rPr>
      </w:pPr>
      <w:r>
        <w:rPr>
          <w:noProof/>
          <w:szCs w:val="24"/>
        </w:rPr>
        <w:t>Vzhľadom na osobitné okolnosti tohto návrhu sa neuskutočnili žiadne konzultácie s externými zainteresovanými stranami.</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Získavanie a využívanie expertízy</w:t>
      </w:r>
    </w:p>
    <w:p>
      <w:pPr>
        <w:pBdr>
          <w:top w:val="nil"/>
          <w:left w:val="nil"/>
          <w:bottom w:val="nil"/>
          <w:right w:val="nil"/>
          <w:between w:val="nil"/>
          <w:bar w:val="nil"/>
        </w:pBdr>
        <w:spacing w:after="240"/>
        <w:rPr>
          <w:rFonts w:eastAsia="Arial Unicode MS"/>
          <w:noProof/>
          <w:szCs w:val="24"/>
        </w:rPr>
      </w:pPr>
      <w:r>
        <w:rPr>
          <w:noProof/>
          <w:szCs w:val="24"/>
        </w:rPr>
        <w:t>Využitie externej expertízy nebolo potrebné.</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Posúdenie vplyvu</w:t>
      </w:r>
    </w:p>
    <w:p>
      <w:pPr>
        <w:pBdr>
          <w:top w:val="nil"/>
          <w:left w:val="nil"/>
          <w:bottom w:val="nil"/>
          <w:right w:val="nil"/>
          <w:between w:val="nil"/>
          <w:bar w:val="nil"/>
        </w:pBdr>
        <w:spacing w:after="240"/>
        <w:rPr>
          <w:rFonts w:eastAsia="Arial Unicode MS"/>
          <w:noProof/>
          <w:szCs w:val="24"/>
        </w:rPr>
      </w:pPr>
      <w:r>
        <w:rPr>
          <w:noProof/>
          <w:szCs w:val="24"/>
        </w:rPr>
        <w:t>Neuplatňuje sa.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Regulačná vhodnosť a zjednodušenie</w:t>
      </w:r>
    </w:p>
    <w:p>
      <w:pPr>
        <w:rPr>
          <w:rFonts w:eastAsia="Calibri"/>
          <w:noProof/>
          <w:szCs w:val="24"/>
        </w:rPr>
      </w:pPr>
      <w:r>
        <w:rPr>
          <w:noProof/>
          <w:szCs w:val="24"/>
        </w:rPr>
        <w:t>Nejde o iniciatívu v rámci Programu regulačnej vhodnosti a efektívnosti (REFIT).</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Základné práva</w:t>
      </w:r>
    </w:p>
    <w:p>
      <w:pPr>
        <w:pBdr>
          <w:top w:val="nil"/>
          <w:left w:val="nil"/>
          <w:bottom w:val="nil"/>
          <w:right w:val="nil"/>
          <w:between w:val="nil"/>
          <w:bar w:val="nil"/>
        </w:pBdr>
        <w:spacing w:after="240"/>
        <w:rPr>
          <w:rFonts w:eastAsia="Arial Unicode MS"/>
          <w:noProof/>
          <w:szCs w:val="24"/>
        </w:rPr>
      </w:pPr>
      <w:r>
        <w:rPr>
          <w:noProof/>
          <w:szCs w:val="24"/>
        </w:rPr>
        <w:t>Návrh nemá žiadne dôsledky z hľadiska ochrany základných práv.</w:t>
      </w:r>
    </w:p>
    <w:p>
      <w:pPr>
        <w:pStyle w:val="ManualHeading1"/>
        <w:rPr>
          <w:noProof/>
          <w:szCs w:val="24"/>
        </w:rPr>
      </w:pPr>
      <w:r>
        <w:rPr>
          <w:noProof/>
          <w:szCs w:val="24"/>
        </w:rPr>
        <w:t>4.</w:t>
      </w:r>
      <w:r>
        <w:rPr>
          <w:noProof/>
          <w:szCs w:val="24"/>
        </w:rPr>
        <w:tab/>
        <w:t>VPLYV NA ROZPOČET</w:t>
      </w:r>
    </w:p>
    <w:p>
      <w:pPr>
        <w:rPr>
          <w:rFonts w:eastAsia="Times New Roman"/>
          <w:noProof/>
          <w:color w:val="000000"/>
          <w:szCs w:val="24"/>
          <w:u w:color="000000"/>
          <w:bdr w:val="nil"/>
          <w14:textOutline w14:w="0" w14:cap="flat" w14:cmpd="sng" w14:algn="ctr">
            <w14:noFill/>
            <w14:prstDash w14:val="solid"/>
            <w14:bevel/>
          </w14:textOutline>
        </w:rPr>
      </w:pPr>
      <w:r>
        <w:rPr>
          <w:noProof/>
          <w:szCs w:val="24"/>
        </w:rPr>
        <w:t>Návrh povedie k vytvoreniu dodatočných záväzkov v roku 2020 financovaných zo zvýšenia stropu viacročného finančného rámca na roky 2014 – 2020. Takisto povedie k vytvoreniu dodatočných záväzkov na roky 2021 a 2022 financovaných z vonkajších pripísaných príjmov. Povedie k dodatočným platbám v rokoch 2020 až 2025. Vplyv na rozpočet je zahrnutý v legislatívnom finančnom výkaze pripojenom k nariadeniu REACT-EU.</w:t>
      </w:r>
    </w:p>
    <w:p>
      <w:pPr>
        <w:pStyle w:val="ManualHeading1"/>
        <w:rPr>
          <w:noProof/>
          <w:szCs w:val="24"/>
        </w:rPr>
      </w:pPr>
      <w:r>
        <w:rPr>
          <w:noProof/>
          <w:szCs w:val="24"/>
        </w:rPr>
        <w:t>5.</w:t>
      </w:r>
      <w:r>
        <w:rPr>
          <w:noProof/>
          <w:szCs w:val="24"/>
        </w:rPr>
        <w:tab/>
        <w:t>ĎALŠIE PRVKY</w:t>
      </w:r>
    </w:p>
    <w:p>
      <w:pPr>
        <w:pStyle w:val="ManualHeading2"/>
        <w:rPr>
          <w:noProof/>
          <w:szCs w:val="24"/>
        </w:rPr>
      </w:pPr>
      <w:r>
        <w:rPr>
          <w:noProof/>
          <w:szCs w:val="24"/>
        </w:rPr>
        <w:t>•</w:t>
      </w:r>
      <w:r>
        <w:rPr>
          <w:noProof/>
          <w:szCs w:val="24"/>
        </w:rPr>
        <w:tab/>
        <w:t>Plány vykonávania, spôsob monitorovania, hodnotenia a podávania správ</w:t>
      </w:r>
    </w:p>
    <w:p>
      <w:pPr>
        <w:rPr>
          <w:noProof/>
          <w:szCs w:val="24"/>
        </w:rPr>
      </w:pPr>
      <w:r>
        <w:rPr>
          <w:noProof/>
          <w:szCs w:val="24"/>
        </w:rPr>
        <w:t>Vykonávanie týchto opatrení sa bude monitorovať a budú sa o ňom podávať správy v rámci všeobecných mechanizmov podávania správ stanovených v nariadení (EÚ) č. 223/2014.</w:t>
      </w:r>
    </w:p>
    <w:p>
      <w:pPr>
        <w:pStyle w:val="ManualHeading2"/>
        <w:rPr>
          <w:noProof/>
          <w:szCs w:val="24"/>
        </w:rPr>
      </w:pPr>
      <w:r>
        <w:rPr>
          <w:noProof/>
          <w:szCs w:val="24"/>
        </w:rPr>
        <w:t>•</w:t>
      </w:r>
      <w:r>
        <w:rPr>
          <w:noProof/>
          <w:szCs w:val="24"/>
        </w:rPr>
        <w:tab/>
        <w:t>Vysvetľujúce dokumenty (v prípade smerníc)</w:t>
      </w:r>
    </w:p>
    <w:p>
      <w:pPr>
        <w:rPr>
          <w:noProof/>
          <w:szCs w:val="24"/>
        </w:rPr>
      </w:pPr>
      <w:r>
        <w:rPr>
          <w:noProof/>
          <w:szCs w:val="24"/>
        </w:rPr>
        <w:t>Neuplatňuje sa</w:t>
      </w:r>
    </w:p>
    <w:p>
      <w:pPr>
        <w:pBdr>
          <w:top w:val="nil"/>
          <w:left w:val="nil"/>
          <w:bottom w:val="nil"/>
          <w:right w:val="nil"/>
          <w:between w:val="nil"/>
          <w:bar w:val="nil"/>
        </w:pBdr>
        <w:spacing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2020/0105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č. 223/2014, pokiaľ ide o zavedenie osobitných opatrení na riešenie krízy spôsobenej ochorením COVID-19</w:t>
      </w:r>
      <w:r>
        <w:rPr>
          <w:noProof/>
        </w:rPr>
        <w:br/>
      </w:r>
    </w:p>
    <w:p>
      <w:pPr>
        <w:pStyle w:val="Institutionquiagit"/>
        <w:rPr>
          <w:noProof/>
          <w:szCs w:val="24"/>
        </w:rPr>
      </w:pPr>
      <w:r>
        <w:rPr>
          <w:noProof/>
          <w:szCs w:val="24"/>
        </w:rPr>
        <w:t>EURÓPSKY PARLAMENT A RADA EURÓPSKEJ ÚNIE,</w:t>
      </w:r>
    </w:p>
    <w:p>
      <w:pPr>
        <w:rPr>
          <w:noProof/>
          <w:szCs w:val="24"/>
        </w:rPr>
      </w:pPr>
      <w:r>
        <w:rPr>
          <w:noProof/>
          <w:szCs w:val="24"/>
        </w:rPr>
        <w:t xml:space="preserve">so zreteľom na Zmluvu o fungovaní Európskej únie, a najmä na jej článok 175 ods. 3, </w:t>
      </w:r>
    </w:p>
    <w:p>
      <w:pPr>
        <w:rPr>
          <w:noProof/>
          <w:szCs w:val="24"/>
        </w:rPr>
      </w:pPr>
      <w:r>
        <w:rPr>
          <w:noProof/>
          <w:szCs w:val="24"/>
        </w:rPr>
        <w:t>so zreteľom na návrh Európskej komisie,</w:t>
      </w:r>
    </w:p>
    <w:p>
      <w:pPr>
        <w:rPr>
          <w:noProof/>
          <w:szCs w:val="24"/>
        </w:rPr>
      </w:pPr>
      <w:r>
        <w:rPr>
          <w:noProof/>
          <w:szCs w:val="24"/>
        </w:rPr>
        <w:t>po postúpení návrhu legislatívneho aktu národným parlamentom,</w:t>
      </w:r>
    </w:p>
    <w:p>
      <w:pPr>
        <w:rPr>
          <w:noProof/>
          <w:szCs w:val="24"/>
        </w:rPr>
      </w:pPr>
      <w:r>
        <w:rPr>
          <w:noProof/>
          <w:szCs w:val="24"/>
        </w:rPr>
        <w:t>so zreteľom na stanovisko Európskeho hospodárskeho a sociálneho výboru</w:t>
      </w:r>
      <w:r>
        <w:rPr>
          <w:rStyle w:val="FootnoteReference"/>
          <w:noProof/>
          <w:szCs w:val="24"/>
        </w:rPr>
        <w:footnoteReference w:id="8"/>
      </w:r>
      <w:r>
        <w:rPr>
          <w:noProof/>
          <w:szCs w:val="24"/>
        </w:rPr>
        <w:t xml:space="preserve">, </w:t>
      </w:r>
    </w:p>
    <w:p>
      <w:pPr>
        <w:rPr>
          <w:noProof/>
          <w:szCs w:val="24"/>
        </w:rPr>
      </w:pPr>
      <w:r>
        <w:rPr>
          <w:noProof/>
          <w:szCs w:val="24"/>
        </w:rPr>
        <w:t>so zreteľom na stanovisko Výboru regiónov</w:t>
      </w:r>
      <w:r>
        <w:rPr>
          <w:rStyle w:val="FootnoteReference"/>
          <w:noProof/>
          <w:szCs w:val="24"/>
        </w:rPr>
        <w:footnoteReference w:id="9"/>
      </w:r>
      <w:r>
        <w:rPr>
          <w:noProof/>
          <w:szCs w:val="24"/>
        </w:rPr>
        <w:t xml:space="preserve">, </w:t>
      </w:r>
    </w:p>
    <w:p>
      <w:pPr>
        <w:rPr>
          <w:noProof/>
          <w:szCs w:val="24"/>
        </w:rPr>
      </w:pPr>
      <w:r>
        <w:rPr>
          <w:noProof/>
          <w:szCs w:val="24"/>
        </w:rPr>
        <w:t>konajúc v súlade s riadnym legislatívnym postupom,</w:t>
      </w:r>
    </w:p>
    <w:p>
      <w:pPr>
        <w:rPr>
          <w:noProof/>
          <w:szCs w:val="24"/>
        </w:rPr>
      </w:pPr>
      <w:r>
        <w:rPr>
          <w:noProof/>
          <w:szCs w:val="24"/>
        </w:rPr>
        <w:t>keďže:</w:t>
      </w:r>
    </w:p>
    <w:p>
      <w:pPr>
        <w:pStyle w:val="ManualConsidrant"/>
        <w:rPr>
          <w:noProof/>
        </w:rPr>
      </w:pPr>
      <w:r>
        <w:t>(1)</w:t>
      </w:r>
      <w:r>
        <w:tab/>
      </w:r>
      <w:r>
        <w:rPr>
          <w:noProof/>
        </w:rPr>
        <w:t>Nariadením Európskeho parlamentu a Rady (EÚ) č. 223/2014</w:t>
      </w:r>
      <w:r>
        <w:rPr>
          <w:rStyle w:val="FootnoteReference"/>
          <w:noProof/>
          <w:szCs w:val="24"/>
        </w:rPr>
        <w:footnoteReference w:id="10"/>
      </w:r>
      <w:r>
        <w:rPr>
          <w:noProof/>
        </w:rPr>
        <w:t xml:space="preserve"> sa stanovujú pravidlá uplatniteľné na Fond európskej pomoci pre najodkázanejšie osoby (ďalej len „FEAD“). </w:t>
      </w:r>
    </w:p>
    <w:p>
      <w:pPr>
        <w:pStyle w:val="ManualConsidrant"/>
        <w:rPr>
          <w:noProof/>
        </w:rPr>
      </w:pPr>
      <w:r>
        <w:t>(2)</w:t>
      </w:r>
      <w:r>
        <w:tab/>
      </w:r>
      <w:r>
        <w:rPr>
          <w:noProof/>
        </w:rPr>
        <w:t>Európsky parlament, Rada a Komisia 17. novembra 2017 spoločne vyhlásili Európsky pilier sociálnych práv ako odpoveď na sociálne výzvy v Európe. Dvadsať základných zásad piliera je rozdelených do troch kategórií: rovnosť príležitostí a prístup na trh práce, spravodlivé pracovné podmienky, sociálna ochrana a začlenenie. V záujme zabezpečenia sociálne spravodlivej obnovy by sa opatrenia v reakcii na pandémiu COVID-19 mali riadiť dvadsiatimi zásadami Európskeho piliera sociálnych práv.</w:t>
      </w:r>
    </w:p>
    <w:p>
      <w:pPr>
        <w:pStyle w:val="ManualConsidrant"/>
        <w:rPr>
          <w:noProof/>
        </w:rPr>
      </w:pPr>
      <w:r>
        <w:t>(3)</w:t>
      </w:r>
      <w:r>
        <w:tab/>
      </w:r>
      <w:r>
        <w:rPr>
          <w:noProof/>
        </w:rPr>
        <w:t>Členské štáty boli zasiahnuté dôsledkami krízy spôsobenej pandémiou COVID-19 v dosiaľ nevídanom rozsahu. Kríza mala vážne hospodárske a sociálne dôsledky. Vznikla tak výnimočná situácia, ktorú treba riešiť osobitnými opatreniami v súlade s Európskym pilierom sociálnych práv.</w:t>
      </w:r>
    </w:p>
    <w:p>
      <w:pPr>
        <w:pStyle w:val="ManualConsidrant"/>
        <w:rPr>
          <w:noProof/>
        </w:rPr>
      </w:pPr>
      <w:r>
        <w:t>(4)</w:t>
      </w:r>
      <w:r>
        <w:tab/>
      </w:r>
      <w:r>
        <w:rPr>
          <w:noProof/>
        </w:rPr>
        <w:t>To má osobitný vplyv najmä na FEAD. Keďže rastie počet ľudí, ktorí v dôsledku pandémie COVID-19 trpia potravinovou a materiálnou depriváciou, a vzhľadom na osobitné riziká a ďalšie ťažkosti, ktorým počas tejto krízy čelia najodkázanejšie osoby, potrebujú členské štáty dodatočné finančné prostriedky na poskytovanie podpory z fondu.</w:t>
      </w:r>
    </w:p>
    <w:p>
      <w:pPr>
        <w:pStyle w:val="ManualConsidrant"/>
        <w:rPr>
          <w:noProof/>
        </w:rPr>
      </w:pPr>
      <w:r>
        <w:t>(5)</w:t>
      </w:r>
      <w:r>
        <w:tab/>
      </w:r>
      <w:r>
        <w:rPr>
          <w:noProof/>
        </w:rPr>
        <w:t xml:space="preserve">S cieľom vysporiadať sa s rozsiahlymi otrasmi v hospodárstve a závažnými vplyvmi na fungovanie jednotného trhu v dôsledku výnimočných obmedzení, ktoré zaviedli členské štáty na obmedzenie šírenia COVID-19, Európska rada schválila 23. apríla </w:t>
      </w:r>
      <w:r>
        <w:rPr>
          <w:noProof/>
        </w:rPr>
        <w:lastRenderedPageBreak/>
        <w:t>2020 „Plán obnovy“, ktorý obsahuje silnú investičnú zložku, vyzvala na zriadenie [Európskeho nástroja obnovy] a poverila Komisiu vykonaním analýzy potrieb, aby sa zdroje zacielili do odvetví a zemepisných oblastí v Európe, ktoré boli najviac zasiahnuté, a aby sa zároveň objasnila nadväznosť na VFR.</w:t>
      </w:r>
    </w:p>
    <w:p>
      <w:pPr>
        <w:pStyle w:val="ManualConsidrant"/>
        <w:rPr>
          <w:noProof/>
        </w:rPr>
      </w:pPr>
      <w:r>
        <w:t>(6)</w:t>
      </w:r>
      <w:r>
        <w:tab/>
      </w:r>
      <w:r>
        <w:rPr>
          <w:noProof/>
        </w:rPr>
        <w:t>Komisia vydala 27. mája 2020 návrh nariadenia</w:t>
      </w:r>
      <w:r>
        <w:rPr>
          <w:rStyle w:val="FootnoteReference"/>
          <w:noProof/>
          <w:szCs w:val="24"/>
        </w:rPr>
        <w:footnoteReference w:id="11"/>
      </w:r>
      <w:r>
        <w:rPr>
          <w:noProof/>
        </w:rPr>
        <w:t>, ktorým sa mení nariadenie Rady (EÚ, Euratom) č. 1311/2013</w:t>
      </w:r>
      <w:r>
        <w:rPr>
          <w:rStyle w:val="FootnoteReference"/>
          <w:noProof/>
          <w:szCs w:val="24"/>
        </w:rPr>
        <w:footnoteReference w:id="12"/>
      </w:r>
      <w:r>
        <w:rPr>
          <w:noProof/>
        </w:rPr>
        <w:t xml:space="preserve"> a uvoľnila dodatočné zdroje na podporu členských štátov pri náprave dôsledkov krízy v kontexte pandémie COVID-19 a prípravou na obnovu hospodárstva. Na tento účel sa ako súčasť uvedeného balíka vyčlenila dodatočná mimoriadna suma vo výške 58 272 800 000 EUR na rozpočtový záväzok zo štrukturálnych fondov v rámci cieľa Investovanie do rastu a zamestnanosti na roky 2020, 2021 a 2022, aby sa rýchlo použili v reálnej ekonomike prostredníctvom existujúcich štruktúr pre programy politiky súdržnosti na roky 2014 – 2020. Komisia by mala stanoviť, ako sa rozdelia dodatočné zdroje medzi jednotlivé členské štáty, na základe metódy prideľovania založenej na najnovších dostupných objektívnych štatistických údajoch o relatívnej prosperite členských štátov a rozsahu vplyvu súčasnej krízy na ich hospodárstvo. S cieľom zohľadniť meniaci sa charakter účinkov krízy by sa rozdelenie malo v roku 2021 upraviť na základe tej istej metódy prideľovania a s použitím najnovších štatistických údajov, ktoré budú 19. októbra 2021 k dispozícii. Aby sa zabezpečila účinná reakcia v súvislosti so sociálnym vplyvom pandémie COVID-19 na najodkázanejšie osoby, je vhodné, aby členské štáty mohli podľa svojich potrieb prideliť dodatočné zdroje na FEAD. Mali by pritom venovať náležitú pozornosť zvýšeniu počtu najodkázanejších osôb od vypuknutia pandémie COVID-19. Okrem toho je potrebné určiť stropy pre prideľovanie zvýšených zdrojov na technickú pomoc členského štátu. Vzhľadom na to, že sa očakáva rýchle vynaloženie dodatočných zdrojov, mala by sa zároveň pri ukončení programov zrušiť viazanosť záväzkov spojených s týmito dodatočnými zdrojmi. V prípade dodatočných zdrojov sa takisto zaviedla možnosť finančných prevodov v rámci cieľa Investície do rastu a zamestnanosti medzi EFRR, ESF a FEAD.</w:t>
      </w:r>
    </w:p>
    <w:p>
      <w:pPr>
        <w:pStyle w:val="ManualConsidrant"/>
        <w:rPr>
          <w:noProof/>
        </w:rPr>
      </w:pPr>
      <w:r>
        <w:t>(7)</w:t>
      </w:r>
      <w:r>
        <w:tab/>
      </w:r>
      <w:r>
        <w:rPr>
          <w:noProof/>
        </w:rPr>
        <w:t>Na toto nariadenie sa vzťahujú horizontálne finančné pravidlá prijaté Európskym parlamentom a Radou na základe článku 322 Zmluvy o fungovaní Európskej únie. Tieto pravidlá sú stanovené v nariadení o rozpočtových pravidlách a určujú najmä postup zostavovania a plnenia rozpočtu prostredníctvom grantov, verejného obstarávania, cien a nepriameho plnenia a zabezpečujú kontroly zodpovednosti účastníkov finančných operácií. Pravidlá prijaté na základe článku 322 ZFEÚ sa vzťahujú aj na ochranu rozpočtu Únie v prípade všeobecných nedostatkov v oblasti dodržiavania zásad právneho štátu v členských štátoch, keďže dodržiavanie týchto zásad je nevyhnutným predpokladom správneho finančného riadenia a účinného financovania z prostriedkov EÚ.</w:t>
      </w:r>
    </w:p>
    <w:p>
      <w:pPr>
        <w:pStyle w:val="ManualConsidrant"/>
        <w:rPr>
          <w:noProof/>
        </w:rPr>
      </w:pPr>
      <w:r>
        <w:t>(8)</w:t>
      </w:r>
      <w:r>
        <w:tab/>
      </w:r>
      <w:r>
        <w:rPr>
          <w:noProof/>
        </w:rPr>
        <w:t xml:space="preserve">S cieľom zabezpečiť, aby mali členské štáty dostatočné finančné prostriedky na rýchle prijatie opatrení na nápravu dôsledkov krízy v kontexte pandémie COVID-19 a aby sa mohli pripraviť na obnovu hospodárstva, je potrebné zvýšiť platby v rámci predbežného financovania v záujme rýchleho vykonania opatrení s podporou dodatočných zdrojov. Výška predbežného financovania by mala zabezpečiť, aby členské štáty mali v prípade potreby prostriedky na preddavkové platby pre prijímateľov a aby predložené žiadosti o platbu boli prijímateľom rýchlo preplatené. </w:t>
      </w:r>
    </w:p>
    <w:p>
      <w:pPr>
        <w:pStyle w:val="ManualConsidrant"/>
        <w:rPr>
          <w:noProof/>
        </w:rPr>
      </w:pPr>
      <w:r>
        <w:lastRenderedPageBreak/>
        <w:t>(9)</w:t>
      </w:r>
      <w:r>
        <w:tab/>
      </w:r>
      <w:r>
        <w:rPr>
          <w:noProof/>
        </w:rPr>
        <w:t>S cieľom zmierniť zaťaženie verejných rozpočtov spôsobené nápravou dôsledkov krízy v kontexte pandémie COVID-19 a pripraviť sa na obnovu hospodárstva je vhodné, aby sa na dodatočné zdroje nevzťahovalo spolufinancovanie.</w:t>
      </w:r>
    </w:p>
    <w:p>
      <w:pPr>
        <w:pStyle w:val="ManualConsidrant"/>
        <w:rPr>
          <w:noProof/>
        </w:rPr>
      </w:pPr>
      <w:r>
        <w:t>(10)</w:t>
      </w:r>
      <w:r>
        <w:tab/>
      </w:r>
      <w:r>
        <w:rPr>
          <w:noProof/>
        </w:rPr>
        <w:t>S cieľom zabezpečiť, aby členské štáty mohli rýchlo prispôsobiť opatrenia v rámci FEAD v reakcii na krízu spôsobenú pandémiou COVID-19, je vhodné stanoviť osobitné ustanovenia objasňujúce rozsah technickej pomoci.</w:t>
      </w:r>
    </w:p>
    <w:p>
      <w:pPr>
        <w:pStyle w:val="ManualConsidrant"/>
        <w:rPr>
          <w:noProof/>
        </w:rPr>
      </w:pPr>
      <w:r>
        <w:t>(11)</w:t>
      </w:r>
      <w:r>
        <w:tab/>
      </w:r>
      <w:r>
        <w:rPr>
          <w:noProof/>
        </w:rPr>
        <w:t>Keďže cieľ tohto nariadenia, a to reagovať na vplyv krízy v oblasti verejného zdravia na najodkázanejšie osoby, nie je možné uspokojivo dosiahnuť iba na úrovni členských štátov, ale z dôvodu rozsahu a účinkov navrhovanej činnosti ho možno lepšie dosiahnuť na úrovni Únie, môže Únia prijať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rPr>
      </w:pPr>
      <w:r>
        <w:t>(12)</w:t>
      </w:r>
      <w:r>
        <w:tab/>
      </w:r>
      <w:r>
        <w:rPr>
          <w:noProof/>
        </w:rPr>
        <w:t>Nariadenie (EÚ) č. 223/2014 by sa preto malo zodpovedajúcim spôsobom zmeniť.</w:t>
      </w:r>
    </w:p>
    <w:p>
      <w:pPr>
        <w:pStyle w:val="ManualConsidrant"/>
        <w:rPr>
          <w:noProof/>
        </w:rPr>
      </w:pPr>
      <w:r>
        <w:t>(13)</w:t>
      </w:r>
      <w:r>
        <w:tab/>
      </w:r>
      <w:r>
        <w:rPr>
          <w:noProof/>
        </w:rPr>
        <w:t xml:space="preserve">Vzhľadom na naliehavosť situácie vyvolanej pandémiou COVID-19 je vhodné, aby toto nariadenie nadobudlo účinnosť dňom nasledujúcim po jeho uverejnení v </w:t>
      </w:r>
      <w:r>
        <w:rPr>
          <w:i/>
          <w:noProof/>
        </w:rPr>
        <w:t>Úradnom vestníku Európskej únie</w:t>
      </w:r>
      <w:r>
        <w:rPr>
          <w:noProof/>
        </w:rPr>
        <w:t>.</w:t>
      </w:r>
    </w:p>
    <w:p>
      <w:pPr>
        <w:pStyle w:val="ManualConsidrant"/>
        <w:rPr>
          <w:noProof/>
        </w:rPr>
      </w:pPr>
      <w:r>
        <w:t>(14)</w:t>
      </w:r>
      <w:r>
        <w:tab/>
      </w:r>
      <w:r>
        <w:rPr>
          <w:noProof/>
        </w:rPr>
        <w:t>Vzhľadom na pandémiu COVID-19 a naliehavú potrebu riešiť súvisiacu krízu v oblasti verejného zdravia sa považuje za potrebné uplatniť výnimku z osemtýždňovej lehoty uvedenej v článku 4 Protokolu č. 1 o úlohe národných parlamentov v Európskej únii, ktorý tvorí prílohu k Zmluve o Európskej únii, Zmluve o fungovaní Európskej únie a Zmluve o založení Európskeho spoločenstva pre atómovú energiu.</w:t>
      </w:r>
    </w:p>
    <w:p>
      <w:pPr>
        <w:pStyle w:val="ManualConsidrant"/>
        <w:rPr>
          <w:noProof/>
        </w:rPr>
      </w:pPr>
      <w:r>
        <w:t>(15)</w:t>
      </w:r>
      <w:r>
        <w:tab/>
      </w:r>
      <w:r>
        <w:rPr>
          <w:noProof/>
        </w:rPr>
        <w:t>V článku 135 ods. 2 Dohody o vystúpení Spojeného kráľovstva Veľkej Británie a Severného Írska z Európskej únie a z Európskeho spoločenstva pre atómovú energiu sa stanovuje, že zmeny nariadenia Rady (EÚ, Euratom) č. 1311/2013</w:t>
      </w:r>
      <w:r>
        <w:rPr>
          <w:rStyle w:val="FootnoteReference"/>
          <w:noProof/>
          <w:szCs w:val="24"/>
        </w:rPr>
        <w:footnoteReference w:id="13"/>
      </w:r>
      <w:r>
        <w:rPr>
          <w:noProof/>
        </w:rPr>
        <w:t xml:space="preserve"> alebo rozhodnutia Rady 2014/335/EÚ, Euratom, ktoré boli prijaté k dátumu nadobudnutia platnosti tejto dohody, sa nevzťahujú na Spojené kráľovstvo, pokiaľ majú tieto zmeny vplyv na finančné záväzky Spojeného kráľovstva. Podpora podľa článku 6a nariadenia (EÚ) č. 223/2014 v roku 2020 sa financuje zo zvýšenia stropu viacročného finančného rámca a v rokoch 2021 a 2022 zo zvýšenia stropu vlastných zdrojov Únie, čo by malo vplyv na finančné záväzky Spojeného kráľovstva. Toto nariadenie by sa preto nemalo uplatňovať na Spojené kráľovstvo a v Spojenom kráľovstve.</w:t>
      </w:r>
    </w:p>
    <w:p>
      <w:pPr>
        <w:pStyle w:val="Formuledadoption"/>
        <w:rPr>
          <w:noProof/>
          <w:szCs w:val="24"/>
        </w:rPr>
      </w:pPr>
      <w:r>
        <w:rPr>
          <w:noProof/>
          <w:szCs w:val="24"/>
        </w:rPr>
        <w:t>PRIJALI TOTO NARIADENIE:</w:t>
      </w:r>
    </w:p>
    <w:p>
      <w:pPr>
        <w:pStyle w:val="Titrearticle"/>
        <w:rPr>
          <w:noProof/>
          <w:szCs w:val="24"/>
        </w:rPr>
      </w:pPr>
      <w:r>
        <w:rPr>
          <w:noProof/>
          <w:szCs w:val="24"/>
        </w:rPr>
        <w:t>Článok 1</w:t>
      </w:r>
    </w:p>
    <w:p>
      <w:pPr>
        <w:rPr>
          <w:rFonts w:eastAsia="Calibri"/>
          <w:noProof/>
          <w:szCs w:val="24"/>
        </w:rPr>
      </w:pPr>
      <w:r>
        <w:rPr>
          <w:noProof/>
          <w:szCs w:val="24"/>
        </w:rPr>
        <w:t>Nariadenie (EÚ) č. 223/2014 sa mení takto:</w:t>
      </w:r>
    </w:p>
    <w:p>
      <w:pPr>
        <w:pStyle w:val="Point0"/>
        <w:rPr>
          <w:noProof/>
          <w:szCs w:val="24"/>
        </w:rPr>
      </w:pPr>
      <w:r>
        <w:rPr>
          <w:noProof/>
          <w:szCs w:val="24"/>
        </w:rPr>
        <w:t>1.</w:t>
      </w:r>
      <w:r>
        <w:rPr>
          <w:noProof/>
          <w:szCs w:val="24"/>
        </w:rPr>
        <w:tab/>
        <w:t>Článok 6 ods. 2 sa nahrádza takto:</w:t>
      </w:r>
    </w:p>
    <w:p>
      <w:pPr>
        <w:pBdr>
          <w:top w:val="nil"/>
          <w:left w:val="nil"/>
          <w:bottom w:val="nil"/>
          <w:right w:val="nil"/>
          <w:between w:val="nil"/>
          <w:bar w:val="nil"/>
        </w:pBdr>
        <w:spacing w:after="240"/>
        <w:ind w:left="720" w:hanging="11"/>
        <w:rPr>
          <w:rFonts w:eastAsia="Calibri"/>
          <w:noProof/>
          <w:szCs w:val="24"/>
        </w:rPr>
      </w:pPr>
      <w:r>
        <w:rPr>
          <w:noProof/>
          <w:szCs w:val="24"/>
        </w:rPr>
        <w:t>„2. Prídel prostriedkov z fondu na obdobie 2014 – 2020 pre každý členský štát sa uvádza v prílohe III s výnimkou zdrojov zvýšených v reakcii na pandémiu COVID-19 uvedených v článku 6a. Minimálna suma pre každý členský štát na celé obdobie je 3 500 000 EUR.“</w:t>
      </w:r>
    </w:p>
    <w:p>
      <w:pPr>
        <w:pStyle w:val="Point0"/>
        <w:rPr>
          <w:noProof/>
          <w:szCs w:val="24"/>
        </w:rPr>
      </w:pPr>
      <w:r>
        <w:rPr>
          <w:noProof/>
          <w:szCs w:val="24"/>
        </w:rPr>
        <w:t>2.</w:t>
      </w:r>
      <w:r>
        <w:rPr>
          <w:noProof/>
          <w:szCs w:val="24"/>
        </w:rPr>
        <w:tab/>
        <w:t>Vkladá sa tento nový článok 6a:</w:t>
      </w:r>
    </w:p>
    <w:p>
      <w:pPr>
        <w:pBdr>
          <w:top w:val="nil"/>
          <w:left w:val="nil"/>
          <w:bottom w:val="nil"/>
          <w:right w:val="nil"/>
          <w:between w:val="nil"/>
          <w:bar w:val="nil"/>
        </w:pBdr>
        <w:spacing w:after="240"/>
        <w:ind w:left="720"/>
        <w:contextualSpacing/>
        <w:jc w:val="center"/>
        <w:rPr>
          <w:rFonts w:eastAsia="Calibri"/>
          <w:i/>
          <w:noProof/>
          <w:szCs w:val="24"/>
        </w:rPr>
      </w:pPr>
      <w:r>
        <w:rPr>
          <w:noProof/>
          <w:szCs w:val="24"/>
        </w:rPr>
        <w:lastRenderedPageBreak/>
        <w:t>„</w:t>
      </w:r>
      <w:r>
        <w:rPr>
          <w:i/>
          <w:noProof/>
          <w:szCs w:val="24"/>
        </w:rPr>
        <w:t>Článok 6a</w:t>
      </w:r>
    </w:p>
    <w:p>
      <w:pPr>
        <w:pBdr>
          <w:top w:val="nil"/>
          <w:left w:val="nil"/>
          <w:bottom w:val="nil"/>
          <w:right w:val="nil"/>
          <w:between w:val="nil"/>
          <w:bar w:val="nil"/>
        </w:pBdr>
        <w:spacing w:after="240"/>
        <w:ind w:left="720"/>
        <w:contextualSpacing/>
        <w:jc w:val="center"/>
        <w:rPr>
          <w:rFonts w:eastAsia="Calibri"/>
          <w:b/>
          <w:i/>
          <w:noProof/>
          <w:szCs w:val="24"/>
        </w:rPr>
      </w:pPr>
      <w:r>
        <w:rPr>
          <w:b/>
          <w:i/>
          <w:noProof/>
          <w:szCs w:val="24"/>
        </w:rPr>
        <w:t>Dobrovoľné zvýšenie zdrojov v reakcii na pandémiu COVID-19</w:t>
      </w:r>
    </w:p>
    <w:p>
      <w:pPr>
        <w:pBdr>
          <w:top w:val="nil"/>
          <w:left w:val="nil"/>
          <w:bottom w:val="nil"/>
          <w:right w:val="nil"/>
          <w:between w:val="nil"/>
          <w:bar w:val="nil"/>
        </w:pBdr>
        <w:spacing w:after="240"/>
        <w:ind w:left="720"/>
        <w:contextualSpacing/>
        <w:rPr>
          <w:rFonts w:eastAsia="Calibri"/>
          <w:b/>
          <w:noProof/>
          <w:szCs w:val="24"/>
        </w:rPr>
      </w:pPr>
    </w:p>
    <w:p>
      <w:pPr>
        <w:pBdr>
          <w:top w:val="nil"/>
          <w:left w:val="nil"/>
          <w:bottom w:val="nil"/>
          <w:right w:val="nil"/>
          <w:between w:val="nil"/>
          <w:bar w:val="nil"/>
        </w:pBdr>
        <w:spacing w:after="240"/>
        <w:ind w:left="720"/>
        <w:contextualSpacing/>
        <w:rPr>
          <w:rFonts w:eastAsia="Calibri"/>
          <w:noProof/>
          <w:szCs w:val="24"/>
        </w:rPr>
      </w:pPr>
      <w:r>
        <w:rPr>
          <w:noProof/>
          <w:szCs w:val="24"/>
        </w:rPr>
        <w:t>1. Členské štáty môžu v reakcii na pandémiu COVID-19 dobrovoľne zvýšiť zdroje uvedené v článku 6, a to v súlade s článkom 92b ods. 5 siedmym pododsekom nariadenia (EÚ) č. 1303/2013. Zvýšenie môže ovplyvniť rozpočtové záväzky na roky 2020, 2021 a 2022.</w:t>
      </w:r>
    </w:p>
    <w:p>
      <w:pPr>
        <w:pBdr>
          <w:top w:val="nil"/>
          <w:left w:val="nil"/>
          <w:bottom w:val="nil"/>
          <w:right w:val="nil"/>
          <w:between w:val="nil"/>
          <w:bar w:val="nil"/>
        </w:pBdr>
        <w:spacing w:after="240"/>
        <w:ind w:left="720"/>
        <w:contextualSpacing/>
        <w:rPr>
          <w:rFonts w:eastAsia="Calibri"/>
          <w:noProof/>
          <w:szCs w:val="24"/>
        </w:rPr>
      </w:pPr>
      <w:r>
        <w:rPr>
          <w:noProof/>
          <w:szCs w:val="24"/>
        </w:rPr>
        <w:t xml:space="preserve">2. Odchylne od článku 7 ods. 1 obdobie platnosti operačných programov, ktoré využívajú dodatočné zdroje v súlade s odsekom 1, trvá do 31. decembra 2022. </w:t>
      </w:r>
    </w:p>
    <w:p>
      <w:pPr>
        <w:pBdr>
          <w:top w:val="nil"/>
          <w:left w:val="nil"/>
          <w:bottom w:val="nil"/>
          <w:right w:val="nil"/>
          <w:between w:val="nil"/>
          <w:bar w:val="nil"/>
        </w:pBdr>
        <w:spacing w:after="240"/>
        <w:ind w:left="720"/>
        <w:contextualSpacing/>
        <w:rPr>
          <w:rFonts w:eastAsia="Calibri"/>
          <w:noProof/>
          <w:szCs w:val="24"/>
        </w:rPr>
      </w:pPr>
      <w:r>
        <w:rPr>
          <w:noProof/>
          <w:szCs w:val="24"/>
        </w:rPr>
        <w:t xml:space="preserve">3. Odchylne od článku 38 prvého pododseku sa rozpočtové záväzky na dodatočné zdroje, ktoré sa vzťahujú na každý operačný program, splácajú v rokoch 2020, 2021 a 2022. </w:t>
      </w:r>
    </w:p>
    <w:p>
      <w:pPr>
        <w:pBdr>
          <w:top w:val="nil"/>
          <w:left w:val="nil"/>
          <w:bottom w:val="nil"/>
          <w:right w:val="nil"/>
          <w:between w:val="nil"/>
          <w:bar w:val="nil"/>
        </w:pBdr>
        <w:spacing w:after="240"/>
        <w:ind w:left="720"/>
        <w:contextualSpacing/>
        <w:rPr>
          <w:rFonts w:eastAsia="Calibri"/>
          <w:noProof/>
          <w:szCs w:val="24"/>
        </w:rPr>
      </w:pPr>
      <w:r>
        <w:rPr>
          <w:noProof/>
          <w:szCs w:val="24"/>
        </w:rPr>
        <w:t>Odchylne od článku 59 ods. 1 sa viazanosť dodatočných záväzkov ruší v súlade s pravidlami ukončovania programov.</w:t>
      </w:r>
    </w:p>
    <w:p>
      <w:pPr>
        <w:pBdr>
          <w:top w:val="nil"/>
          <w:left w:val="nil"/>
          <w:bottom w:val="nil"/>
          <w:right w:val="nil"/>
          <w:between w:val="nil"/>
          <w:bar w:val="nil"/>
        </w:pBdr>
        <w:spacing w:after="240"/>
        <w:ind w:left="720"/>
        <w:contextualSpacing/>
        <w:rPr>
          <w:rFonts w:eastAsia="Calibri"/>
          <w:noProof/>
          <w:szCs w:val="24"/>
        </w:rPr>
      </w:pPr>
      <w:r>
        <w:rPr>
          <w:noProof/>
          <w:szCs w:val="24"/>
        </w:rPr>
        <w:t xml:space="preserve">4. Okrem predbežného financovania uvedeného v článku 44 ods. 1 Komisia vyplatí sumu vo forme predbežného financovania vo výške 50 % dodatočných zdrojov pridelených na rok 2020 na základe rozhodnutia Komisie, ktorým sa schvaľuje zmena programu na pridelenie dodatočných zdrojov. </w:t>
      </w:r>
    </w:p>
    <w:p>
      <w:pPr>
        <w:pBdr>
          <w:top w:val="nil"/>
          <w:left w:val="nil"/>
          <w:bottom w:val="nil"/>
          <w:right w:val="nil"/>
          <w:between w:val="nil"/>
          <w:bar w:val="nil"/>
        </w:pBdr>
        <w:spacing w:after="240"/>
        <w:ind w:left="720"/>
        <w:contextualSpacing/>
        <w:rPr>
          <w:rFonts w:eastAsia="Calibri"/>
          <w:noProof/>
          <w:szCs w:val="24"/>
        </w:rPr>
      </w:pPr>
    </w:p>
    <w:p>
      <w:pPr>
        <w:pBdr>
          <w:top w:val="nil"/>
          <w:left w:val="nil"/>
          <w:bottom w:val="nil"/>
          <w:right w:val="nil"/>
          <w:between w:val="nil"/>
          <w:bar w:val="nil"/>
        </w:pBdr>
        <w:spacing w:after="240"/>
        <w:ind w:left="720"/>
        <w:contextualSpacing/>
        <w:rPr>
          <w:rFonts w:eastAsia="Calibri"/>
          <w:noProof/>
          <w:szCs w:val="24"/>
        </w:rPr>
      </w:pPr>
      <w:r>
        <w:rPr>
          <w:noProof/>
          <w:szCs w:val="24"/>
        </w:rPr>
        <w:t>Sumu vyplatenú ako predbežné financovanie uvedenú v prvom pododseku Komisia plne zúčtuje najneskôr pri ukončení operačného programu.</w:t>
      </w:r>
    </w:p>
    <w:p>
      <w:pPr>
        <w:pBdr>
          <w:top w:val="nil"/>
          <w:left w:val="nil"/>
          <w:bottom w:val="nil"/>
          <w:right w:val="nil"/>
          <w:between w:val="nil"/>
          <w:bar w:val="nil"/>
        </w:pBdr>
        <w:spacing w:after="240"/>
        <w:ind w:left="720"/>
        <w:contextualSpacing/>
        <w:rPr>
          <w:noProof/>
          <w:szCs w:val="24"/>
        </w:rPr>
      </w:pPr>
      <w:r>
        <w:rPr>
          <w:noProof/>
          <w:szCs w:val="24"/>
        </w:rPr>
        <w:t xml:space="preserve">5. Odchylne od článku 20 sa na dodatočné zdroje podľa odseku 1 nevzťahuje spolufinancovanie.“ </w:t>
      </w:r>
    </w:p>
    <w:p>
      <w:pPr>
        <w:pStyle w:val="Point0"/>
        <w:rPr>
          <w:noProof/>
          <w:szCs w:val="24"/>
        </w:rPr>
      </w:pPr>
      <w:r>
        <w:rPr>
          <w:noProof/>
          <w:szCs w:val="24"/>
        </w:rPr>
        <w:t>3.</w:t>
      </w:r>
      <w:r>
        <w:rPr>
          <w:noProof/>
          <w:szCs w:val="24"/>
        </w:rPr>
        <w:tab/>
        <w:t>V článku 27 sa odsek 4 nahrádza takto:</w:t>
      </w:r>
    </w:p>
    <w:p>
      <w:pPr>
        <w:ind w:left="720"/>
        <w:rPr>
          <w:noProof/>
          <w:szCs w:val="24"/>
        </w:rPr>
      </w:pPr>
      <w:r>
        <w:rPr>
          <w:noProof/>
          <w:szCs w:val="24"/>
        </w:rPr>
        <w:t>„4. Na podnet členských štátov sa môže operačným programom financovať príprava, riadenie, monitorovanie, administratívna a technická pomoc, audit, opatrenia zamerané na šírenie informácií, kontrolu a hodnotenie potrebné na vykonávanie fondu vrátane prípravy a prevádzkových nákladov systémov poukážok v prípade, že takéto náklady znáša riadiaci orgán alebo iný verejný subjekt, ktorý nie je partnerskou organizáciou. Financovanie uvedených činností nesmie presiahnuť 5 % pridelených rozpočtových prostriedkov fondu v čase prijatia daného operačného programu a 5 % dodatočných zdrojov uvedených v článku 6a ods. 1. Operačným programom sa môže financovať aj technická pomoc a budovanie kapacít partnerských organizácií a všetkých ostatných aktérov zapojených do vykonávania fondu vrátane zvyšovania kapacít reakcie na krízu spôsobenú pandémiou COVID-19. Opatrenia uvedené v tomto odseku sa môžu týkať nasledujúceho programového obdobia, okrem iného s cieľom zabezpečiť pokračovanie podpory z tohto fondu prostredníctvom iných fondov.“</w:t>
      </w:r>
    </w:p>
    <w:p>
      <w:pPr>
        <w:pStyle w:val="Point0"/>
        <w:rPr>
          <w:noProof/>
          <w:szCs w:val="24"/>
        </w:rPr>
      </w:pPr>
      <w:r>
        <w:rPr>
          <w:noProof/>
          <w:szCs w:val="24"/>
        </w:rPr>
        <w:t>4.</w:t>
      </w:r>
      <w:r>
        <w:rPr>
          <w:noProof/>
          <w:szCs w:val="24"/>
        </w:rPr>
        <w:tab/>
        <w:t>Vkladá sa tento nový článok 63a:</w:t>
      </w:r>
    </w:p>
    <w:p>
      <w:pPr>
        <w:pBdr>
          <w:top w:val="nil"/>
          <w:left w:val="nil"/>
          <w:bottom w:val="nil"/>
          <w:right w:val="nil"/>
          <w:between w:val="nil"/>
          <w:bar w:val="nil"/>
        </w:pBdr>
        <w:spacing w:after="240"/>
        <w:ind w:left="1440" w:hanging="720"/>
        <w:contextualSpacing/>
        <w:jc w:val="center"/>
        <w:rPr>
          <w:rFonts w:eastAsia="Calibri"/>
          <w:i/>
          <w:noProof/>
          <w:szCs w:val="24"/>
        </w:rPr>
      </w:pPr>
      <w:r>
        <w:rPr>
          <w:noProof/>
          <w:szCs w:val="24"/>
        </w:rPr>
        <w:t>„</w:t>
      </w:r>
      <w:r>
        <w:rPr>
          <w:i/>
          <w:noProof/>
          <w:szCs w:val="24"/>
        </w:rPr>
        <w:t>Článok 63a</w:t>
      </w:r>
    </w:p>
    <w:p>
      <w:pPr>
        <w:pBdr>
          <w:top w:val="nil"/>
          <w:left w:val="nil"/>
          <w:bottom w:val="nil"/>
          <w:right w:val="nil"/>
          <w:between w:val="nil"/>
          <w:bar w:val="nil"/>
        </w:pBdr>
        <w:spacing w:after="240"/>
        <w:ind w:left="1440" w:hanging="720"/>
        <w:contextualSpacing/>
        <w:jc w:val="center"/>
        <w:rPr>
          <w:rFonts w:eastAsia="Calibri"/>
          <w:i/>
          <w:noProof/>
          <w:szCs w:val="24"/>
        </w:rPr>
      </w:pPr>
      <w:r>
        <w:rPr>
          <w:i/>
          <w:noProof/>
          <w:szCs w:val="24"/>
        </w:rPr>
        <w:t>Prechodné ustanovenia</w:t>
      </w:r>
    </w:p>
    <w:p>
      <w:pPr>
        <w:ind w:left="720"/>
        <w:rPr>
          <w:i/>
          <w:noProof/>
          <w:szCs w:val="24"/>
        </w:rPr>
      </w:pPr>
      <w:r>
        <w:rPr>
          <w:noProof/>
          <w:szCs w:val="24"/>
        </w:rPr>
        <w:t>Článok 6a sa neuplatňuje na Spojené kráľovstvo a v Spojenom kráľovstve. Odkazy na členské štáty v týchto ustanoveniach sa nepovažujú za odkazy na Spojené kráľovstvo.“</w:t>
      </w:r>
    </w:p>
    <w:p>
      <w:pPr>
        <w:pBdr>
          <w:top w:val="nil"/>
          <w:left w:val="nil"/>
          <w:bottom w:val="nil"/>
          <w:right w:val="nil"/>
          <w:between w:val="nil"/>
          <w:bar w:val="nil"/>
        </w:pBdr>
        <w:spacing w:after="240"/>
        <w:ind w:left="851" w:hanging="131"/>
        <w:rPr>
          <w:rFonts w:eastAsia="Calibri"/>
          <w:noProof/>
          <w:szCs w:val="24"/>
        </w:rPr>
      </w:pPr>
    </w:p>
    <w:p>
      <w:pPr>
        <w:pStyle w:val="Titrearticle"/>
        <w:rPr>
          <w:noProof/>
          <w:szCs w:val="24"/>
        </w:rPr>
      </w:pPr>
      <w:r>
        <w:rPr>
          <w:noProof/>
          <w:szCs w:val="24"/>
        </w:rPr>
        <w:t xml:space="preserve">Článok 2 </w:t>
      </w:r>
    </w:p>
    <w:p>
      <w:pPr>
        <w:rPr>
          <w:rFonts w:eastAsia="Calibri"/>
          <w:noProof/>
          <w:szCs w:val="24"/>
        </w:rPr>
      </w:pPr>
      <w:r>
        <w:rPr>
          <w:noProof/>
          <w:szCs w:val="24"/>
        </w:rPr>
        <w:t xml:space="preserve">Toto nariadenie nadobúda účinnosť dňom nasledujúcim po jeho uverejnení v </w:t>
      </w:r>
      <w:r>
        <w:rPr>
          <w:i/>
          <w:iCs/>
          <w:noProof/>
          <w:szCs w:val="24"/>
        </w:rPr>
        <w:t>Úradnom vestníku Európskej únie</w:t>
      </w:r>
      <w:r>
        <w:rPr>
          <w:noProof/>
          <w:szCs w:val="24"/>
        </w:rPr>
        <w:t>.</w:t>
      </w:r>
    </w:p>
    <w:p>
      <w:pPr>
        <w:pStyle w:val="Applicationdirecte"/>
        <w:rPr>
          <w:noProof/>
          <w:szCs w:val="24"/>
        </w:rPr>
      </w:pPr>
      <w:r>
        <w:rPr>
          <w:noProof/>
          <w:szCs w:val="24"/>
        </w:rPr>
        <w:lastRenderedPageBreak/>
        <w:t>Toto nariadenie je záväzné v celom rozsahu a priamo uplatniteľné vo všetkých členských štátoch.</w:t>
      </w:r>
    </w:p>
    <w:p>
      <w:pPr>
        <w:pStyle w:val="Fait"/>
        <w:rPr>
          <w:noProof/>
        </w:rPr>
      </w:pPr>
      <w:r>
        <w:t>V Bruseli</w:t>
      </w:r>
    </w:p>
    <w:p>
      <w:pPr>
        <w:pStyle w:val="Institutionquisigne"/>
        <w:rPr>
          <w:noProof/>
          <w:szCs w:val="24"/>
        </w:rPr>
      </w:pPr>
      <w:r>
        <w:rPr>
          <w:noProof/>
          <w:szCs w:val="24"/>
        </w:rPr>
        <w:t>Za Európsky parlament</w:t>
      </w:r>
      <w:r>
        <w:rPr>
          <w:noProof/>
          <w:szCs w:val="24"/>
        </w:rPr>
        <w:tab/>
        <w:t>Za Radu</w:t>
      </w:r>
    </w:p>
    <w:p>
      <w:pPr>
        <w:pStyle w:val="Personnequisigne"/>
        <w:rPr>
          <w:noProof/>
          <w:szCs w:val="24"/>
        </w:rPr>
      </w:pPr>
      <w:r>
        <w:rPr>
          <w:noProof/>
          <w:szCs w:val="24"/>
        </w:rPr>
        <w:t>predseda</w:t>
      </w:r>
      <w:r>
        <w:rPr>
          <w:noProof/>
          <w:szCs w:val="24"/>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 (Ú. v. EÚ L 99, 31.3.2020, s. 5).</w:t>
      </w:r>
    </w:p>
  </w:footnote>
  <w:footnote w:id="2">
    <w:p>
      <w:pPr>
        <w:pStyle w:val="FootnoteText"/>
      </w:pPr>
      <w:r>
        <w:rPr>
          <w:rStyle w:val="FootnoteReference"/>
        </w:rPr>
        <w:footnoteRef/>
      </w:r>
      <w:r>
        <w:tab/>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 (Ú. v. EÚ L 130, 24.4.2020, s. 1).</w:t>
      </w:r>
    </w:p>
  </w:footnote>
  <w:footnote w:id="3">
    <w:p>
      <w:pPr>
        <w:pStyle w:val="FootnoteText"/>
      </w:pPr>
      <w:r>
        <w:rPr>
          <w:rStyle w:val="FootnoteReference"/>
        </w:rPr>
        <w:footnoteRef/>
      </w:r>
      <w:r>
        <w:tab/>
        <w:t>Nariadenie Európskeho parlamentu a Rady (EÚ) č. 223/2014 z 11. marca 2014 o Fonde európskej pomoci pre najodkázanejšie osoby (Ú. v. EÚ L 72, 12.3.2014, s. 1 – 41).</w:t>
      </w:r>
    </w:p>
  </w:footnote>
  <w:footnote w:id="4">
    <w:p>
      <w:pPr>
        <w:pStyle w:val="FootnoteText"/>
      </w:pPr>
      <w:r>
        <w:rPr>
          <w:rStyle w:val="FootnoteReference"/>
        </w:rPr>
        <w:footnoteRef/>
      </w:r>
      <w:r>
        <w:tab/>
        <w:t>Ú. v. EÚ L 130, 24.4.2020, s. 7.</w:t>
      </w:r>
    </w:p>
  </w:footnote>
  <w:footnote w:id="5">
    <w:p>
      <w:pPr>
        <w:pStyle w:val="FootnoteText"/>
      </w:pPr>
      <w:r>
        <w:rPr>
          <w:rStyle w:val="FootnoteReference"/>
        </w:rPr>
        <w:footnoteRef/>
      </w:r>
      <w:r>
        <w:tab/>
        <w:t>COM(2020) 451 final.</w:t>
      </w:r>
    </w:p>
  </w:footnote>
  <w:footnote w:id="6">
    <w:p>
      <w:pPr>
        <w:pStyle w:val="FootnoteText"/>
      </w:pPr>
      <w:r>
        <w:rPr>
          <w:rStyle w:val="FootnoteReference"/>
        </w:rPr>
        <w:footnoteRef/>
      </w:r>
      <w:r>
        <w:tab/>
        <w:t>COM(2020) 451 final.</w:t>
      </w:r>
    </w:p>
  </w:footnote>
  <w:footnote w:id="7">
    <w:p>
      <w:pPr>
        <w:pStyle w:val="FootnoteText"/>
      </w:pPr>
      <w:r>
        <w:rPr>
          <w:rStyle w:val="FootnoteReference"/>
        </w:rPr>
        <w:footnoteRef/>
      </w:r>
      <w:r>
        <w:tab/>
        <w:t>COM(2020) 251 final.</w:t>
      </w:r>
    </w:p>
  </w:footnote>
  <w:footnote w:id="8">
    <w:p>
      <w:pPr>
        <w:pStyle w:val="FootnoteText"/>
      </w:pPr>
      <w:r>
        <w:rPr>
          <w:rStyle w:val="FootnoteReference"/>
        </w:rPr>
        <w:footnoteRef/>
      </w:r>
      <w:r>
        <w:tab/>
        <w:t>Ú. v. EÚ C , , s. .</w:t>
      </w:r>
    </w:p>
  </w:footnote>
  <w:footnote w:id="9">
    <w:p>
      <w:pPr>
        <w:pStyle w:val="FootnoteText"/>
      </w:pPr>
      <w:r>
        <w:rPr>
          <w:rStyle w:val="FootnoteReference"/>
        </w:rPr>
        <w:footnoteRef/>
      </w:r>
      <w:r>
        <w:tab/>
        <w:t>Ú. v. EÚ C , , s. .</w:t>
      </w:r>
    </w:p>
  </w:footnote>
  <w:footnote w:id="10">
    <w:p>
      <w:pPr>
        <w:pStyle w:val="FootnoteText"/>
        <w:ind w:left="708" w:hanging="708"/>
      </w:pPr>
      <w:r>
        <w:rPr>
          <w:rStyle w:val="FootnoteReference"/>
        </w:rPr>
        <w:footnoteRef/>
      </w:r>
      <w:r>
        <w:tab/>
        <w:t>Nariadenie Európskeho parlamentu a Rady (EÚ) č. 223/2014 z 11. marca 2014 o Fonde európskej pomoci pre najodkázanejšie osoby (Ú. v. EÚ L 72, 12.3.2014, s. 1).</w:t>
      </w:r>
    </w:p>
  </w:footnote>
  <w:footnote w:id="11">
    <w:p>
      <w:pPr>
        <w:pStyle w:val="FootnoteText"/>
      </w:pPr>
      <w:r>
        <w:rPr>
          <w:rStyle w:val="FootnoteReference"/>
        </w:rPr>
        <w:footnoteRef/>
      </w:r>
      <w:r>
        <w:tab/>
      </w:r>
      <w:hyperlink r:id="rId1" w:history="1">
        <w:r>
          <w:rPr>
            <w:color w:val="0000FF"/>
            <w:u w:val="single"/>
          </w:rPr>
          <w:t>COM(2020) 446</w:t>
        </w:r>
      </w:hyperlink>
      <w:r>
        <w:rPr>
          <w:color w:val="0000FF"/>
          <w:u w:val="single"/>
        </w:rPr>
        <w:t>.</w:t>
      </w:r>
    </w:p>
  </w:footnote>
  <w:footnote w:id="12">
    <w:p>
      <w:pPr>
        <w:pStyle w:val="FootnoteText"/>
      </w:pPr>
      <w:r>
        <w:rPr>
          <w:rStyle w:val="FootnoteReference"/>
        </w:rPr>
        <w:footnoteRef/>
      </w:r>
      <w:r>
        <w:tab/>
        <w:t>Nariadenie Rady (EÚ, Euratom) č. 1311/2013, ktorým sa ustanovuje viacročný finančný rámec na roky 2014 – 2020 (Ú. v. EÚ L 347, 20.12.2013, s. 884).</w:t>
      </w:r>
    </w:p>
  </w:footnote>
  <w:footnote w:id="13">
    <w:p>
      <w:pPr>
        <w:pStyle w:val="FootnoteText"/>
      </w:pPr>
      <w:r>
        <w:rPr>
          <w:rStyle w:val="FootnoteReference"/>
        </w:rPr>
        <w:footnoteRef/>
      </w:r>
      <w:r>
        <w:tab/>
        <w:t>Nariadenie Rady (EÚ, Euratom) č. 1311/2013 z 2. decembra 2013, ktorým sa ustanovuje viacročný finančný rámec na roky 2014 – 2020 (Ú. v. EÚ L 347, 20.12.2013, s. 884).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F29F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284B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56D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1C2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96CD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4F4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B4A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6773F"/>
    <w:multiLevelType w:val="hybridMultilevel"/>
    <w:tmpl w:val="1758CCB2"/>
    <w:styleLink w:val="ImportedStyle3"/>
    <w:lvl w:ilvl="0" w:tplc="40FEC6F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646D90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FCE327E">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CE336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756D07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46F476">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389FAE">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826E6A">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F8A26E">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A970053"/>
    <w:multiLevelType w:val="multilevel"/>
    <w:tmpl w:val="0AEEAB14"/>
    <w:styleLink w:val="ImportedStyle4"/>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13"/>
  </w:num>
  <w:num w:numId="12">
    <w:abstractNumId w:val="20"/>
  </w:num>
  <w:num w:numId="13">
    <w:abstractNumId w:val="14"/>
  </w:num>
  <w:num w:numId="14">
    <w:abstractNumId w:val="22"/>
  </w:num>
  <w:num w:numId="15">
    <w:abstractNumId w:val="12"/>
  </w:num>
  <w:num w:numId="16">
    <w:abstractNumId w:val="15"/>
  </w:num>
  <w:num w:numId="17">
    <w:abstractNumId w:val="9"/>
  </w:num>
  <w:num w:numId="18">
    <w:abstractNumId w:val="21"/>
  </w:num>
  <w:num w:numId="19">
    <w:abstractNumId w:val="8"/>
  </w:num>
  <w:num w:numId="20">
    <w:abstractNumId w:val="16"/>
  </w:num>
  <w:num w:numId="21">
    <w:abstractNumId w:val="18"/>
  </w:num>
  <w:num w:numId="22">
    <w:abstractNumId w:val="19"/>
  </w:num>
  <w:num w:numId="23">
    <w:abstractNumId w:val="11"/>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3:25: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DBD1680B-33A7-4B01-9134-7D16B52F0D2E"/>
    <w:docVar w:name="LW_COVERPAGE_TYPE" w:val="1"/>
    <w:docVar w:name="LW_CROSSREFERENCE" w:val="&lt;UNUSED&gt;"/>
    <w:docVar w:name="LW_DocType" w:val="COM"/>
    <w:docVar w:name="LW_EMISSION" w:val="28. 5. 2020"/>
    <w:docVar w:name="LW_EMISSION_ISODATE" w:val="2020-05-28"/>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05"/>
    <w:docVar w:name="LW_REF.II.NEW.CP_YEAR" w:val="2020"/>
    <w:docVar w:name="LW_REF.INST.NEW" w:val="COM"/>
    <w:docVar w:name="LW_REF.INST.NEW_ADOPTED" w:val="final"/>
    <w:docVar w:name="LW_REF.INST.NEW_TEXT" w:val="(2020)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EÚ) \u269?. 223/2014, pokia\u318? ide o zavedenie osobitných opatrení na rie\u353?enie krízy spôsobenej ochorením COVID-19_x000b_"/>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20/04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3E00-B72E-4CFC-B7FB-A2FF885F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3044</Words>
  <Characters>18452</Characters>
  <Application>Microsoft Office Word</Application>
  <DocSecurity>0</DocSecurity>
  <Lines>323</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2020-05-23T09:53:00Z</cp:lastPrinted>
  <dcterms:created xsi:type="dcterms:W3CDTF">2020-05-29T15:41:00Z</dcterms:created>
  <dcterms:modified xsi:type="dcterms:W3CDTF">2020-06-02T11:25:00Z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