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F7C9B31-9951-416C-BDB1-D03D9E3977A1" style="width:451.35pt;height:365.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keepNext/>
        <w:tabs>
          <w:tab w:val="left" w:pos="0"/>
        </w:tabs>
        <w:outlineLvl w:val="1"/>
        <w:rPr>
          <w:rFonts w:eastAsia="Calibri"/>
          <w:noProof/>
        </w:rPr>
      </w:pPr>
      <w:r>
        <w:rPr>
          <w:noProof/>
        </w:rPr>
        <w:t>Izravne i neizravne posljedice pandemije bolesti COVID-19 sve su izraženije u svim državama članicama. Trenutačna je situacija dosad nezabilježena i iziskuje primjenu izvanrednih mjera prilagođenih tim okolnostima, što uključuje i pomoć najpotrebitijima iz Fonda europske pomoći za najpotrebitije (FEAD). Kriza ne predstavlja samo konkretne rizike za najpotrebitije, nego i povećava materijalnu oskudicu. Očekuje se da će najranjivije skupine u društvu biti najteže pogođene socioekonomskim posljedicama krize. Uz to, zbog društvenih i gospodarskih posljedica pandemije bolesti COVID-19 raste broj najugroženijih.</w:t>
      </w:r>
    </w:p>
    <w:p>
      <w:pPr>
        <w:keepNext/>
        <w:tabs>
          <w:tab w:val="left" w:pos="0"/>
        </w:tabs>
        <w:outlineLvl w:val="1"/>
        <w:rPr>
          <w:rFonts w:eastAsia="Calibri"/>
          <w:noProof/>
        </w:rPr>
      </w:pPr>
      <w:r>
        <w:rPr>
          <w:noProof/>
        </w:rPr>
        <w:t>Prvom „Investicijskom inicijativom kao odgovor na koronavirus” (CRII)</w:t>
      </w:r>
      <w:r>
        <w:rPr>
          <w:rStyle w:val="FootnoteReference"/>
          <w:rFonts w:eastAsia="Calibri"/>
          <w:noProof/>
        </w:rPr>
        <w:footnoteReference w:id="1"/>
      </w:r>
      <w:r>
        <w:rPr>
          <w:noProof/>
        </w:rPr>
        <w:t>, paketom mjera koji je stupio na snagu 1. travnja 2020., uveden je niz bitnih izmjena zakonodavnog okvira koji se primjenjuje na europske strukturne i investicijske fondove kako bismo se mogli bolje nositi s danom situacijom. Dodatne mjere donesene su u okviru „Investicijske inicijative plus kao odgovor na koronavirus” (CRII Plus)</w:t>
      </w:r>
      <w:r>
        <w:rPr>
          <w:rStyle w:val="FootnoteReference"/>
          <w:rFonts w:eastAsia="Calibri"/>
          <w:noProof/>
        </w:rPr>
        <w:footnoteReference w:id="2"/>
      </w:r>
      <w:r>
        <w:rPr>
          <w:noProof/>
        </w:rPr>
        <w:t>. Taj je paket uključivao i izmjene Uredbe (EU) br. 223/2014</w:t>
      </w:r>
      <w:r>
        <w:rPr>
          <w:rStyle w:val="FootnoteReference"/>
          <w:rFonts w:eastAsia="Calibri"/>
          <w:noProof/>
        </w:rPr>
        <w:footnoteReference w:id="3"/>
      </w:r>
      <w:r>
        <w:rPr>
          <w:noProof/>
        </w:rPr>
        <w:t xml:space="preserve"> (Uredba o FEAD-u) Uredbom (EU) 2020/559 Europskog parlamenta i Vijeća od 23. travnja 2020.</w:t>
      </w:r>
      <w:r>
        <w:rPr>
          <w:rStyle w:val="FootnoteReference"/>
          <w:rFonts w:eastAsia="Calibri"/>
          <w:noProof/>
        </w:rPr>
        <w:footnoteReference w:id="4"/>
      </w:r>
      <w:r>
        <w:rPr>
          <w:noProof/>
        </w:rPr>
        <w:t>, koja je stupila na snagu 25. travnja 2020., uvođenjem posebnih mjera dodatne fleksibilnosti i likvidnosti u okviru FEAD-a kako bi države članice odgovorile na pandemiju bolesti COVID-19.</w:t>
      </w:r>
    </w:p>
    <w:p>
      <w:pPr>
        <w:keepNext/>
        <w:tabs>
          <w:tab w:val="left" w:pos="0"/>
        </w:tabs>
        <w:outlineLvl w:val="1"/>
        <w:rPr>
          <w:rFonts w:eastAsia="Calibri"/>
          <w:noProof/>
        </w:rPr>
      </w:pPr>
      <w:r>
        <w:rPr>
          <w:noProof/>
        </w:rPr>
        <w:t>Situacija se polako razvija i mnoge se regije i države članice pripremaju na oprezno ublažavanje ograničenja za svoja društva i poduzeća te na ponovno pokretanje svojih gospodarstava. Ipak, izravni i neizravni učinci krize već su uzeli danak u mnogim sektorima. Proces oporavka će potrajati, a potreba za daljnjim mjerama ograničenja kretanja ne može se isključiti. U tom kontekstu postoji ozbiljan rizik od povećanja broja ljudi koji su pogođeni oskudicom hrane i materijalnom oskudicom i stoga su potrebne daljnje mjere kako bi se odgovorilo na socijalne posljedice pandemije bolesti COVID-19 radi osiguravanja socijalno pravednog oporavka u skladu s europskim stupom socijalnih prava.</w:t>
      </w:r>
    </w:p>
    <w:p>
      <w:pPr>
        <w:keepNext/>
        <w:tabs>
          <w:tab w:val="left" w:pos="0"/>
        </w:tabs>
        <w:outlineLvl w:val="1"/>
        <w:rPr>
          <w:rFonts w:eastAsia="Calibri"/>
          <w:noProof/>
        </w:rPr>
      </w:pPr>
      <w:r>
        <w:rPr>
          <w:noProof/>
        </w:rPr>
        <w:t xml:space="preserve">Iako je Komisija predložila izvanredne mjere kojima je omogućila najveću moguću fleksibilnost i potporu javnim tijelima, partnerskim organizacijama i drugim dionicima uključenima u provedbu FEAD-a, države članice imaju probleme s likvidnošću zbog nastojanja da odgovore na krizu uzrokovanu pandemijom bolesti COVID-19 i sve veće potrebe na terenu. </w:t>
      </w:r>
    </w:p>
    <w:p>
      <w:pPr>
        <w:keepNext/>
        <w:tabs>
          <w:tab w:val="left" w:pos="0"/>
        </w:tabs>
        <w:outlineLvl w:val="1"/>
        <w:rPr>
          <w:rFonts w:eastAsia="Calibri"/>
          <w:noProof/>
        </w:rPr>
      </w:pPr>
      <w:r>
        <w:rPr>
          <w:noProof/>
        </w:rPr>
        <w:t xml:space="preserve">Kako bi se državama članicama pomoglo u pružanju učinkovitog odgovora na pandemiju bolesti COVID-19, uključujući njezine socijalne i gospodarske posljedice, primjereno je stoga donijeti dodatne mjere, uključujući povećanje sredstava koja su dostupna iz Europskog fonda za regionalni razvoj (EFRR), Europskog socijalnog fonda (ESF) i FEAD-a. U tom kontekstu </w:t>
      </w:r>
      <w:r>
        <w:rPr>
          <w:noProof/>
        </w:rPr>
        <w:lastRenderedPageBreak/>
        <w:t>Komisija predlaže novu izmjenu Uredbe o zajedničkim odredbama (REACT-EU)</w:t>
      </w:r>
      <w:r>
        <w:rPr>
          <w:rStyle w:val="FootnoteReference"/>
          <w:noProof/>
        </w:rPr>
        <w:t xml:space="preserve"> </w:t>
      </w:r>
      <w:r>
        <w:rPr>
          <w:rStyle w:val="FootnoteReference"/>
          <w:rFonts w:eastAsia="Calibri"/>
          <w:noProof/>
        </w:rPr>
        <w:footnoteReference w:id="5"/>
      </w:r>
      <w:r>
        <w:rPr>
          <w:noProof/>
        </w:rPr>
        <w:t xml:space="preserve"> i Uredbe o FEAD-u kao odgovor na pandemiju bolesti COVID-19 kako bi za te fondove osigurala dodatna sredstva za 2020., 2021. i 2022. godinu. </w:t>
      </w:r>
    </w:p>
    <w:p>
      <w:pPr>
        <w:pBdr>
          <w:top w:val="nil"/>
          <w:left w:val="nil"/>
          <w:bottom w:val="nil"/>
          <w:right w:val="nil"/>
          <w:between w:val="nil"/>
          <w:bar w:val="nil"/>
        </w:pBdr>
        <w:spacing w:before="0" w:after="240"/>
        <w:rPr>
          <w:noProof/>
        </w:rPr>
      </w:pPr>
      <w:r>
        <w:rPr>
          <w:noProof/>
        </w:rPr>
        <w:t xml:space="preserve">Dodatna sredstva za 2020. potječu iz povećanja ukupnih sredstava za gospodarsku, socijalnu i teritorijalnu koheziju u višegodišnjem financijskom okviru za razdoblje 2014.–2020. Dodatna sredstva za 2021. i 2022. predstavljaju vanjske namjenske prihode koji proizlaze iz [Europskog instrumenta za oporavak]. </w:t>
      </w:r>
    </w:p>
    <w:p>
      <w:pPr>
        <w:pBdr>
          <w:top w:val="nil"/>
          <w:left w:val="nil"/>
          <w:bottom w:val="nil"/>
          <w:right w:val="nil"/>
          <w:between w:val="nil"/>
          <w:bar w:val="nil"/>
        </w:pBdr>
        <w:spacing w:before="0" w:after="240"/>
        <w:rPr>
          <w:rFonts w:eastAsia="Calibri"/>
          <w:noProof/>
        </w:rPr>
      </w:pPr>
      <w:r>
        <w:rPr>
          <w:noProof/>
        </w:rPr>
        <w:t>Ti će se iznosi raspodijeliti među državama članicama uzimajući u obzir njihovo relativno blagostanje i u kojoj je mjeri trenutačna kriza pogodila njihova gospodarstva i društva. Tehničkoj pomoći na inicijativu Komisije dodjeljuje se 0,35 % dodatnih sredstava. Odstupajući od pravila koja se primjenjuju na vanjske namjenske prihode utvrđena u Financijskoj uredbi, nakon što se dodijele operativnim programima, ta dodatna sredstva slijede primjenjiva pravila utvrđena u Uredbi o zajedničkim odredbama i Uredbi o FEAD-u, uključujući pravila o obvezama i opozivima iz Uredbe o zajedničkim odredbama.</w:t>
      </w:r>
    </w:p>
    <w:p>
      <w:pPr>
        <w:pBdr>
          <w:top w:val="nil"/>
          <w:left w:val="nil"/>
          <w:bottom w:val="nil"/>
          <w:right w:val="nil"/>
          <w:between w:val="nil"/>
          <w:bar w:val="nil"/>
        </w:pBdr>
        <w:spacing w:before="0" w:after="240"/>
        <w:rPr>
          <w:rFonts w:eastAsia="Calibri"/>
          <w:noProof/>
        </w:rPr>
      </w:pPr>
      <w:r>
        <w:rPr>
          <w:noProof/>
        </w:rPr>
        <w:t>Države članice mogu upotrijebiti te iznose u okviru cilja „Ulaganje u rast i radna mjesta” kako bi iz EFRR-a ili ESF-a podržale operacije kojima se potiče uklanjanje posljedica krize u kontekstu pandemije bolesti COVID-19 u regijama u kojima su gospodarstvo i radna mjesta najteže pogođeni i priprema oporavak gospodarstava, ili za povećanje sredstava dodijeljenih za programe koje podupire FEAD.</w:t>
      </w:r>
    </w:p>
    <w:p>
      <w:pPr>
        <w:pBdr>
          <w:top w:val="nil"/>
          <w:left w:val="nil"/>
          <w:bottom w:val="nil"/>
          <w:right w:val="nil"/>
          <w:between w:val="nil"/>
          <w:bar w:val="nil"/>
        </w:pBdr>
        <w:spacing w:before="0" w:after="240"/>
        <w:rPr>
          <w:rFonts w:eastAsia="Calibri"/>
          <w:noProof/>
        </w:rPr>
      </w:pPr>
      <w:r>
        <w:rPr>
          <w:noProof/>
        </w:rPr>
        <w:t>Dodjela dodatnih sredstava FEAD-u dobrovoljna je za države članice, u skladu s njihovim konkretnim potrebama. Pri razmatranju tog pitanja države članice trebale bi obratiti posebnu pozornost na povećanje broja najugroženijih od početka pandemije bolesti COVID-19.</w:t>
      </w:r>
    </w:p>
    <w:p>
      <w:pPr>
        <w:pBdr>
          <w:top w:val="nil"/>
          <w:left w:val="nil"/>
          <w:bottom w:val="nil"/>
          <w:right w:val="nil"/>
          <w:between w:val="nil"/>
          <w:bar w:val="nil"/>
        </w:pBdr>
        <w:spacing w:before="0" w:after="240"/>
        <w:rPr>
          <w:rFonts w:eastAsia="Calibri"/>
          <w:noProof/>
        </w:rPr>
      </w:pPr>
      <w:r>
        <w:rPr>
          <w:noProof/>
        </w:rPr>
        <w:t>Osim toga, u skladu s izmjenama predloženima za Uredbu o zajedničkim odredbama (REACT-EU)</w:t>
      </w:r>
      <w:r>
        <w:rPr>
          <w:rStyle w:val="FootnoteReference"/>
          <w:rFonts w:eastAsia="Calibri"/>
          <w:noProof/>
        </w:rPr>
        <w:footnoteReference w:id="6"/>
      </w:r>
      <w:r>
        <w:rPr>
          <w:noProof/>
        </w:rPr>
        <w:t>, Komisija predlaže uvođenje dodatnih mjera kojima se osigurava veća likvidnost za države članice, posebno omogućujući državama članicama da dobiju znatno pretfinanciranje u slučaju povećanja sredstava u okviru FEAD-a te da se države članice izuzmu od davanja nacionalnog doprinosa na povećana sredstva. Nadalje, slično onome što je predloženo za Uredbu o zajedničkim odredbama (REACT-EU), s obzirom na potrebu da se osigura da se ta dodatna sredstva brzo iskoriste za ulaganja na terenu i ostvare učinak u realnom gospodarstvu, ne predlaže se produljenje krajnjeg roka prihvatljivosti, koji i dalje ostaje – uključujući i za dodatna sredstva – 31. prosinca 2023. (za rashode nastale na razini korisnika). Ipak, pojašnjava se da se obveze povezane s dodatnim sredstvima opozivaju u skladu s pravilima koja treba slijediti pri zaključivanju programâ (odnosno 2025. nakon podnošenja potrebnih dokumenata u skladu s člankom 52.). Također se predviđa prilagodba elektroničkog sustava koji se upotrebljava za službenu razmjenu podataka između Komisije i država članica u skladu s člankom 30. stavkom 4. kako bi se državama članicama omogućilo podnošenje zahtjeva za izmjene operativnih programa za dodjelu dodatnih sredstava za godine 2020., 2021. i 2022. bez odgode.</w:t>
      </w:r>
    </w:p>
    <w:p>
      <w:pPr>
        <w:keepNext/>
        <w:tabs>
          <w:tab w:val="left" w:pos="0"/>
        </w:tabs>
        <w:outlineLvl w:val="1"/>
        <w:rPr>
          <w:rFonts w:eastAsia="Calibri"/>
          <w:noProof/>
        </w:rPr>
      </w:pPr>
      <w:r>
        <w:rPr>
          <w:noProof/>
        </w:rPr>
        <w:lastRenderedPageBreak/>
        <w:t>Pandemija bolesti COVID-19 imala je i nerazmjeran socioekonomski učinak na žene. Stoga bi države članice trebale voditi računa o tome da se operacije vode uz strogo pridržavanje horizontalnog načela rodne ravnopravnosti kako je utvrđeno u članku 5. stavku 11. Uredbe o FEAD-u.</w:t>
      </w:r>
    </w:p>
    <w:p>
      <w:pPr>
        <w:keepNext/>
        <w:tabs>
          <w:tab w:val="left" w:pos="0"/>
        </w:tabs>
        <w:outlineLvl w:val="1"/>
        <w:rPr>
          <w:rFonts w:eastAsia="Calibri"/>
          <w:noProof/>
        </w:rPr>
      </w:pPr>
      <w:r>
        <w:rPr>
          <w:noProof/>
        </w:rPr>
        <w:t>Naposljetku, Komisija predlaže i dodatne odredbe kojima se državama članicama omogućuje fleksibilnost u korištenju tehničke pomoći.</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tom području</w:t>
      </w:r>
    </w:p>
    <w:p>
      <w:pPr>
        <w:pBdr>
          <w:top w:val="nil"/>
          <w:left w:val="nil"/>
          <w:bottom w:val="nil"/>
          <w:right w:val="nil"/>
          <w:between w:val="nil"/>
          <w:bar w:val="nil"/>
        </w:pBdr>
        <w:spacing w:after="240"/>
        <w:rPr>
          <w:rFonts w:eastAsia="Calibri"/>
          <w:noProof/>
        </w:rPr>
      </w:pPr>
      <w:r>
        <w:rPr>
          <w:noProof/>
        </w:rPr>
        <w:t>Ovaj je prijedlog u skladu s postojećim odredbama u danom području politike, posebno s onima koje je Komisija zbog izbijanja bolesti COVID-19 predložila za Uredbu o zajedničkim odredbama (REACT-EU), kao dio Komisijina prijedloga da osigura iznimnu fleksibilnost za upotrebu EFRR-a i ESF-a kao odgovor na izbijanje pandemije bolesti COVID-19.</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after="240"/>
        <w:rPr>
          <w:rFonts w:eastAsia="Calibri"/>
          <w:noProof/>
        </w:rPr>
      </w:pPr>
      <w:r>
        <w:rPr>
          <w:noProof/>
        </w:rPr>
        <w:t xml:space="preserve">Prijedlog je u skladu s drugim prijedlozima i inicijativama koje je donijela Komisija, a među njima posebno onima koji su kao odgovor na pandemiju bolesti COVID-19 doneseni za EFRR i ESF.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osnova</w:t>
      </w:r>
    </w:p>
    <w:p>
      <w:pPr>
        <w:pBdr>
          <w:top w:val="nil"/>
          <w:left w:val="nil"/>
          <w:bottom w:val="nil"/>
          <w:right w:val="nil"/>
          <w:between w:val="nil"/>
          <w:bar w:val="nil"/>
        </w:pBdr>
        <w:spacing w:after="240"/>
        <w:rPr>
          <w:rFonts w:eastAsia="Calibri"/>
          <w:noProof/>
        </w:rPr>
      </w:pPr>
      <w:r>
        <w:rPr>
          <w:noProof/>
        </w:rPr>
        <w:t>Prijedlog se temelji na članku 175. stavku 3. Ugovora o funkcioniranju Europske unije. Njime se državama članicama omogućuje da povećaju sredstva u okviru FEAD-a, dobiju dodatno pretfinanciranje te da budu izuzete od davanja nacionalnog doprinosa na povećana sredstva. Te izvanredne promjene ne dovode u pitanje pravila koja se primjenjuju u redovnim okolnostima.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Supsidijarnost (za neisključivu nadležnost) </w:t>
      </w:r>
    </w:p>
    <w:p>
      <w:pPr>
        <w:pStyle w:val="Body"/>
        <w:spacing w:after="240"/>
        <w:rPr>
          <w:noProof/>
          <w:lang w:val="hr-HR"/>
        </w:rPr>
      </w:pPr>
      <w:r>
        <w:rPr>
          <w:noProof/>
          <w:lang w:val="hr-HR"/>
        </w:rPr>
        <w:t>Prijedlog je u skladu s načelom supsidijarnosti. Prijedlogom se ne mijenja način provedbe FEAD-a, koji ostaje pod podijeljenim upravljanjem.</w:t>
      </w:r>
    </w:p>
    <w:p>
      <w:pPr>
        <w:pStyle w:val="Body"/>
        <w:spacing w:after="240"/>
        <w:rPr>
          <w:noProof/>
          <w:lang w:val="hr-HR"/>
        </w:rPr>
      </w:pPr>
      <w:r>
        <w:rPr>
          <w:noProof/>
          <w:lang w:val="hr-HR"/>
        </w:rPr>
        <w:t>Podijeljeno upravljanje temelji se na načelu supsidijarnosti jer Komisija delegira zadaće strateškog programiranja i provedbe državama članicama. Ujedno ograničava djelovanje EU-a na ono što je nužno za postizanje ciljeva kako je utvrđeno u Ugovorima.</w:t>
      </w:r>
    </w:p>
    <w:p>
      <w:pPr>
        <w:pStyle w:val="Body"/>
        <w:spacing w:after="240"/>
        <w:rPr>
          <w:noProof/>
          <w:lang w:val="hr-HR"/>
        </w:rPr>
      </w:pPr>
      <w:r>
        <w:rPr>
          <w:noProof/>
          <w:lang w:val="hr-HR"/>
        </w:rPr>
        <w:t>Cilj je ovog prijedloga, zajedno s prijedlogom izmjene Uredbe (EU) br. 1303/2013</w:t>
      </w:r>
      <w:r>
        <w:rPr>
          <w:rStyle w:val="FootnoteReference"/>
          <w:noProof/>
        </w:rPr>
        <w:footnoteReference w:id="7"/>
      </w:r>
      <w:r>
        <w:rPr>
          <w:noProof/>
          <w:lang w:val="hr-HR"/>
        </w:rPr>
        <w:t xml:space="preserve">, da se omogući stavljanje na raspolaganje dodatnih sredstava. Također se namjeravaju pojasniti pravila kojima se uređuje upotreba tih sredstava u kontekstu programâ u programskom razdoblju 2014.–2020. </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Proporcionalnost</w:t>
      </w:r>
    </w:p>
    <w:p>
      <w:pPr>
        <w:rPr>
          <w:rFonts w:eastAsia="Calibri"/>
          <w:noProof/>
        </w:rPr>
      </w:pPr>
      <w:r>
        <w:rPr>
          <w:noProof/>
        </w:rPr>
        <w:t>Prijedlog je proporcionalan, odnosno uključene su samo odredbe nužne za postizanje ciljeva Ugovora. Ograničen je na izmjene koje se u kontekstu provedbe FEAD-a smatraju nužnima za utvrđivanje pravila koja treba poštovati kad je riječ o dodatnim sredstvima i za rješavanje problema s kojima se države članice suočavaju tijekom krize uzrokovane pandemijom bolesti COVID-19.</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Odabir instrumenta</w:t>
      </w:r>
    </w:p>
    <w:p>
      <w:pPr>
        <w:pBdr>
          <w:top w:val="nil"/>
          <w:left w:val="nil"/>
          <w:bottom w:val="nil"/>
          <w:right w:val="nil"/>
          <w:between w:val="nil"/>
          <w:bar w:val="nil"/>
        </w:pBdr>
        <w:spacing w:after="240"/>
        <w:rPr>
          <w:rFonts w:eastAsia="Calibri"/>
          <w:noProof/>
        </w:rPr>
      </w:pPr>
      <w:r>
        <w:rPr>
          <w:noProof/>
        </w:rPr>
        <w:t xml:space="preserve">Odabrani je instrument uredba Europskog parlamenta i Vijeća, u skladu s redovnim zakonodavnim postupkom kako je predviđeno člankom 175. stavkom 3. Ugovora. Komisija je istražila prostor za djelovanje predviđen pravnim okvirom i smatra da je potrebno predložiti izmjene Uredbe (EU) br. 223/2014. </w:t>
      </w:r>
    </w:p>
    <w:p>
      <w:pPr>
        <w:pStyle w:val="ManualHeading1"/>
        <w:rPr>
          <w:noProof/>
        </w:rPr>
      </w:pPr>
      <w:r>
        <w:rPr>
          <w:noProof/>
        </w:rPr>
        <w:t>3.</w:t>
      </w:r>
      <w:r>
        <w:rPr>
          <w:noProof/>
        </w:rPr>
        <w:tab/>
        <w:t xml:space="preserve">REZULTATI </w:t>
      </w:r>
      <w:r>
        <w:rPr>
          <w:i/>
          <w:iCs/>
          <w:noProof/>
        </w:rPr>
        <w:t>EX POST</w:t>
      </w:r>
      <w:r>
        <w:rPr>
          <w:noProof/>
        </w:rPr>
        <w:t xml:space="preserve"> EVALUACIJA, SAVJETOVANJA S DIONICIMA I PROCJENA UČINKA</w:t>
      </w:r>
    </w:p>
    <w:p>
      <w:pPr>
        <w:pStyle w:val="ManualHeading2"/>
        <w:rPr>
          <w:rFonts w:eastAsia="Arial Unicode MS"/>
          <w:noProof/>
          <w:u w:color="000000"/>
          <w:bdr w:val="nil"/>
        </w:rPr>
      </w:pPr>
      <w:r>
        <w:rPr>
          <w:noProof/>
          <w:u w:color="000000"/>
          <w:bdr w:val="nil"/>
        </w:rPr>
        <w:t>•</w:t>
      </w:r>
      <w:r>
        <w:rPr>
          <w:noProof/>
        </w:rPr>
        <w:tab/>
      </w:r>
      <w:r>
        <w:rPr>
          <w:i/>
          <w:noProof/>
          <w:u w:color="000000"/>
          <w:bdr w:val="nil"/>
        </w:rPr>
        <w:t>Ex post</w:t>
      </w:r>
      <w:r>
        <w:rPr>
          <w:noProof/>
          <w:u w:color="000000"/>
          <w:bdr w:val="nil"/>
        </w:rPr>
        <w:t xml:space="preserve"> evaluacija/provjera primjerenosti postojećeg zakonodavstva</w:t>
      </w:r>
    </w:p>
    <w:p>
      <w:pPr>
        <w:pBdr>
          <w:top w:val="nil"/>
          <w:left w:val="nil"/>
          <w:bottom w:val="nil"/>
          <w:right w:val="nil"/>
          <w:between w:val="nil"/>
          <w:bar w:val="nil"/>
        </w:pBdr>
        <w:spacing w:after="240"/>
        <w:rPr>
          <w:rFonts w:eastAsia="Arial Unicode MS"/>
          <w:noProof/>
        </w:rPr>
      </w:pPr>
      <w:r>
        <w:rPr>
          <w:noProof/>
        </w:rPr>
        <w:t xml:space="preserve">S obzirom na posebne okolnosti ovog prijedloga nije provedena </w:t>
      </w:r>
      <w:r>
        <w:rPr>
          <w:i/>
          <w:noProof/>
        </w:rPr>
        <w:t>ex post</w:t>
      </w:r>
      <w:r>
        <w:rPr>
          <w:noProof/>
        </w:rPr>
        <w:t xml:space="preserve"> evaluacija/provjera primjerenosti postojećeg zakonodavstva.</w:t>
      </w:r>
    </w:p>
    <w:p>
      <w:pPr>
        <w:pStyle w:val="ManualHeading2"/>
        <w:rPr>
          <w:rFonts w:eastAsia="Arial Unicode MS"/>
          <w:noProof/>
          <w:u w:color="000000"/>
          <w:bdr w:val="nil"/>
        </w:rPr>
      </w:pPr>
      <w:r>
        <w:rPr>
          <w:noProof/>
          <w:u w:color="000000"/>
          <w:bdr w:val="nil"/>
        </w:rPr>
        <w:t>•</w:t>
      </w:r>
      <w:r>
        <w:rPr>
          <w:noProof/>
        </w:rPr>
        <w:tab/>
      </w:r>
      <w:r>
        <w:rPr>
          <w:noProof/>
          <w:u w:color="000000"/>
          <w:bdr w:val="nil"/>
        </w:rPr>
        <w:t>Savjetovanja s dionicima</w:t>
      </w:r>
    </w:p>
    <w:p>
      <w:pPr>
        <w:pBdr>
          <w:top w:val="nil"/>
          <w:left w:val="nil"/>
          <w:bottom w:val="nil"/>
          <w:right w:val="nil"/>
          <w:between w:val="nil"/>
          <w:bar w:val="nil"/>
        </w:pBdr>
        <w:spacing w:after="240"/>
        <w:rPr>
          <w:rFonts w:eastAsia="Arial Unicode MS"/>
          <w:noProof/>
        </w:rPr>
      </w:pPr>
      <w:r>
        <w:rPr>
          <w:noProof/>
        </w:rPr>
        <w:t>S obzirom na posebne okolnosti, o ovom prijedlogu nije provedeno savjetovanje s vanjskim dionicima.</w:t>
      </w:r>
    </w:p>
    <w:p>
      <w:pPr>
        <w:pStyle w:val="ManualHeading2"/>
        <w:rPr>
          <w:rFonts w:eastAsia="Arial Unicode MS"/>
          <w:noProof/>
          <w:u w:color="000000"/>
          <w:bdr w:val="nil"/>
        </w:rPr>
      </w:pPr>
      <w:r>
        <w:rPr>
          <w:noProof/>
          <w:u w:color="000000"/>
          <w:bdr w:val="nil"/>
        </w:rPr>
        <w:t>•</w:t>
      </w:r>
      <w:r>
        <w:rPr>
          <w:noProof/>
        </w:rPr>
        <w:tab/>
      </w:r>
      <w:r>
        <w:rPr>
          <w:noProof/>
          <w:u w:color="000000"/>
          <w:bdr w:val="nil"/>
        </w:rPr>
        <w:t>Prikupljanje i primjena stručnog znanja</w:t>
      </w:r>
    </w:p>
    <w:p>
      <w:pPr>
        <w:pBdr>
          <w:top w:val="nil"/>
          <w:left w:val="nil"/>
          <w:bottom w:val="nil"/>
          <w:right w:val="nil"/>
          <w:between w:val="nil"/>
          <w:bar w:val="nil"/>
        </w:pBdr>
        <w:spacing w:after="240"/>
        <w:rPr>
          <w:rFonts w:eastAsia="Arial Unicode MS"/>
          <w:noProof/>
        </w:rPr>
      </w:pPr>
      <w:r>
        <w:rPr>
          <w:noProof/>
        </w:rPr>
        <w:t>Nije bilo potrebno obratiti se vanjskim stručnjacima.</w:t>
      </w:r>
    </w:p>
    <w:p>
      <w:pPr>
        <w:pStyle w:val="ManualHeading2"/>
        <w:rPr>
          <w:rFonts w:eastAsia="Arial Unicode MS"/>
          <w:noProof/>
          <w:u w:color="000000"/>
          <w:bdr w:val="nil"/>
        </w:rPr>
      </w:pPr>
      <w:r>
        <w:rPr>
          <w:noProof/>
          <w:u w:color="000000"/>
          <w:bdr w:val="nil"/>
        </w:rPr>
        <w:t>•</w:t>
      </w:r>
      <w:r>
        <w:rPr>
          <w:noProof/>
        </w:rPr>
        <w:tab/>
      </w:r>
      <w:r>
        <w:rPr>
          <w:noProof/>
          <w:u w:color="000000"/>
          <w:bdr w:val="nil"/>
        </w:rPr>
        <w:t>Procjena učinka</w:t>
      </w:r>
    </w:p>
    <w:p>
      <w:pPr>
        <w:pBdr>
          <w:top w:val="nil"/>
          <w:left w:val="nil"/>
          <w:bottom w:val="nil"/>
          <w:right w:val="nil"/>
          <w:between w:val="nil"/>
          <w:bar w:val="nil"/>
        </w:pBdr>
        <w:spacing w:after="240"/>
        <w:rPr>
          <w:rFonts w:eastAsia="Arial Unicode MS"/>
          <w:noProof/>
        </w:rPr>
      </w:pPr>
      <w:r>
        <w:rPr>
          <w:noProof/>
        </w:rPr>
        <w:t>Nije primjenjivo.</w:t>
      </w:r>
    </w:p>
    <w:p>
      <w:pPr>
        <w:pStyle w:val="ManualHeading2"/>
        <w:rPr>
          <w:rFonts w:eastAsia="Arial Unicode MS"/>
          <w:noProof/>
          <w:u w:color="000000"/>
          <w:bdr w:val="nil"/>
        </w:rPr>
      </w:pPr>
      <w:r>
        <w:rPr>
          <w:noProof/>
          <w:u w:color="000000"/>
          <w:bdr w:val="nil"/>
        </w:rPr>
        <w:t>•</w:t>
      </w:r>
      <w:r>
        <w:rPr>
          <w:noProof/>
        </w:rPr>
        <w:tab/>
      </w:r>
      <w:r>
        <w:rPr>
          <w:noProof/>
          <w:u w:color="000000"/>
          <w:bdr w:val="nil"/>
        </w:rPr>
        <w:t>Primjerenost i pojednostavnjenje propisa</w:t>
      </w:r>
    </w:p>
    <w:p>
      <w:pPr>
        <w:rPr>
          <w:rFonts w:eastAsia="Calibri"/>
          <w:noProof/>
        </w:rPr>
      </w:pPr>
      <w:r>
        <w:rPr>
          <w:noProof/>
        </w:rPr>
        <w:t>Ova inicijativa ne potpada pod Program za primjerenost i učinkovitost propisa (REFIT).</w:t>
      </w:r>
    </w:p>
    <w:p>
      <w:pPr>
        <w:pStyle w:val="ManualHeading2"/>
        <w:rPr>
          <w:rFonts w:eastAsia="Arial Unicode MS"/>
          <w:noProof/>
          <w:u w:color="000000"/>
          <w:bdr w:val="nil"/>
        </w:rPr>
      </w:pPr>
      <w:r>
        <w:rPr>
          <w:noProof/>
          <w:u w:color="000000"/>
          <w:bdr w:val="nil"/>
        </w:rPr>
        <w:t>•</w:t>
      </w:r>
      <w:r>
        <w:rPr>
          <w:noProof/>
        </w:rPr>
        <w:tab/>
      </w:r>
      <w:r>
        <w:rPr>
          <w:noProof/>
          <w:u w:color="000000"/>
          <w:bdr w:val="nil"/>
        </w:rPr>
        <w:t>Temeljna prava</w:t>
      </w:r>
    </w:p>
    <w:p>
      <w:pPr>
        <w:pBdr>
          <w:top w:val="nil"/>
          <w:left w:val="nil"/>
          <w:bottom w:val="nil"/>
          <w:right w:val="nil"/>
          <w:between w:val="nil"/>
          <w:bar w:val="nil"/>
        </w:pBdr>
        <w:spacing w:after="240"/>
        <w:rPr>
          <w:rFonts w:eastAsia="Arial Unicode MS"/>
          <w:noProof/>
        </w:rPr>
      </w:pPr>
      <w:r>
        <w:rPr>
          <w:noProof/>
        </w:rPr>
        <w:t>Prijedlog ne utječe na zaštitu temeljnih prava.</w:t>
      </w:r>
    </w:p>
    <w:p>
      <w:pPr>
        <w:pStyle w:val="ManualHeading1"/>
        <w:rPr>
          <w:noProof/>
        </w:rPr>
      </w:pPr>
      <w:r>
        <w:rPr>
          <w:noProof/>
        </w:rPr>
        <w:t>4.</w:t>
      </w:r>
      <w:r>
        <w:rPr>
          <w:noProof/>
        </w:rPr>
        <w:tab/>
        <w:t>UTJECAJ NA PRORAČUN</w:t>
      </w:r>
    </w:p>
    <w:p>
      <w:pPr>
        <w:rPr>
          <w:rFonts w:eastAsia="Times New Roman"/>
          <w:noProof/>
          <w:color w:val="000000"/>
          <w:szCs w:val="24"/>
          <w:u w:color="000000"/>
          <w:bdr w:val="nil"/>
          <w14:textOutline w14:w="0" w14:cap="flat" w14:cmpd="sng" w14:algn="ctr">
            <w14:noFill/>
            <w14:prstDash w14:val="solid"/>
            <w14:bevel/>
          </w14:textOutline>
        </w:rPr>
      </w:pPr>
      <w:r>
        <w:rPr>
          <w:noProof/>
        </w:rPr>
        <w:t>Prijedlog će dovesti do dodatnih obveza 2020., koje će se financirati povećanjem gornje granice višegodišnjeg financijskog okvira za razdoblje 2014.–2020. Dovest će i do dodatnih obveza za 2021. i 2022., koje će se financirati iz vanjskih namjenskih prihoda. Zbog prijedloga će se aktivirati dodatna plaćanja u razdoblju od 2020. do 2025. Utjecaj na proračun obuhvaćen je zakonodavnim financijskim izvještajem priloženim Uredbi REACT-EU.</w:t>
      </w:r>
    </w:p>
    <w:p>
      <w:pPr>
        <w:pStyle w:val="ManualHeading1"/>
        <w:rPr>
          <w:noProof/>
        </w:rPr>
      </w:pPr>
      <w:r>
        <w:rPr>
          <w:noProof/>
        </w:rPr>
        <w:t>5.</w:t>
      </w:r>
      <w:r>
        <w:rPr>
          <w:noProof/>
        </w:rPr>
        <w:tab/>
        <w:t>OSTALI DIJELOVI</w:t>
      </w:r>
    </w:p>
    <w:p>
      <w:pPr>
        <w:pStyle w:val="ManualHeading2"/>
        <w:rPr>
          <w:noProof/>
        </w:rPr>
      </w:pPr>
      <w:r>
        <w:rPr>
          <w:noProof/>
        </w:rPr>
        <w:t>•</w:t>
      </w:r>
      <w:r>
        <w:rPr>
          <w:noProof/>
        </w:rPr>
        <w:tab/>
        <w:t>Planovi provedbe i mehanizmi praćenja, evaluacije i izvješćivanja</w:t>
      </w:r>
    </w:p>
    <w:p>
      <w:pPr>
        <w:rPr>
          <w:noProof/>
        </w:rPr>
      </w:pPr>
      <w:r>
        <w:rPr>
          <w:noProof/>
        </w:rPr>
        <w:t>Provedba mjera pratit će se i o njoj će se izvješćivati u okviru općih mehanizama izvješćivanja iz Uredbe (EU) br. 223/2014.</w:t>
      </w:r>
    </w:p>
    <w:p>
      <w:pPr>
        <w:pStyle w:val="ManualHeading2"/>
        <w:rPr>
          <w:noProof/>
        </w:rPr>
      </w:pPr>
      <w:r>
        <w:rPr>
          <w:noProof/>
        </w:rPr>
        <w:t>•</w:t>
      </w:r>
      <w:r>
        <w:rPr>
          <w:noProof/>
        </w:rPr>
        <w:tab/>
        <w:t>Dokumenti s obrazloženjima (za direktive)</w:t>
      </w:r>
    </w:p>
    <w:p>
      <w:pPr>
        <w:rPr>
          <w:noProof/>
        </w:rPr>
      </w:pPr>
      <w:r>
        <w:rPr>
          <w:noProof/>
        </w:rPr>
        <w:t>Nije primjenjivo.</w:t>
      </w:r>
    </w:p>
    <w:p>
      <w:pPr>
        <w:pBdr>
          <w:top w:val="nil"/>
          <w:left w:val="nil"/>
          <w:bottom w:val="nil"/>
          <w:right w:val="nil"/>
          <w:between w:val="nil"/>
          <w:bar w:val="nil"/>
        </w:pBdr>
        <w:spacing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2020/0105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br. 223/2014 u pogledu uvođenja posebnih mjera za svladavanje krize uzrokovane pandemijom bolesti COVID-19</w:t>
      </w:r>
      <w:r>
        <w:rPr>
          <w:noProof/>
        </w:rPr>
        <w:br/>
      </w:r>
    </w:p>
    <w:p>
      <w:pPr>
        <w:pStyle w:val="Institutionquiagit"/>
        <w:rPr>
          <w:noProof/>
        </w:rPr>
      </w:pPr>
      <w:r>
        <w:rPr>
          <w:noProof/>
        </w:rPr>
        <w:t>EUROPSKI PARLAMENT I VIJEĆE EUROPSKE UNIJE,</w:t>
      </w:r>
    </w:p>
    <w:p>
      <w:pPr>
        <w:rPr>
          <w:noProof/>
        </w:rPr>
      </w:pPr>
      <w:r>
        <w:rPr>
          <w:noProof/>
        </w:rPr>
        <w:t xml:space="preserve">uzimajući u obzir Ugovor o funkcioniranju Europske unije, a posebno njegov članak 175. stavak 3., </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8"/>
      </w:r>
      <w:r>
        <w:rPr>
          <w:noProof/>
        </w:rPr>
        <w:t xml:space="preserve">, </w:t>
      </w:r>
    </w:p>
    <w:p>
      <w:pPr>
        <w:rPr>
          <w:noProof/>
        </w:rPr>
      </w:pPr>
      <w:r>
        <w:rPr>
          <w:noProof/>
        </w:rPr>
        <w:t>uzimajući u obzir mišljenje Odbora regija</w:t>
      </w:r>
      <w:r>
        <w:rPr>
          <w:rStyle w:val="FootnoteReference"/>
          <w:noProof/>
        </w:rPr>
        <w:footnoteReference w:id="9"/>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Uredbom (EU) br. 223/2014 Europskog parlamenta i Vijeća</w:t>
      </w:r>
      <w:r>
        <w:rPr>
          <w:rStyle w:val="FootnoteReference"/>
          <w:noProof/>
        </w:rPr>
        <w:footnoteReference w:id="10"/>
      </w:r>
      <w:r>
        <w:rPr>
          <w:noProof/>
        </w:rPr>
        <w:t xml:space="preserve"> utvrđena su pravila za Fond europske pomoći za najpotrebitije (FEAD). </w:t>
      </w:r>
    </w:p>
    <w:p>
      <w:pPr>
        <w:pStyle w:val="ManualConsidrant"/>
        <w:rPr>
          <w:noProof/>
        </w:rPr>
      </w:pPr>
      <w:r>
        <w:t>(2)</w:t>
      </w:r>
      <w:r>
        <w:tab/>
      </w:r>
      <w:r>
        <w:rPr>
          <w:noProof/>
        </w:rPr>
        <w:t>Europski parlament, Vijeće i Komisija zajednički su 17. studenoga 2017. proglasili europski stup socijalnih prava kao odgovor na socijalne izazove u Europi. Dvadeset ključnih načela stupa podijeljeno je u tri kategorije: jednake mogućnosti i pristup tržištu rada; pravedni uvjeti rada; socijalna zaštita i uključenost. Dvadeset načela europskog stupa socijalnih prava trebala bi usmjeravati mjere kojima se odgovara na pandemiju bolesti COVID-19 kako bi se osigurao socijalno pravedan oporavak.</w:t>
      </w:r>
    </w:p>
    <w:p>
      <w:pPr>
        <w:pStyle w:val="ManualConsidrant"/>
        <w:rPr>
          <w:noProof/>
        </w:rPr>
      </w:pPr>
      <w:r>
        <w:t>(3)</w:t>
      </w:r>
      <w:r>
        <w:tab/>
      </w:r>
      <w:r>
        <w:rPr>
          <w:noProof/>
        </w:rPr>
        <w:t>Posljedice krize uzrokovane pandemijom bolesti COVID-19 pogodile su države članice na dosad nezabilježen način. Kriza je dovela do ozbiljnih gospodarskih i socijalnih posljedica. Nastala je iznimna situacija na koju je potrebno reagirati posebnim mjerama u skladu s europskim stupom socijalnih prava.</w:t>
      </w:r>
    </w:p>
    <w:p>
      <w:pPr>
        <w:pStyle w:val="ManualConsidrant"/>
        <w:rPr>
          <w:noProof/>
        </w:rPr>
      </w:pPr>
      <w:r>
        <w:t>(4)</w:t>
      </w:r>
      <w:r>
        <w:tab/>
      </w:r>
      <w:r>
        <w:rPr>
          <w:noProof/>
        </w:rPr>
        <w:t>To posebno utječe na FEAD. Budući da je zbog pandemije bolesti COVID-19 došlo do povećanja broja ljudi pogođenih oskudicom hrane i materijalnom oskudicom i da su najpotrebitiji tijekom ove krize izloženi posebnim rizicima i dodatnim poteškoćama, državama članicama potrebna su dodatna financijska sredstva za pružanje potpore iz Fonda.</w:t>
      </w:r>
    </w:p>
    <w:p>
      <w:pPr>
        <w:pStyle w:val="ManualConsidrant"/>
        <w:rPr>
          <w:noProof/>
        </w:rPr>
      </w:pPr>
      <w:r>
        <w:t>(5)</w:t>
      </w:r>
      <w:r>
        <w:tab/>
      </w:r>
      <w:r>
        <w:rPr>
          <w:noProof/>
        </w:rPr>
        <w:t xml:space="preserve">Kako bi se ublažili veliki šokovi koje je pretrpjelo gospodarstvo i ozbiljni učinci na djelovanje jedinstvenog tržišta zbog iznimnih ograničenja koje su uvele države članice kako bi ograničile širenje bolesti COVID-19, Europsko vijeće podržalo je 23. travnja </w:t>
      </w:r>
      <w:r>
        <w:rPr>
          <w:noProof/>
        </w:rPr>
        <w:lastRenderedPageBreak/>
        <w:t>2020. Plan za oporavak koji uključuje snažnu investicijsku komponentu, pozvalo na uspostavu [Europskog instrumenta za oporavak] i ovlastilo Komisiju da analizira potrebe kako bi se sredstva usmjerila prema najpogođenijim sektorima i geografskim dijelovima Europe, pojasnivši pritom povezanost s VFO-om.</w:t>
      </w:r>
    </w:p>
    <w:p>
      <w:pPr>
        <w:pStyle w:val="ManualConsidrant"/>
        <w:rPr>
          <w:noProof/>
        </w:rPr>
      </w:pPr>
      <w:r>
        <w:t>(6)</w:t>
      </w:r>
      <w:r>
        <w:tab/>
      </w:r>
      <w:r>
        <w:rPr>
          <w:noProof/>
        </w:rPr>
        <w:t>Komisija je 27. svibnja 2020. iznijela prijedlog Uredbe</w:t>
      </w:r>
      <w:r>
        <w:rPr>
          <w:rStyle w:val="FootnoteReference"/>
          <w:noProof/>
        </w:rPr>
        <w:footnoteReference w:id="11"/>
      </w:r>
      <w:r>
        <w:rPr>
          <w:noProof/>
        </w:rPr>
        <w:t xml:space="preserve"> o izmjeni Uredbe Vijeća (EU, EURATOM) br. 1311/2013</w:t>
      </w:r>
      <w:r>
        <w:rPr>
          <w:rStyle w:val="FootnoteReference"/>
          <w:noProof/>
        </w:rPr>
        <w:footnoteReference w:id="12"/>
      </w:r>
      <w:r>
        <w:rPr>
          <w:noProof/>
        </w:rPr>
        <w:t xml:space="preserve"> i time aktivirala dodatna sredstva kako bi podržala države članice u uklanjanju posljedica krize u kontekstu pandemije bolesti COVID-19 i pripremi na oporavak gospodarstva. U sklopu tog paketa za tu se svrhu stavlja na raspolaganje dodatni izvanredni iznos od 58 272 800 000 EUR za proračunske obveze iz strukturnih fondova u okviru cilja „Ulaganje u rast i radna mjesta” za godine 2020., 2021. i 2022., kako bi se ta sredstva mogla brzo upotrijebiti za realno gospodarstvo primjenom postojećih struktura za programe kohezijske politike u razdoblju 2014.–2020. Komisija bi trebala utvrditi raščlambu dodatnih sredstava za svaku državu članicu na temelju metode dodjele koja se temelji na najnovijim raspoloživim objektivnim statističkim podacima o relativnom blagostanju država članica i o tome u kojoj su mjeri njihova gospodarstva pogođena trenutačnom krizom. Kako bi se uzela u obzir promjenjiva priroda učinaka krize, raščlambu bi trebalo revidirati 2021. na temelju iste metode dodjele primjenom najnovijih statističkih podataka dostupnih do 19. listopada 2021. Kako bi se omogućio djelotvoran odgovor na socijalne posljedice pandemije bolesti COVID-19 na najpotrebitije, primjereno je da države članice mogu dodijeliti dodatna sredstva FEAD-u, prema svojim potrebama. Pritom bi države članice trebale obratiti posebnu pažnju na povećanje broja najpotrebitijih od početka pandemije bolesti COVID-19. Osim toga, potrebno je utvrditi gornje granice u vezi s dodjelom povećanih sredstava za tehničku pomoć države članice. Uzimajući u obzir očekivanu brzu potrošnju dodatnih sredstava, obveze povezane s tim dodatnim sredstvima trebalo bi također opozvati pri zaključenju programa. Za dodatna sredstva uvode se i mogućnosti za financijske prijenose između EFRR-a, ESF-a i FEAD-a u okviru cilja „Ulaganje u rast i radna mjesta”.</w:t>
      </w:r>
    </w:p>
    <w:p>
      <w:pPr>
        <w:pStyle w:val="ManualConsidrant"/>
        <w:rPr>
          <w:noProof/>
        </w:rPr>
      </w:pPr>
      <w:r>
        <w:t>(7)</w:t>
      </w:r>
      <w:r>
        <w:tab/>
      </w:r>
      <w:r>
        <w:rPr>
          <w:noProof/>
        </w:rPr>
        <w:t>Na ovu se Uredbu primjenjuju horizontalna financijska pravila koja su Europski parlament i Vijeće donijeli na temelju članka 322. Ugovora o funkcioniranju Europske unije. Ta su pravila utvrđena u Financijskoj uredbi i njima se pobliže određuje postupak za utvrđivanje i izvršenje proračuna putem bespovratnih sredstava, nabave, nagrada i neizravne provedbe te se predviđaju provjere odgovornosti financijskih izvršitelja. Pravila donesena na temelju članka 322. UFEU-a odnose se i na zaštitu proračuna Unije u slučaju općih nedostataka u pogledu vladavine prava u državama članicama, s obzirom na to da je poštovanje vladavine prava temeljni preduvjet dobrog financijskog upravljanja i djelotvornog financiranja EU-a.</w:t>
      </w:r>
    </w:p>
    <w:p>
      <w:pPr>
        <w:pStyle w:val="ManualConsidrant"/>
        <w:rPr>
          <w:noProof/>
        </w:rPr>
      </w:pPr>
      <w:r>
        <w:t>(8)</w:t>
      </w:r>
      <w:r>
        <w:tab/>
      </w:r>
      <w:r>
        <w:rPr>
          <w:noProof/>
        </w:rPr>
        <w:t xml:space="preserve">Kako bi se osiguralo da države članice imaju dovoljno financijskih sredstava za brzu provedbu mjera za uklanjanje posljedica krize uzrokovane pandemijom bolesti COVID-19 i pripremu na oporavak gospodarstva, potrebno je omogućiti višu razinu pretfinanciranja za brzu provedbu mjera koje se podupiru dodatnim sredstvima. Iznos pretfinanciranja trebao bi osigurati da države članice raspolažu sredstvima da prema potrebi organiziraju isplatu predujmova korisnicima te da korisnicima nadoknade sredstva ubrzo nakon podnošenja zahtjeva za plaćanje. </w:t>
      </w:r>
    </w:p>
    <w:p>
      <w:pPr>
        <w:pStyle w:val="ManualConsidrant"/>
        <w:rPr>
          <w:noProof/>
        </w:rPr>
      </w:pPr>
      <w:r>
        <w:lastRenderedPageBreak/>
        <w:t>(9)</w:t>
      </w:r>
      <w:r>
        <w:tab/>
      </w:r>
      <w:r>
        <w:rPr>
          <w:noProof/>
        </w:rPr>
        <w:t>Radi smanjenja opterećenja javnih proračuna zbog uklanjanja posljedica krize u kontekstu pandemije bolesti COVID-19 i pripreme na oporavak gospodarstva primjereno je da dodatna sredstva ne budu uvjetovana sufinanciranjem.</w:t>
      </w:r>
    </w:p>
    <w:p>
      <w:pPr>
        <w:pStyle w:val="ManualConsidrant"/>
        <w:rPr>
          <w:noProof/>
        </w:rPr>
      </w:pPr>
      <w:r>
        <w:t>(10)</w:t>
      </w:r>
      <w:r>
        <w:tab/>
      </w:r>
      <w:r>
        <w:rPr>
          <w:noProof/>
        </w:rPr>
        <w:t>Kako bi se osiguralo da države članice mogu brzo prilagoditi mjere u okviru FEAD-a kao odgovor na krizu uzrokovanu pandemijom bolesti COVID-19, primjereno je utvrditi posebne odredbe kojima se pojašnjava područje primjene tehničke pomoći.</w:t>
      </w:r>
    </w:p>
    <w:p>
      <w:pPr>
        <w:pStyle w:val="ManualConsidrant"/>
        <w:rPr>
          <w:noProof/>
        </w:rPr>
      </w:pPr>
      <w:r>
        <w:t>(11)</w:t>
      </w:r>
      <w:r>
        <w:tab/>
      </w:r>
      <w:r>
        <w:rPr>
          <w:noProof/>
        </w:rPr>
        <w:t>Budući da cilj ove Uredbe, odnosno odgovor na posljedice javnozdravstvene krize na najpotrebitije, ne mogu dostatno ostvariti države članice, već se zbog opsega i učinaka predloženih mjera ti ciljevi mogu na bolji način ostvariti na razini Unije, Unija može donijeti mjere u skladu s načelom supsidijarnosti utvrđenim u članku 5. Ugovora o Europskoj uniji. U skladu s načelom proporcionalnosti iz navedenog članka, ova Uredba ne prelazi okvire onoga što je potrebno za postizanje navedenog cilja.</w:t>
      </w:r>
    </w:p>
    <w:p>
      <w:pPr>
        <w:pStyle w:val="ManualConsidrant"/>
        <w:rPr>
          <w:noProof/>
        </w:rPr>
      </w:pPr>
      <w:r>
        <w:t>(12)</w:t>
      </w:r>
      <w:r>
        <w:tab/>
      </w:r>
      <w:r>
        <w:rPr>
          <w:noProof/>
        </w:rPr>
        <w:t>Uredbu (EU) br. 223/2014 trebalo bi stoga na odgovarajući način izmijeniti.</w:t>
      </w:r>
    </w:p>
    <w:p>
      <w:pPr>
        <w:pStyle w:val="ManualConsidrant"/>
        <w:rPr>
          <w:noProof/>
        </w:rPr>
      </w:pPr>
      <w:r>
        <w:t>(13)</w:t>
      </w:r>
      <w:r>
        <w:tab/>
      </w:r>
      <w:r>
        <w:rPr>
          <w:noProof/>
        </w:rPr>
        <w:t xml:space="preserve">S obzirom na hitnost situacije povezane s pandemijom bolesti COVID-19, primjereno je da ova Uredba stupi na snagu sljedećeg dana od dana objave u </w:t>
      </w:r>
      <w:r>
        <w:rPr>
          <w:i/>
          <w:noProof/>
        </w:rPr>
        <w:t>Službenom listu Europske unije</w:t>
      </w:r>
      <w:r>
        <w:rPr>
          <w:noProof/>
        </w:rPr>
        <w:t>.</w:t>
      </w:r>
    </w:p>
    <w:p>
      <w:pPr>
        <w:pStyle w:val="ManualConsidrant"/>
        <w:rPr>
          <w:noProof/>
        </w:rPr>
      </w:pPr>
      <w:r>
        <w:t>(14)</w:t>
      </w:r>
      <w:r>
        <w:tab/>
      </w:r>
      <w:r>
        <w:rPr>
          <w:noProof/>
        </w:rPr>
        <w:t>Zbog pandemije bolesti COVID-19 i hitne potrebe za rješavanjem s njome povezane javnozdravstvene krize, potrebno je predvidjeti iznimku od isteka osam tjedana iz članka 4. Protokola br. 1 o ulozi nacionalnih parlamenata u Europskoj uniji, priloženog Ugovoru o Europskoj uniji, Ugovoru o funkcioniranju Europske unije i Ugovoru o osnivanju Europske zajednice za atomsku energiju.</w:t>
      </w:r>
    </w:p>
    <w:p>
      <w:pPr>
        <w:pStyle w:val="ManualConsidrant"/>
        <w:rPr>
          <w:noProof/>
        </w:rPr>
      </w:pPr>
      <w:r>
        <w:t>(15)</w:t>
      </w:r>
      <w:r>
        <w:tab/>
      </w:r>
      <w:r>
        <w:rPr>
          <w:noProof/>
        </w:rPr>
        <w:t>Člankom 135. stavkom 2. Sporazuma o povlačenju Ujedinjene Kraljevine Velike Britanije i Sjeverne Irske iz Europske unije i Europske zajednice za atomsku energiju propisuje se da se izmjene Uredbe Vijeća (EU, Euratom) br. 1311/2013</w:t>
      </w:r>
      <w:r>
        <w:rPr>
          <w:rStyle w:val="FootnoteReference"/>
          <w:noProof/>
        </w:rPr>
        <w:footnoteReference w:id="13"/>
      </w:r>
      <w:r>
        <w:rPr>
          <w:noProof/>
        </w:rPr>
        <w:t xml:space="preserve"> ili Odluke Vijeća 2014/335/EU, Euratom koje se donesu na datum stupanja na snagu tog sporazuma ili nakon tog datuma ne primjenjuju na Ujedinjenu Kraljevinu ako te izmjene utječu na financijske obveze Ujedinjene Kraljevine. Potpora iz članka 6.a Uredbe (EU) br. 223/2014 za 2020. financira se iz povećanja gornje granice višegodišnjeg financijskog okvira, a za 2021. i 2022. iz povećanja gornje granice vlastitih sredstava Unije, što bi utjecalo na financijske obveze Ujedinjene Kraljevine. Stoga se ova Uredba ne bi trebala primjenjivati na Ujedinjenu Kraljevinu,</w:t>
      </w:r>
    </w:p>
    <w:p>
      <w:pPr>
        <w:pStyle w:val="Formuledadoption"/>
        <w:rPr>
          <w:noProof/>
        </w:rPr>
      </w:pPr>
      <w:r>
        <w:rPr>
          <w:noProof/>
        </w:rPr>
        <w:t>DONIJELI SU OVU UREDBU:</w:t>
      </w:r>
    </w:p>
    <w:p>
      <w:pPr>
        <w:pStyle w:val="Titrearticle"/>
        <w:rPr>
          <w:noProof/>
        </w:rPr>
      </w:pPr>
      <w:r>
        <w:rPr>
          <w:noProof/>
        </w:rPr>
        <w:t>Članak 1.</w:t>
      </w:r>
    </w:p>
    <w:p>
      <w:pPr>
        <w:rPr>
          <w:rFonts w:eastAsia="Calibri"/>
          <w:noProof/>
        </w:rPr>
      </w:pPr>
      <w:r>
        <w:rPr>
          <w:noProof/>
        </w:rPr>
        <w:t>Uredba (EU) br. 223/2014 mijenja se kako slijedi:</w:t>
      </w:r>
    </w:p>
    <w:p>
      <w:pPr>
        <w:pStyle w:val="Point0"/>
        <w:rPr>
          <w:noProof/>
        </w:rPr>
      </w:pPr>
      <w:r>
        <w:t>(1)</w:t>
      </w:r>
      <w:r>
        <w:tab/>
      </w:r>
      <w:r>
        <w:rPr>
          <w:noProof/>
        </w:rPr>
        <w:t>Članak 6. stavak 2. zamjenjuje se sljedećim:</w:t>
      </w:r>
    </w:p>
    <w:p>
      <w:pPr>
        <w:pBdr>
          <w:top w:val="nil"/>
          <w:left w:val="nil"/>
          <w:bottom w:val="nil"/>
          <w:right w:val="nil"/>
          <w:between w:val="nil"/>
          <w:bar w:val="nil"/>
        </w:pBdr>
        <w:spacing w:after="240"/>
        <w:ind w:left="720" w:hanging="11"/>
        <w:rPr>
          <w:rFonts w:eastAsia="Calibri"/>
          <w:noProof/>
        </w:rPr>
      </w:pPr>
      <w:r>
        <w:rPr>
          <w:noProof/>
        </w:rPr>
        <w:t>„2. Dodjeljivanje sredstava iz Fonda za razdoblje 2014.–2020. za svaku državu članicu navedeno je u Prilogu III., osim za povećana sredstva kao odgovor na pandemiju bolesti COVID-19 kako je navedeno u članku 6.a. Najmanji iznos po državi članici je 3 500 000 EUR za cijelo razdoblje.”</w:t>
      </w:r>
    </w:p>
    <w:p>
      <w:pPr>
        <w:pStyle w:val="Point0"/>
        <w:rPr>
          <w:noProof/>
        </w:rPr>
      </w:pPr>
      <w:r>
        <w:t>(2)</w:t>
      </w:r>
      <w:r>
        <w:tab/>
      </w:r>
      <w:r>
        <w:rPr>
          <w:noProof/>
        </w:rPr>
        <w:t>Umeće se sljedeći novi članak 6.a:</w:t>
      </w:r>
    </w:p>
    <w:p>
      <w:pPr>
        <w:pBdr>
          <w:top w:val="nil"/>
          <w:left w:val="nil"/>
          <w:bottom w:val="nil"/>
          <w:right w:val="nil"/>
          <w:between w:val="nil"/>
          <w:bar w:val="nil"/>
        </w:pBdr>
        <w:spacing w:after="240"/>
        <w:ind w:left="720"/>
        <w:contextualSpacing/>
        <w:jc w:val="center"/>
        <w:rPr>
          <w:rFonts w:eastAsia="Calibri"/>
          <w:i/>
          <w:noProof/>
        </w:rPr>
      </w:pPr>
      <w:r>
        <w:rPr>
          <w:noProof/>
        </w:rPr>
        <w:t>„</w:t>
      </w:r>
      <w:r>
        <w:rPr>
          <w:i/>
          <w:noProof/>
        </w:rPr>
        <w:t>Članak 6.a</w:t>
      </w:r>
    </w:p>
    <w:p>
      <w:pPr>
        <w:pBdr>
          <w:top w:val="nil"/>
          <w:left w:val="nil"/>
          <w:bottom w:val="nil"/>
          <w:right w:val="nil"/>
          <w:between w:val="nil"/>
          <w:bar w:val="nil"/>
        </w:pBdr>
        <w:spacing w:after="240"/>
        <w:ind w:left="720"/>
        <w:contextualSpacing/>
        <w:jc w:val="center"/>
        <w:rPr>
          <w:rFonts w:eastAsia="Calibri"/>
          <w:b/>
          <w:i/>
          <w:noProof/>
        </w:rPr>
      </w:pPr>
      <w:r>
        <w:rPr>
          <w:b/>
          <w:i/>
          <w:noProof/>
        </w:rPr>
        <w:lastRenderedPageBreak/>
        <w:t>Dobrovoljno povećanje sredstava kao odgovor na pandemiju bolesti COVID-19</w:t>
      </w:r>
    </w:p>
    <w:p>
      <w:pPr>
        <w:pBdr>
          <w:top w:val="nil"/>
          <w:left w:val="nil"/>
          <w:bottom w:val="nil"/>
          <w:right w:val="nil"/>
          <w:between w:val="nil"/>
          <w:bar w:val="nil"/>
        </w:pBdr>
        <w:spacing w:after="240"/>
        <w:ind w:left="720"/>
        <w:contextualSpacing/>
        <w:rPr>
          <w:rFonts w:eastAsia="Calibri"/>
          <w:b/>
          <w:noProof/>
        </w:rPr>
      </w:pPr>
    </w:p>
    <w:p>
      <w:pPr>
        <w:pBdr>
          <w:top w:val="nil"/>
          <w:left w:val="nil"/>
          <w:bottom w:val="nil"/>
          <w:right w:val="nil"/>
          <w:between w:val="nil"/>
          <w:bar w:val="nil"/>
        </w:pBdr>
        <w:spacing w:after="240"/>
        <w:ind w:left="720"/>
        <w:contextualSpacing/>
        <w:rPr>
          <w:rFonts w:eastAsia="Calibri"/>
          <w:noProof/>
        </w:rPr>
      </w:pPr>
      <w:r>
        <w:rPr>
          <w:noProof/>
        </w:rPr>
        <w:t>1. Države članice mogu dobrovoljno povećati sredstva iz članka 6. kao odgovor na pandemiju bolesti COVID-19, u skladu s člankom 92.b točkom 5. sedmim podstavkom Uredbe (EU) br. 1303/2013. To povećanje može utjecati na proračunske obveze za godine 2020., 2021. i 2022.</w:t>
      </w:r>
    </w:p>
    <w:p>
      <w:pPr>
        <w:pBdr>
          <w:top w:val="nil"/>
          <w:left w:val="nil"/>
          <w:bottom w:val="nil"/>
          <w:right w:val="nil"/>
          <w:between w:val="nil"/>
          <w:bar w:val="nil"/>
        </w:pBdr>
        <w:spacing w:after="240"/>
        <w:ind w:left="720"/>
        <w:contextualSpacing/>
        <w:rPr>
          <w:rFonts w:eastAsia="Calibri"/>
          <w:noProof/>
        </w:rPr>
      </w:pPr>
      <w:r>
        <w:rPr>
          <w:noProof/>
        </w:rPr>
        <w:t xml:space="preserve">2. Odstupajući od članka 7. stavka 1., razdoblje za operativne programe kojima su dodijeljena dodatna sredstva u skladu sa stavkom 1. traje do 31. prosinca 2022. </w:t>
      </w:r>
    </w:p>
    <w:p>
      <w:pPr>
        <w:pBdr>
          <w:top w:val="nil"/>
          <w:left w:val="nil"/>
          <w:bottom w:val="nil"/>
          <w:right w:val="nil"/>
          <w:between w:val="nil"/>
          <w:bar w:val="nil"/>
        </w:pBdr>
        <w:spacing w:after="240"/>
        <w:ind w:left="720"/>
        <w:contextualSpacing/>
        <w:rPr>
          <w:rFonts w:eastAsia="Calibri"/>
          <w:noProof/>
        </w:rPr>
      </w:pPr>
      <w:r>
        <w:rPr>
          <w:noProof/>
        </w:rPr>
        <w:t>3. Odstupajući od članka 38. prvog podstavka, proračunske obveze za dodatna sredstva koje se odnose na svaki program izvršavaju se u godinama 2020., 2021. i 2022.</w:t>
      </w:r>
    </w:p>
    <w:p>
      <w:pPr>
        <w:pBdr>
          <w:top w:val="nil"/>
          <w:left w:val="nil"/>
          <w:bottom w:val="nil"/>
          <w:right w:val="nil"/>
          <w:between w:val="nil"/>
          <w:bar w:val="nil"/>
        </w:pBdr>
        <w:spacing w:after="240"/>
        <w:ind w:left="720"/>
        <w:contextualSpacing/>
        <w:rPr>
          <w:rFonts w:eastAsia="Calibri"/>
          <w:noProof/>
        </w:rPr>
      </w:pPr>
      <w:r>
        <w:rPr>
          <w:noProof/>
        </w:rPr>
        <w:t>Odstupajući od članka 59. stavka 1., dodatne obveze opozivaju se u skladu s pravilima koja treba slijediti pri zaključivanju programâ.</w:t>
      </w:r>
    </w:p>
    <w:p>
      <w:pPr>
        <w:pBdr>
          <w:top w:val="nil"/>
          <w:left w:val="nil"/>
          <w:bottom w:val="nil"/>
          <w:right w:val="nil"/>
          <w:between w:val="nil"/>
          <w:bar w:val="nil"/>
        </w:pBdr>
        <w:spacing w:after="240"/>
        <w:ind w:left="720"/>
        <w:contextualSpacing/>
        <w:rPr>
          <w:rFonts w:eastAsia="Calibri"/>
          <w:noProof/>
        </w:rPr>
      </w:pPr>
      <w:r>
        <w:rPr>
          <w:noProof/>
        </w:rPr>
        <w:t xml:space="preserve">4. Osim pretfinanciranja iz članka 44. stavka 1., Komisija isplaćuje pretfinanciranje u iznosu od 50 % dodatnih sredstava dodijeljenih za 2020. nakon odluke Komisije kojom se odobrava izmjena programa za dodjelu dodatnih sredstava. </w:t>
      </w:r>
    </w:p>
    <w:p>
      <w:pPr>
        <w:pBdr>
          <w:top w:val="nil"/>
          <w:left w:val="nil"/>
          <w:bottom w:val="nil"/>
          <w:right w:val="nil"/>
          <w:between w:val="nil"/>
          <w:bar w:val="nil"/>
        </w:pBdr>
        <w:spacing w:after="240"/>
        <w:ind w:left="720"/>
        <w:contextualSpacing/>
        <w:rPr>
          <w:rFonts w:eastAsia="Calibri"/>
          <w:noProof/>
        </w:rPr>
      </w:pPr>
    </w:p>
    <w:p>
      <w:pPr>
        <w:pBdr>
          <w:top w:val="nil"/>
          <w:left w:val="nil"/>
          <w:bottom w:val="nil"/>
          <w:right w:val="nil"/>
          <w:between w:val="nil"/>
          <w:bar w:val="nil"/>
        </w:pBdr>
        <w:spacing w:after="240"/>
        <w:ind w:left="720"/>
        <w:contextualSpacing/>
        <w:rPr>
          <w:rFonts w:eastAsia="Calibri"/>
          <w:noProof/>
        </w:rPr>
      </w:pPr>
      <w:r>
        <w:rPr>
          <w:noProof/>
        </w:rPr>
        <w:t>Iznos isplaćen kao pretfinanciranje iz prvog podstavka u cijelosti se poravnava u računima Komisije ne kasnije od zaključenja programa.</w:t>
      </w:r>
    </w:p>
    <w:p>
      <w:pPr>
        <w:pBdr>
          <w:top w:val="nil"/>
          <w:left w:val="nil"/>
          <w:bottom w:val="nil"/>
          <w:right w:val="nil"/>
          <w:between w:val="nil"/>
          <w:bar w:val="nil"/>
        </w:pBdr>
        <w:spacing w:after="240"/>
        <w:ind w:left="720"/>
        <w:contextualSpacing/>
        <w:rPr>
          <w:noProof/>
        </w:rPr>
      </w:pPr>
      <w:r>
        <w:rPr>
          <w:noProof/>
        </w:rPr>
        <w:t xml:space="preserve">5. Odstupajući od članka 20., dodatna sredstva iz stavka 1. nisu uvjetovana sufinanciranjem.” </w:t>
      </w:r>
    </w:p>
    <w:p>
      <w:pPr>
        <w:pStyle w:val="Point0"/>
        <w:rPr>
          <w:noProof/>
        </w:rPr>
      </w:pPr>
      <w:r>
        <w:t>(3)</w:t>
      </w:r>
      <w:r>
        <w:tab/>
      </w:r>
      <w:r>
        <w:rPr>
          <w:noProof/>
        </w:rPr>
        <w:t>U članku 27. stavak 4. zamjenjuje se sljedećim:</w:t>
      </w:r>
    </w:p>
    <w:p>
      <w:pPr>
        <w:ind w:left="720"/>
        <w:rPr>
          <w:noProof/>
        </w:rPr>
      </w:pPr>
      <w:r>
        <w:rPr>
          <w:noProof/>
        </w:rPr>
        <w:t>„4. Na inicijativu država članica i podložno gornjoj granici od 5 % dodijeljenih sredstava Fonda u trenutku donošenja operativnog programa i 5 % dodatnih sredstava iz članka 6.a stavka 1., operativnim programom mogu se financirati priprema, upravljanje, praćenje, administrativna i tehnička pomoć, revizija, mjere informiranja, kontrole i evaluacije potrebne za provedbu Fonda, uključujući troškove pripreme i operativne troškove programâ vaučera ako te troškove snosi upravljačko tijelo ili drugo javno tijelo koje nije partnerska organizacija. Njime se mogu financirati i tehnička pomoć i izgradnja kapaciteta partnerskih organizacija i svih drugih dionika koji sudjeluju u provedbi Fonda, uključujući jačanje kapaciteta za odgovor na krizu uzrokovanu pandemijom bolesti COVID-19. Mjere iz ovog stavka mogu se odnositi na sljedeće programsko razdoblje, uključujući omogućavanje nastavka potpore iz ovog Fonda putem drugih fondova.”</w:t>
      </w:r>
    </w:p>
    <w:p>
      <w:pPr>
        <w:pStyle w:val="Point0"/>
        <w:rPr>
          <w:noProof/>
        </w:rPr>
      </w:pPr>
      <w:r>
        <w:t>(4)</w:t>
      </w:r>
      <w:r>
        <w:tab/>
      </w:r>
      <w:r>
        <w:rPr>
          <w:noProof/>
        </w:rPr>
        <w:t>Umeće se sljedeći novi članak 63.a:</w:t>
      </w:r>
    </w:p>
    <w:p>
      <w:pPr>
        <w:pBdr>
          <w:top w:val="nil"/>
          <w:left w:val="nil"/>
          <w:bottom w:val="nil"/>
          <w:right w:val="nil"/>
          <w:between w:val="nil"/>
          <w:bar w:val="nil"/>
        </w:pBdr>
        <w:spacing w:after="240"/>
        <w:ind w:left="1440" w:hanging="720"/>
        <w:contextualSpacing/>
        <w:jc w:val="center"/>
        <w:rPr>
          <w:rFonts w:eastAsia="Calibri"/>
          <w:i/>
          <w:noProof/>
        </w:rPr>
      </w:pPr>
      <w:r>
        <w:rPr>
          <w:noProof/>
        </w:rPr>
        <w:t>„</w:t>
      </w:r>
      <w:r>
        <w:rPr>
          <w:i/>
          <w:noProof/>
        </w:rPr>
        <w:t>Članak 63.a</w:t>
      </w:r>
    </w:p>
    <w:p>
      <w:pPr>
        <w:pBdr>
          <w:top w:val="nil"/>
          <w:left w:val="nil"/>
          <w:bottom w:val="nil"/>
          <w:right w:val="nil"/>
          <w:between w:val="nil"/>
          <w:bar w:val="nil"/>
        </w:pBdr>
        <w:spacing w:after="240"/>
        <w:ind w:left="1440" w:hanging="720"/>
        <w:contextualSpacing/>
        <w:jc w:val="center"/>
        <w:rPr>
          <w:rFonts w:eastAsia="Calibri"/>
          <w:i/>
          <w:noProof/>
        </w:rPr>
      </w:pPr>
      <w:r>
        <w:rPr>
          <w:i/>
          <w:noProof/>
        </w:rPr>
        <w:t>Prijelazne odredbe</w:t>
      </w:r>
    </w:p>
    <w:p>
      <w:pPr>
        <w:ind w:left="720"/>
        <w:rPr>
          <w:i/>
          <w:noProof/>
        </w:rPr>
      </w:pPr>
      <w:r>
        <w:rPr>
          <w:noProof/>
        </w:rPr>
        <w:t>Članak 6.a ne primjenjuje se na Ujedinjenu Kraljevinu. Upućivanja na države članice u tim odredbama tumače se tako da ne uključuju Ujedinjenu Kraljevinu.”</w:t>
      </w:r>
    </w:p>
    <w:p>
      <w:pPr>
        <w:pBdr>
          <w:top w:val="nil"/>
          <w:left w:val="nil"/>
          <w:bottom w:val="nil"/>
          <w:right w:val="nil"/>
          <w:between w:val="nil"/>
          <w:bar w:val="nil"/>
        </w:pBdr>
        <w:spacing w:after="240"/>
        <w:ind w:left="851" w:hanging="131"/>
        <w:rPr>
          <w:rFonts w:eastAsia="Calibri"/>
          <w:noProof/>
        </w:rPr>
      </w:pPr>
    </w:p>
    <w:p>
      <w:pPr>
        <w:pStyle w:val="Titrearticle"/>
        <w:rPr>
          <w:noProof/>
        </w:rPr>
      </w:pPr>
      <w:r>
        <w:rPr>
          <w:noProof/>
        </w:rPr>
        <w:t xml:space="preserve">Članak 2. </w:t>
      </w:r>
    </w:p>
    <w:p>
      <w:pPr>
        <w:rPr>
          <w:rFonts w:eastAsia="Calibri"/>
          <w:noProof/>
        </w:rPr>
      </w:pPr>
      <w:r>
        <w:rPr>
          <w:noProof/>
        </w:rPr>
        <w:t xml:space="preserve">Ova Uredba stupa na snagu sljedećeg dana od dana objave u </w:t>
      </w:r>
      <w:r>
        <w:rPr>
          <w:i/>
          <w:iCs/>
          <w:noProof/>
        </w:rPr>
        <w:t>Službenom listu Europske unije</w:t>
      </w:r>
      <w:r>
        <w:rPr>
          <w:noProof/>
        </w:rPr>
        <w:t>.</w:t>
      </w:r>
    </w:p>
    <w:p>
      <w:pPr>
        <w:pStyle w:val="Applicationdirecte"/>
        <w:keepNext/>
        <w:keepLines/>
        <w:rPr>
          <w:noProof/>
        </w:rPr>
      </w:pPr>
      <w:r>
        <w:rPr>
          <w:noProof/>
        </w:rPr>
        <w:lastRenderedPageBreak/>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Uredba (EU) 2020/460 Europskog parlamenta i Vijeća od 30. ožujka 2020. o izmjeni uredaba (EU) br. 1301/2013, (EU) br. 1303/2013 i (EU) br. 508/2014 s obzirom na posebne mjere za mobilizaciju ulaganja u zdravstvene sustave država članica i u druge sektore njihovih gospodarstava u odgovoru na izbijanje bolesti COVID-19 (Investicijska inicijativa kao odgovor na koronavirus) (SL L 99, 31.3.2020., str. 5.).</w:t>
      </w:r>
    </w:p>
  </w:footnote>
  <w:footnote w:id="2">
    <w:p>
      <w:pPr>
        <w:pStyle w:val="FootnoteText"/>
      </w:pPr>
      <w:r>
        <w:rPr>
          <w:rStyle w:val="FootnoteReference"/>
        </w:rPr>
        <w:footnoteRef/>
      </w:r>
      <w:r>
        <w:tab/>
        <w:t>Uredba (EU) 2020/558 Europskog parlamenta i Vijeća od 23. travnja 2020. o izmjeni uredbi (EU) br. 1301/2013 i (EU) br. 1303/2013 u pogledu posebnih mjera radi pružanja iznimne fleksibilnosti za korištenje europskih strukturnih i investicijskih fondova u odgovoru na izbijanje bolesti COVID-19 (SL L 130, 24.4.2020., str. 1.).</w:t>
      </w:r>
    </w:p>
  </w:footnote>
  <w:footnote w:id="3">
    <w:p>
      <w:pPr>
        <w:pStyle w:val="FootnoteText"/>
      </w:pPr>
      <w:r>
        <w:rPr>
          <w:rStyle w:val="FootnoteReference"/>
        </w:rPr>
        <w:footnoteRef/>
      </w:r>
      <w:r>
        <w:tab/>
        <w:t>Uredba (EU) br. 223/2014 Europskog parlamenta i Vijeća od 11. ožujka 2014. o Fondu europske pomoći za najpotrebitije (SL L 72, 12.3.2014., str. 1.–41.).</w:t>
      </w:r>
    </w:p>
  </w:footnote>
  <w:footnote w:id="4">
    <w:p>
      <w:pPr>
        <w:pStyle w:val="FootnoteText"/>
      </w:pPr>
      <w:r>
        <w:rPr>
          <w:rStyle w:val="FootnoteReference"/>
        </w:rPr>
        <w:footnoteRef/>
      </w:r>
      <w:r>
        <w:tab/>
        <w:t>SL L 130, 24.4.2020., str. 7.</w:t>
      </w:r>
    </w:p>
  </w:footnote>
  <w:footnote w:id="5">
    <w:p>
      <w:pPr>
        <w:pStyle w:val="FootnoteText"/>
      </w:pPr>
      <w:r>
        <w:rPr>
          <w:rStyle w:val="FootnoteReference"/>
        </w:rPr>
        <w:footnoteRef/>
      </w:r>
      <w:r>
        <w:tab/>
        <w:t>COM(2020) 451 final.</w:t>
      </w:r>
    </w:p>
  </w:footnote>
  <w:footnote w:id="6">
    <w:p>
      <w:pPr>
        <w:pStyle w:val="FootnoteText"/>
      </w:pPr>
      <w:r>
        <w:rPr>
          <w:rStyle w:val="FootnoteReference"/>
        </w:rPr>
        <w:footnoteRef/>
      </w:r>
      <w:r>
        <w:tab/>
        <w:t>COM(2020) 451 final.</w:t>
      </w:r>
    </w:p>
  </w:footnote>
  <w:footnote w:id="7">
    <w:p>
      <w:pPr>
        <w:pStyle w:val="FootnoteText"/>
      </w:pPr>
      <w:r>
        <w:rPr>
          <w:rStyle w:val="FootnoteReference"/>
        </w:rPr>
        <w:footnoteRef/>
      </w:r>
      <w:r>
        <w:tab/>
        <w:t>COM(2020) 251 final.</w:t>
      </w:r>
    </w:p>
  </w:footnote>
  <w:footnote w:id="8">
    <w:p>
      <w:pPr>
        <w:pStyle w:val="FootnoteText"/>
      </w:pPr>
      <w:r>
        <w:rPr>
          <w:rStyle w:val="FootnoteReference"/>
        </w:rPr>
        <w:footnoteRef/>
      </w:r>
      <w:r>
        <w:tab/>
        <w:t>SL C , , str. .</w:t>
      </w:r>
    </w:p>
  </w:footnote>
  <w:footnote w:id="9">
    <w:p>
      <w:pPr>
        <w:pStyle w:val="FootnoteText"/>
      </w:pPr>
      <w:r>
        <w:rPr>
          <w:rStyle w:val="FootnoteReference"/>
        </w:rPr>
        <w:footnoteRef/>
      </w:r>
      <w:r>
        <w:tab/>
        <w:t>SL C , , str. .</w:t>
      </w:r>
    </w:p>
  </w:footnote>
  <w:footnote w:id="10">
    <w:p>
      <w:pPr>
        <w:pStyle w:val="FootnoteText"/>
        <w:ind w:left="708" w:hanging="708"/>
      </w:pPr>
      <w:r>
        <w:rPr>
          <w:rStyle w:val="FootnoteReference"/>
        </w:rPr>
        <w:footnoteRef/>
      </w:r>
      <w:r>
        <w:tab/>
        <w:t>Uredba (EU) br. 223/2014 Europskog parlamenta i Vijeća od 11. ožujka 2014. o Fondu europske pomoći za najpotrebitije (SL L 72, 12.3.2014., str. 1.).</w:t>
      </w:r>
    </w:p>
  </w:footnote>
  <w:footnote w:id="11">
    <w:p>
      <w:pPr>
        <w:pStyle w:val="FootnoteText"/>
      </w:pPr>
      <w:r>
        <w:rPr>
          <w:rStyle w:val="FootnoteReference"/>
        </w:rPr>
        <w:footnoteRef/>
      </w:r>
      <w:r>
        <w:tab/>
      </w:r>
      <w:hyperlink r:id="rId1" w:history="1">
        <w:r>
          <w:rPr>
            <w:color w:val="0000FF"/>
            <w:u w:val="single"/>
          </w:rPr>
          <w:t>COM(2020) 446</w:t>
        </w:r>
      </w:hyperlink>
      <w:r>
        <w:rPr>
          <w:color w:val="0000FF"/>
          <w:u w:val="single"/>
        </w:rPr>
        <w:t>.</w:t>
      </w:r>
    </w:p>
  </w:footnote>
  <w:footnote w:id="12">
    <w:p>
      <w:pPr>
        <w:pStyle w:val="FootnoteText"/>
      </w:pPr>
      <w:r>
        <w:rPr>
          <w:rStyle w:val="FootnoteReference"/>
        </w:rPr>
        <w:footnoteRef/>
      </w:r>
      <w:r>
        <w:tab/>
        <w:t>Uredba Vijeća (EU, Euratom) br. 1311/2013 o utvrđivanju višegodišnjeg financijskog okvira za razdoblje 2014. ‒ 2020. (SL L 347, 20.12.2013., str. 884.).</w:t>
      </w:r>
    </w:p>
  </w:footnote>
  <w:footnote w:id="13">
    <w:p>
      <w:pPr>
        <w:pStyle w:val="FootnoteText"/>
      </w:pPr>
      <w:r>
        <w:rPr>
          <w:rStyle w:val="FootnoteReference"/>
        </w:rPr>
        <w:footnoteRef/>
      </w:r>
      <w:r>
        <w:tab/>
        <w:t>Uredba Vijeća (EU, Euratom) br. 1311/2013 od 2. prosinca 2013. kojom se uspostavlja višegodišnji financijski okvir za razdoblje 2014. – 2020. (SL L 347, 20.12.2013., str. 884.).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F29F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B284BA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56D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E31C2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96CD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414F4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B4A298"/>
    <w:lvl w:ilvl="0">
      <w:start w:val="1"/>
      <w:numFmt w:val="decimal"/>
      <w:pStyle w:val="ListNumber"/>
      <w:lvlText w:val="%1."/>
      <w:lvlJc w:val="left"/>
      <w:pPr>
        <w:tabs>
          <w:tab w:val="num" w:pos="360"/>
        </w:tabs>
        <w:ind w:left="360" w:hanging="360"/>
      </w:pPr>
    </w:lvl>
  </w:abstractNum>
  <w:abstractNum w:abstractNumId="7">
    <w:nsid w:val="FFFFFF89"/>
    <w:multiLevelType w:val="singleLevel"/>
    <w:tmpl w:val="5D9CAD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76773F"/>
    <w:multiLevelType w:val="hybridMultilevel"/>
    <w:tmpl w:val="1758CCB2"/>
    <w:styleLink w:val="ImportedStyle3"/>
    <w:lvl w:ilvl="0" w:tplc="40FEC6F6">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7646D906">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3FCE327E">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CE336C">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756D07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46F476">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F4389FAE">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C826E6A">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0F8A26E">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A970053"/>
    <w:multiLevelType w:val="multilevel"/>
    <w:tmpl w:val="0AEEAB14"/>
    <w:styleLink w:val="ImportedStyle4"/>
    <w:lvl w:ilvl="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0"/>
  </w:num>
  <w:num w:numId="14">
    <w:abstractNumId w:val="14"/>
  </w:num>
  <w:num w:numId="15">
    <w:abstractNumId w:val="22"/>
  </w:num>
  <w:num w:numId="16">
    <w:abstractNumId w:val="12"/>
  </w:num>
  <w:num w:numId="17">
    <w:abstractNumId w:val="15"/>
  </w:num>
  <w:num w:numId="18">
    <w:abstractNumId w:val="9"/>
  </w:num>
  <w:num w:numId="19">
    <w:abstractNumId w:val="21"/>
  </w:num>
  <w:num w:numId="20">
    <w:abstractNumId w:val="8"/>
  </w:num>
  <w:num w:numId="21">
    <w:abstractNumId w:val="16"/>
  </w:num>
  <w:num w:numId="22">
    <w:abstractNumId w:val="18"/>
  </w:num>
  <w:num w:numId="23">
    <w:abstractNumId w:val="19"/>
  </w:num>
  <w:num w:numId="24">
    <w:abstractNumId w:val="11"/>
  </w:num>
  <w:num w:numId="25">
    <w:abstractNumId w:val="1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3:25: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9F7C9B31-9951-416C-BDB1-D03D9E3977A1"/>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05"/>
    <w:docVar w:name="LW_REF.II.NEW.CP_YEAR" w:val="2020"/>
    <w:docVar w:name="LW_REF.INST.NEW" w:val="COM"/>
    <w:docVar w:name="LW_REF.INST.NEW_ADOPTED" w:val="final"/>
    <w:docVar w:name="LW_REF.INST.NEW_TEXT" w:val="(2020)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Uredbe (EU) br. 223/2014 u pogledu uvo\u273?enja posebnih mjera za svladavanje krize uzrokovane pandemijom bolesti COVID-19_x000b_"/>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paragraph" w:customStyle="1" w:styleId="Body">
    <w:name w:val="Body"/>
    <w:uiPriority w:val="99"/>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nl-BE"/>
      <w14:textOutline w14:w="0" w14:cap="flat" w14:cmpd="sng" w14:algn="ctr">
        <w14:noFill/>
        <w14:prstDash w14:val="solid"/>
        <w14:bevel/>
      </w14:textOutlin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sg/vista/home?documentDetails&amp;DocRef=COM/2020/04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67D45-5EF2-45BA-8710-27D5E879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3077</Words>
  <Characters>18591</Characters>
  <Application>Microsoft Office Word</Application>
  <DocSecurity>0</DocSecurity>
  <Lines>315</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cp:lastPrinted>2020-05-23T09:53:00Z</cp:lastPrinted>
  <dcterms:created xsi:type="dcterms:W3CDTF">2020-06-01T12:05:00Z</dcterms:created>
  <dcterms:modified xsi:type="dcterms:W3CDTF">2020-06-02T11:25:00Z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