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198350C-A4B6-45E5-9622-BB0A35ADB677"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rPr>
          <w:noProof/>
        </w:rPr>
      </w:pPr>
    </w:p>
    <w:p>
      <w:pPr>
        <w:pStyle w:val="ManualHeading1"/>
        <w:rPr>
          <w:noProof/>
        </w:rPr>
      </w:pPr>
      <w:r>
        <w:rPr>
          <w:noProof/>
        </w:rPr>
        <w:t>1.</w:t>
      </w:r>
      <w:r>
        <w:rPr>
          <w:noProof/>
        </w:rPr>
        <w:tab/>
        <w:t>PRIEKŠLIKUMA KONTEKSTS</w:t>
      </w:r>
    </w:p>
    <w:p>
      <w:pPr>
        <w:pStyle w:val="ManualHeading2"/>
        <w:rPr>
          <w:rFonts w:eastAsia="Arial Unicode MS"/>
          <w:noProof/>
        </w:rPr>
      </w:pPr>
      <w:r>
        <w:rPr>
          <w:noProof/>
          <w:u w:color="000000"/>
          <w:bdr w:val="nil"/>
        </w:rPr>
        <w:t>•</w:t>
      </w:r>
      <w:r>
        <w:rPr>
          <w:noProof/>
        </w:rPr>
        <w:tab/>
        <w:t>Priekšlikuma pamatojums un mērķi</w:t>
      </w:r>
    </w:p>
    <w:p>
      <w:pPr>
        <w:rPr>
          <w:noProof/>
        </w:rPr>
      </w:pPr>
      <w:r>
        <w:rPr>
          <w:noProof/>
        </w:rPr>
        <w:t>Eiropas Komisija 2020. gada 14. janvārī pieņēma tiesību akta priekšlikumu</w:t>
      </w:r>
      <w:r>
        <w:rPr>
          <w:rStyle w:val="FootnoteReference"/>
          <w:rFonts w:eastAsia="Arial Unicode MS"/>
          <w:noProof/>
        </w:rPr>
        <w:footnoteReference w:id="2"/>
      </w:r>
      <w:r>
        <w:rPr>
          <w:noProof/>
        </w:rPr>
        <w:t>, ar ko izveido Taisnīgas pārkārtošanās fondu (TPF), kopā ar priekšlikumu</w:t>
      </w:r>
      <w:r>
        <w:rPr>
          <w:rStyle w:val="FootnoteReference"/>
          <w:rFonts w:eastAsia="Arial Unicode MS"/>
          <w:noProof/>
        </w:rPr>
        <w:footnoteReference w:id="3"/>
      </w:r>
      <w:r>
        <w:rPr>
          <w:noProof/>
        </w:rPr>
        <w:t>, ar ko groza tiesību akta priekšlikumu par Kopīgo noteikumu regulu (KNR).</w:t>
      </w:r>
    </w:p>
    <w:p>
      <w:pPr>
        <w:rPr>
          <w:noProof/>
        </w:rPr>
      </w:pPr>
      <w:r>
        <w:rPr>
          <w:noProof/>
        </w:rPr>
        <w:t>Saskaņā ar mērķi līdz 2050. gadam efektīvi un taisnīgi panākt ES klimatneitralitāti Taisnīgas pārkārtošanās fonda mērķis ir mazināt ekonomiskās, vides un sociālās izmaksas, ko rada pārkārtošanās uz klimatneitralitāti, nolūkā dot labumu teritorijām, kuras šī pārkārtošanās ietekmē visnelabvēlīgāk. Fonda atbalsts ir vērsts uz ekonomikas pārveides pasākumiem, pārveides skarto darba ņēmēju pārkvalificēšanos un palīdzību darba meklēšanā.</w:t>
      </w:r>
    </w:p>
    <w:p>
      <w:pPr>
        <w:rPr>
          <w:noProof/>
        </w:rPr>
      </w:pPr>
      <w:r>
        <w:rPr>
          <w:noProof/>
        </w:rPr>
        <w:t>Koronavīrusa slimības uzliesmojums (“Covid-19”) ir licis daudzām valdībām ieviest vēl nepieredzētus pasākumus pandēmijas ierobežošanai. Tas savukārt daudzās ekonomikās ir izraisījis strauju izlaides līmeņa kritumu, kam ir smagas sociālās sekas. Šā iemesla dēļ turpmākajos gados valsts finanšu un parāda pārvaldības jomā gaidāmas būtiskas problēmas, kas savukārt var ierobežot ekonomikas atveseļošanai vajadzīgās publiskā sektora investīcijas.</w:t>
      </w:r>
    </w:p>
    <w:p>
      <w:pPr>
        <w:rPr>
          <w:noProof/>
        </w:rPr>
      </w:pPr>
      <w:r>
        <w:rPr>
          <w:noProof/>
        </w:rPr>
        <w:t>Turklāt valstu un reģionu spējas novērst krīzes sekas dažādās dalībvalstīs un reģionos nav vienādas, jo atšķiras to ekonomikas struktūra un fiskālais stāvoklis. Ja šīs atšķirības netiks novērstas, tās var izraisīt asimetrisku atveseļošanu un palielināt reģionālās atšķirības, kas savukārt var apdraudēt iekšējo tirgu, eurozonas finanšu stabilitāti un Savienību kopumā.</w:t>
      </w:r>
    </w:p>
    <w:p>
      <w:pPr>
        <w:rPr>
          <w:noProof/>
        </w:rPr>
      </w:pPr>
      <w:r>
        <w:rPr>
          <w:noProof/>
        </w:rPr>
        <w:t>Lai novērstu atšķirību palielināšanos un izvairītos no atveseļošanas procesa nevienmērības, īstermiņā un vidējā termiņā tāpēc ir jāsniedz dalībvalstīm un reģioniem papildu atbalsts, kura mērķis ir palīdzēt to ekonomikai un sabiedrībai rast izeju no situācijas un nodrošināt ekonomikas strauju un ilgtspējīgu atveseļošanu.</w:t>
      </w:r>
    </w:p>
    <w:p>
      <w:pPr>
        <w:rPr>
          <w:noProof/>
        </w:rPr>
      </w:pPr>
      <w:r>
        <w:rPr>
          <w:noProof/>
        </w:rPr>
        <w:t xml:space="preserve">Lai radītu apstākļus Eiropas ilgtermiņa izaugsmei un Eiropas ekonomikas noturībai pret turpmākiem satricinājumiem, šajā kontekstā jāpastiprina investīcijas, kas veicina zaļo pārkārtošanos. Tas būtu pilnībā jāatspoguļo turpmākās programmās un investīciju prioritātēs. Drīzāka atsacīšanās no fosilā kurināmā ieguves un oglekļietilpīgām darbībām, šādā nolūkā mērķtiecīgi atbalstot ekonomikas diversifikāciju un jaunu ekonomikas iespēju un darbvietu radīšanu, spēj atraisīt milzīgu potenciālu Eiropas ekonomikas izaugsmes atsākšanai. Centieni pirmām kārtām jāvērš uz to, lai reģioniem un iedzīvotājiem dotu iespēju sekmīgi veikt pārkārtošanos uz klimatneitrālu ekonomiku. </w:t>
      </w:r>
    </w:p>
    <w:p>
      <w:pPr>
        <w:rPr>
          <w:noProof/>
        </w:rPr>
      </w:pPr>
      <w:r>
        <w:rPr>
          <w:noProof/>
        </w:rPr>
        <w:t>Tādēļ tiek ierosināts Taisnīgas pārkārtošanās fondam piešķirt papildu resursus 35 613 048 000 EUR apmērā (pašreizējās cenās). No šiem papildu resursiem 2 810 048 000 EUR būtu jānāk no budžeta apropriācijām, nākamās DFS satvarā palielinot programmas līmeni līdz 11 270 459 000 EUR; šie resursi būtu jāpiešķir Eiropadomes līmenī notiekošo sarunu gaitā. Atlikušie papildu resursi 32 803 000 000 EUR apmērā attieksies uz 2021.–2024. gada laikposmu un veidos ārējos piešķirtos ieņēmumus, kas izriet no Eiropas Atveseļošanas instrumenta.</w:t>
      </w:r>
    </w:p>
    <w:p>
      <w:pPr>
        <w:rPr>
          <w:noProof/>
        </w:rPr>
      </w:pPr>
      <w:r>
        <w:rPr>
          <w:noProof/>
        </w:rPr>
        <w:lastRenderedPageBreak/>
        <w:t xml:space="preserve">Šīs summas saskaņā ar metodiku, kas izklāstīta ierosinātās Taisnīgas pārkārtošanās fonda regulas I pielikumā, tiks sadalītas starp dalībvalstīm, atspoguļojot to spēju finansēt investīcijas, kuras vajadzīgas, lai sekmīgi veiktu pārkārtošanos uz klimatneitralitāti. </w:t>
      </w:r>
    </w:p>
    <w:p>
      <w:pPr>
        <w:rPr>
          <w:noProof/>
        </w:rPr>
      </w:pPr>
      <w:r>
        <w:rPr>
          <w:noProof/>
        </w:rPr>
        <w:t>Atkāpjoties no Finanšu regulā izklāstītajiem noteikumiem, kas piemērojami ārējiem piešķirtajiem ieņēmumiem, uz šiem papildu resursiem pēc to piešķiršanas programmām attiecas KNR izklāstītie piemērojamie noteikumi, tostarp KNR noteikumi par saistībām un saistību atcelšanu.</w:t>
      </w:r>
    </w:p>
    <w:p>
      <w:pPr>
        <w:rPr>
          <w:noProof/>
        </w:rPr>
      </w:pPr>
      <w:r>
        <w:rPr>
          <w:noProof/>
        </w:rPr>
        <w:t>Lai saglabātu dalībvalstu un reģionu spēju izmantot savus kohēzijas politikas resursus ekonomiskās, sociālās un teritoriālās kohēzijas atbalstam, papildu resursi no Eiropas Atveseļošanas instrumenta nebūs jāpārvieto no valstu piešķīrumiem saskaņā ar Eiropas Reģionālās attīstības fondu un Eiropas Sociālo fondu Plus.</w:t>
      </w:r>
    </w:p>
    <w:p>
      <w:pPr>
        <w:pStyle w:val="ManualHeading2"/>
        <w:rPr>
          <w:rFonts w:eastAsia="Arial Unicode MS"/>
          <w:noProof/>
        </w:rPr>
      </w:pPr>
      <w:r>
        <w:rPr>
          <w:noProof/>
          <w:u w:color="000000"/>
          <w:bdr w:val="nil"/>
        </w:rPr>
        <w:t>•</w:t>
      </w:r>
      <w:r>
        <w:rPr>
          <w:noProof/>
        </w:rPr>
        <w:tab/>
        <w:t>Atbilstība pārējiem Savienības instrumentiem</w:t>
      </w:r>
    </w:p>
    <w:p>
      <w:pPr>
        <w:pBdr>
          <w:top w:val="nil"/>
          <w:left w:val="nil"/>
          <w:bottom w:val="nil"/>
          <w:right w:val="nil"/>
          <w:between w:val="nil"/>
          <w:bar w:val="nil"/>
        </w:pBdr>
        <w:rPr>
          <w:noProof/>
        </w:rPr>
      </w:pPr>
      <w:r>
        <w:rPr>
          <w:noProof/>
        </w:rPr>
        <w:t xml:space="preserve">Atbalstu, ko sniedz no Taisnīgas pārkārtošanās fonda, papildina īpaša taisnīgas pārkārtošanās shēma </w:t>
      </w:r>
      <w:r>
        <w:rPr>
          <w:i/>
          <w:noProof/>
        </w:rPr>
        <w:t>InvestEU</w:t>
      </w:r>
      <w:r>
        <w:rPr>
          <w:noProof/>
        </w:rPr>
        <w:t xml:space="preserve"> satvarā. Tā atbalstīs plašāku investīciju klāstu, jo īpaši veicinās pārkārtošanos, sniedzot atbalstu mazoglekļa un klimatnoturīgām darbībām, piemēram, investīcijām atjaunojamos energoresursos un energoefektivitātes shēmām. Ar šo shēmu varēs izmantot arī finansējumu enerģētikas un transporta infrastruktūrai, tostarp gāzes infrastruktūrai un centralizētajai siltumapgādei, kā arī dekarbonizācijas projektiem, reģionu ekonomikas diversifikācijai un sociālajai infrastruktūrai. </w:t>
      </w:r>
    </w:p>
    <w:p>
      <w:pPr>
        <w:pBdr>
          <w:top w:val="nil"/>
          <w:left w:val="nil"/>
          <w:bottom w:val="nil"/>
          <w:right w:val="nil"/>
          <w:between w:val="nil"/>
          <w:bar w:val="nil"/>
        </w:pBdr>
        <w:rPr>
          <w:noProof/>
        </w:rPr>
      </w:pPr>
      <w:r>
        <w:rPr>
          <w:noProof/>
        </w:rPr>
        <w:t>Turklāt jauns publiskā sektora aizdevumu mehānisms, kas tiks īstenots kopā ar EIB, sniegs atbalstu no ES resursiem piešķirto dotāciju apvienošanai ar aizdevumiem, ko EIB piešķir publiskām struktūrām, lai dotu labumu vissmagāk skartajām teritorijām, kuras norādītas teritoriālajos taisnīgas pārkārtošanās plānos.</w:t>
      </w:r>
    </w:p>
    <w:p>
      <w:pPr>
        <w:pBdr>
          <w:top w:val="nil"/>
          <w:left w:val="nil"/>
          <w:bottom w:val="nil"/>
          <w:right w:val="nil"/>
          <w:between w:val="nil"/>
          <w:bar w:val="nil"/>
        </w:pBdr>
        <w:rPr>
          <w:noProof/>
        </w:rPr>
      </w:pPr>
      <w:r>
        <w:rPr>
          <w:noProof/>
        </w:rPr>
        <w:t xml:space="preserve">Sinerģija un papildināmība starp trim pīlāriem tiks nodrošināta, izmantojot teritoriālos taisnīgas pārkārtošanās plānus, kuros tiks apzinātas vissmagāk skarto teritoriju attīstības vajadzības, kas izriet no klimatiskās pārkārtošanās. </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Juridiskais pamats</w:t>
      </w:r>
    </w:p>
    <w:p>
      <w:pPr>
        <w:rPr>
          <w:noProof/>
        </w:rPr>
      </w:pPr>
      <w:r>
        <w:rPr>
          <w:noProof/>
        </w:rPr>
        <w:t xml:space="preserve">ES rīcība ir pamatota ar LESD 174. panta 1. punktu: “Savienība izstrādā un veic darbības, kas stiprina tās ekonomisko, sociālo un teritoriālo kohēziju. Savienība jo īpaši tiecas mazināt būtiskas dažādu reģionu attīstības līmeņa atšķirības un vismazāk attīstīto reģionu atpalicību.” </w:t>
      </w:r>
    </w:p>
    <w:p>
      <w:pPr>
        <w:rPr>
          <w:noProof/>
        </w:rPr>
      </w:pPr>
      <w:r>
        <w:rPr>
          <w:noProof/>
        </w:rPr>
        <w:t>Lai nodrošinātu Taisnīgas pārkārtošanās fonda izveidi, priekšlikumam jābalstās uz LESD 175. pantu, kurā Savienība ir skaidri aicināta atbalstīt 174. pantā izvirzīto mērķu sasniegšanu ar darbībām, ko tā veic, izmantojot struktūrfondus, EIB un citus pastāvošos finanšu instrumentus.</w:t>
      </w:r>
    </w:p>
    <w:p>
      <w:pPr>
        <w:rPr>
          <w:noProof/>
        </w:rPr>
      </w:pPr>
      <w:r>
        <w:rPr>
          <w:noProof/>
        </w:rPr>
        <w:t>LESD 175. panta trešajā daļā ir noteikts, ka, “ja izrādās, ka vajadzīga īpaša rīcība, kas nav fondu kompetencē, un neskarot pasākumus, par kuriem lēmumi pieņemti saskaņā ar Savienības politiku citās jomās, Eiropas Parlaments un Padome to var paredzēt saskaņā ar parasto likumdošanas procedūru pēc apspriešanās ar Ekonomikas un sociālo lietu komiteju un Reģionu komiteju”.</w:t>
      </w:r>
    </w:p>
    <w:p>
      <w:pPr>
        <w:rPr>
          <w:noProof/>
        </w:rPr>
      </w:pPr>
      <w:r>
        <w:rPr>
          <w:noProof/>
        </w:rPr>
        <w:t>Lai pieļautu mērķorientētas atkāpes no Finanšu regulas, priekšlikumam jābalstās arī uz LESD 322. panta 1. punkta a) apakšpunktu.</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Subsidiaritāte un proporcionalitāte</w:t>
      </w:r>
    </w:p>
    <w:p>
      <w:pPr>
        <w:rPr>
          <w:noProof/>
        </w:rPr>
      </w:pPr>
      <w:r>
        <w:rPr>
          <w:noProof/>
        </w:rPr>
        <w:t xml:space="preserve">Saskaņā ar LESD 4. panta 2. punktu Savienībai un dalībvalstīm ir dalīta kompetence ekonomiskās, sociālās un teritoriālās kohēzijas, kā arī dažu sociālās politikas aspektu jomā. Tās kompetencē ir arī veikt darbības, lai atbalstītu, koordinētu vai papildinātu dalībvalstu darbības izglītības un arodmācību, kā arī rūpniecības jomā (LESD 6. pants). </w:t>
      </w:r>
    </w:p>
    <w:p>
      <w:pPr>
        <w:rPr>
          <w:noProof/>
        </w:rPr>
      </w:pPr>
      <w:r>
        <w:rPr>
          <w:noProof/>
        </w:rPr>
        <w:t xml:space="preserve">Taisnīgas pārkārtošanās fonda īstenošana dalītā pārvaldībā balstās uz subsidiaritātes principu. Komisija, ievērojot dalītās pārvaldības principu, stratēģiskās plānošanas un īstenošanas uzdevumus deleģē dalībvalstīm un reģioniem. Tādējādi Savienības darbība aprobežojas ar to, kas vajadzīgs Savienības mērķu sasniegšanai, kā noteikts Līgumos. </w:t>
      </w:r>
    </w:p>
    <w:p>
      <w:pPr>
        <w:rPr>
          <w:noProof/>
        </w:rPr>
      </w:pPr>
      <w:r>
        <w:rPr>
          <w:noProof/>
        </w:rPr>
        <w:t>Dalītās pārvaldības mērķis ir nodrošināt, lai lēmumi tiktu pieņemti pēc iespējas tuvāk iedzīvotājiem, bet neizslēdzot rīcību ES līmenī, ja tā ir pamatota, un ņemot vērā iespējas, kas pieejamas valstu, reģionālā vai vietējā līmenī. Dalītā pārvaldība tuvina Eiropu tās iedzīvotājiem un sasaista vietējās vajadzības ar Eiropas mērķiem. Turklāt tā palielina atbildību par Savienības mērķiem, jo dalībvalstis un Komisija kopīgi dala lēmumu pieņemšanas pilnvaras un atbildību un kopīgi līdzfinansē programmas.</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Juridiskā instrumenta izvēle</w:t>
      </w:r>
    </w:p>
    <w:p>
      <w:pPr>
        <w:rPr>
          <w:noProof/>
        </w:rPr>
      </w:pPr>
      <w:r>
        <w:rPr>
          <w:noProof/>
        </w:rPr>
        <w:t>Kohēzijas politika ir atbilstoša sistēma Taisnīgas pārkārtošanās fondam, jo tā ir galvenā ES politika strukturālo pārmaiņu risināšanai Eiropas reģionos. Sadarbojoties ar dalībniekiem uz vietas, tā sniedz finansiālu atbalstu investīcijām daudzās jomās, kas veicina nodarbinātību un izaugsmi.</w:t>
      </w:r>
    </w:p>
    <w:p>
      <w:pPr>
        <w:rPr>
          <w:noProof/>
        </w:rPr>
      </w:pPr>
      <w:r>
        <w:rPr>
          <w:noProof/>
        </w:rPr>
        <w:t xml:space="preserve">Tajā paredzēta arī attiecīgajiem vietējiem apstākļiem pielāgota integrēta pieeja, kas nodrošina sinerģiju un saskaņotību starp investīcijām, kas tiek atbalstītas saskaņā ar Taisnīgas pārkārtošanās fondu, un investīcijām, kas tiek atbalstītas saskaņā ar galvenajām kohēzijas politikas programmām. Tas paātrinās attiecīgo reģionu ekonomisko attīstību un pārorientēšanos. </w:t>
      </w:r>
    </w:p>
    <w:p>
      <w:pPr>
        <w:rPr>
          <w:noProof/>
        </w:rPr>
      </w:pPr>
      <w:r>
        <w:rPr>
          <w:noProof/>
        </w:rPr>
        <w:t xml:space="preserve">Turklāt tas nodrošina dalībvalstu un reģionu atbildību. Tas ir ļoti svarīgi saistībā ar Taisnīgas pārkārtošanās fondu, kura pamatā jābūt īpaši pielāgotām pārkārtošanās teritoriālajām stratēģijām, visaptverošā veidā aptverot daudzās sociālās, vides un ekonomiskās grūtības, ko rada pārkārtošanās. </w:t>
      </w:r>
    </w:p>
    <w:p>
      <w:pPr>
        <w:rPr>
          <w:noProof/>
        </w:rPr>
      </w:pPr>
      <w:r>
        <w:rPr>
          <w:noProof/>
        </w:rPr>
        <w:t xml:space="preserve">Saskaņā ar kohēzijas politiku izvēlētais instruments ir Eiropas Parlamenta un Padomes regula parastajā likumdošanas procedūrā, kā noteikts Līguma 175. panta trešajā daļā. </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u w:color="000000"/>
          <w:bdr w:val="nil"/>
        </w:rPr>
        <w:t>•</w:t>
      </w:r>
      <w:r>
        <w:rPr>
          <w:noProof/>
        </w:rPr>
        <w:tab/>
      </w:r>
      <w:r>
        <w:rPr>
          <w:i/>
          <w:noProof/>
          <w:u w:color="000000"/>
          <w:bdr w:val="nil"/>
        </w:rPr>
        <w:t>Ex post</w:t>
      </w:r>
      <w:r>
        <w:rPr>
          <w:noProof/>
          <w:u w:color="000000"/>
          <w:bdr w:val="nil"/>
        </w:rPr>
        <w:t xml:space="preserve"> izvērtējumi / spēkā esošo tiesību aktu atbilstības pārbaude</w:t>
      </w:r>
    </w:p>
    <w:p>
      <w:pPr>
        <w:rPr>
          <w:noProof/>
        </w:rPr>
      </w:pPr>
      <w:r>
        <w:rPr>
          <w:noProof/>
        </w:rPr>
        <w:t>Neattiecas.</w:t>
      </w:r>
    </w:p>
    <w:p>
      <w:pPr>
        <w:pStyle w:val="ManualHeading2"/>
        <w:rPr>
          <w:rFonts w:eastAsia="Arial Unicode MS"/>
          <w:noProof/>
          <w:u w:color="000000"/>
          <w:bdr w:val="nil"/>
        </w:rPr>
      </w:pPr>
      <w:r>
        <w:rPr>
          <w:noProof/>
          <w:u w:color="000000"/>
          <w:bdr w:val="nil"/>
        </w:rPr>
        <w:t>•</w:t>
      </w:r>
      <w:r>
        <w:rPr>
          <w:noProof/>
        </w:rPr>
        <w:tab/>
      </w:r>
      <w:r>
        <w:rPr>
          <w:noProof/>
          <w:u w:color="000000"/>
          <w:bdr w:val="nil"/>
        </w:rPr>
        <w:t>Apspriešanās ar ieinteresētajām personām</w:t>
      </w:r>
    </w:p>
    <w:p>
      <w:pPr>
        <w:rPr>
          <w:noProof/>
        </w:rPr>
      </w:pPr>
      <w:r>
        <w:rPr>
          <w:noProof/>
        </w:rPr>
        <w:t>Apspriešanās ar ārējām ieinteresētajām personām nenotika. Tomēr priekšlikums saskan ar pēdējo nedēļu laikā notikušajām diskusijām ar dalībvalstīm un Eiropas Parlamentu saistībā ar sarunām par priekšlikumu, ar ko izveido Taisnīgas pārkārtošanās fondu.</w:t>
      </w:r>
    </w:p>
    <w:p>
      <w:pPr>
        <w:rPr>
          <w:noProof/>
        </w:rPr>
      </w:pPr>
      <w:r>
        <w:rPr>
          <w:noProof/>
        </w:rPr>
        <w:t xml:space="preserve">Gan </w:t>
      </w:r>
      <w:r>
        <w:rPr>
          <w:i/>
          <w:iCs/>
          <w:noProof/>
        </w:rPr>
        <w:t>REGI</w:t>
      </w:r>
      <w:r>
        <w:rPr>
          <w:noProof/>
        </w:rPr>
        <w:t xml:space="preserve"> komitejas referenta ziņojuma projektā, gan </w:t>
      </w:r>
      <w:r>
        <w:rPr>
          <w:i/>
          <w:iCs/>
          <w:noProof/>
        </w:rPr>
        <w:t>BUDG</w:t>
      </w:r>
      <w:r>
        <w:rPr>
          <w:noProof/>
        </w:rPr>
        <w:t xml:space="preserve"> komitejas atzinumā jo īpaši bija ierosināts būtiski palielināt TPF budžetu.</w:t>
      </w:r>
    </w:p>
    <w:p>
      <w:pPr>
        <w:pStyle w:val="ManualHeading2"/>
        <w:rPr>
          <w:rFonts w:eastAsia="Arial Unicode MS"/>
          <w:noProof/>
          <w:u w:color="000000"/>
          <w:bdr w:val="nil"/>
        </w:rPr>
      </w:pPr>
      <w:r>
        <w:rPr>
          <w:noProof/>
          <w:u w:color="000000"/>
          <w:bdr w:val="nil"/>
        </w:rPr>
        <w:t>•</w:t>
      </w:r>
      <w:r>
        <w:rPr>
          <w:noProof/>
        </w:rPr>
        <w:tab/>
      </w:r>
      <w:r>
        <w:rPr>
          <w:noProof/>
          <w:u w:color="000000"/>
          <w:bdr w:val="nil"/>
        </w:rPr>
        <w:t>Ekspertu atzinumu pieprasīšana un izmantošana</w:t>
      </w:r>
    </w:p>
    <w:p>
      <w:pPr>
        <w:rPr>
          <w:noProof/>
        </w:rPr>
      </w:pPr>
      <w:r>
        <w:rPr>
          <w:noProof/>
        </w:rPr>
        <w:t>Neattiecas.</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Ietekmes novērtējums</w:t>
      </w:r>
    </w:p>
    <w:p>
      <w:pPr>
        <w:rPr>
          <w:noProof/>
        </w:rPr>
      </w:pPr>
      <w:r>
        <w:rPr>
          <w:noProof/>
        </w:rPr>
        <w:t>Ietekmes novērtējumā</w:t>
      </w:r>
      <w:r>
        <w:rPr>
          <w:rStyle w:val="FootnoteReference"/>
          <w:rFonts w:eastAsia="Arial Unicode MS"/>
          <w:noProof/>
        </w:rPr>
        <w:footnoteReference w:id="4"/>
      </w:r>
      <w:r>
        <w:rPr>
          <w:noProof/>
        </w:rPr>
        <w:t>, kas tika veikts, lai sagatavotu priekšlikumu Eiropas Parlamenta un Padomes Regulai par Eiropas Reģionālās attīstības fondu un Kohēzijas fondu</w:t>
      </w:r>
      <w:r>
        <w:rPr>
          <w:rStyle w:val="FootnoteReference"/>
          <w:rFonts w:eastAsia="Arial Unicode MS"/>
          <w:noProof/>
        </w:rPr>
        <w:footnoteReference w:id="5"/>
      </w:r>
      <w:r>
        <w:rPr>
          <w:noProof/>
        </w:rPr>
        <w:t xml:space="preserve">, tika atbalstīti Taisnīgas pārkārtošanās fonda mērķi un galvenās iezīmes. </w:t>
      </w:r>
    </w:p>
    <w:p>
      <w:pPr>
        <w:rPr>
          <w:noProof/>
        </w:rPr>
      </w:pPr>
      <w:r>
        <w:rPr>
          <w:noProof/>
        </w:rPr>
        <w:t xml:space="preserve">Ierosinātajās TPF priekšlikuma izmaiņās ņemtas vērā aizvien lielākās problēmas, ar kurām teritorijas saskārušās Covid-19 pandēmijas gaitā. Izņemot resursu palielināšanu, izmaiņas ir ierobežotas un nemaina sākotnējā priekšlikuma struktūru un stūrakmeņus. Tāpēc patstāvīgs ietekmes novērtējums netika veikts. </w:t>
      </w:r>
    </w:p>
    <w:p>
      <w:pPr>
        <w:pStyle w:val="ManualHeading2"/>
        <w:rPr>
          <w:rFonts w:eastAsia="Arial Unicode MS"/>
          <w:noProof/>
          <w:u w:color="000000"/>
          <w:bdr w:val="nil"/>
        </w:rPr>
      </w:pPr>
      <w:r>
        <w:rPr>
          <w:noProof/>
          <w:u w:color="000000"/>
          <w:bdr w:val="nil"/>
        </w:rPr>
        <w:t>•</w:t>
      </w:r>
      <w:r>
        <w:rPr>
          <w:noProof/>
        </w:rPr>
        <w:tab/>
      </w:r>
      <w:r>
        <w:rPr>
          <w:noProof/>
          <w:u w:color="000000"/>
          <w:bdr w:val="nil"/>
        </w:rPr>
        <w:t>Normatīvā atbilstība un vienkāršošana</w:t>
      </w:r>
    </w:p>
    <w:p>
      <w:pPr>
        <w:rPr>
          <w:noProof/>
        </w:rPr>
      </w:pPr>
      <w:r>
        <w:rPr>
          <w:noProof/>
        </w:rPr>
        <w:t>Neattiecas.</w:t>
      </w:r>
    </w:p>
    <w:p>
      <w:pPr>
        <w:pStyle w:val="ManualHeading2"/>
        <w:rPr>
          <w:rFonts w:eastAsia="Arial Unicode MS"/>
          <w:noProof/>
          <w:u w:color="000000"/>
          <w:bdr w:val="nil"/>
        </w:rPr>
      </w:pPr>
      <w:r>
        <w:rPr>
          <w:noProof/>
          <w:u w:color="000000"/>
          <w:bdr w:val="nil"/>
        </w:rPr>
        <w:t>•</w:t>
      </w:r>
      <w:r>
        <w:rPr>
          <w:noProof/>
        </w:rPr>
        <w:tab/>
      </w:r>
      <w:r>
        <w:rPr>
          <w:noProof/>
          <w:u w:color="000000"/>
          <w:bdr w:val="nil"/>
        </w:rPr>
        <w:t>Pamattiesības</w:t>
      </w:r>
    </w:p>
    <w:p>
      <w:pPr>
        <w:rPr>
          <w:noProof/>
        </w:rPr>
      </w:pPr>
      <w:r>
        <w:rPr>
          <w:noProof/>
        </w:rPr>
        <w:t>Neattiecas.</w:t>
      </w:r>
    </w:p>
    <w:p>
      <w:pPr>
        <w:pStyle w:val="ManualHeading1"/>
        <w:rPr>
          <w:noProof/>
        </w:rPr>
      </w:pPr>
      <w:r>
        <w:rPr>
          <w:noProof/>
        </w:rPr>
        <w:t>4.</w:t>
      </w:r>
      <w:r>
        <w:rPr>
          <w:noProof/>
        </w:rPr>
        <w:tab/>
        <w:t>IETEKME UZ BUDŽETU</w:t>
      </w:r>
    </w:p>
    <w:p>
      <w:pPr>
        <w:rPr>
          <w:noProof/>
        </w:rPr>
      </w:pPr>
      <w:r>
        <w:rPr>
          <w:noProof/>
        </w:rPr>
        <w:t>Papildu resursi no budžeta apropriācijām 2021.–2027. gada DFS satvarā radīs papildu saistības 2021.–2027. gadā, kā arī maksājumus 2022.–2027. gadā un pēc 2027. gada.</w:t>
      </w:r>
    </w:p>
    <w:p>
      <w:pPr>
        <w:rPr>
          <w:noProof/>
        </w:rPr>
      </w:pPr>
      <w:r>
        <w:rPr>
          <w:noProof/>
        </w:rPr>
        <w:t>Papildu resursi, ko finansē Eiropas Atveseļošanas instrumenta priekšlikuma satvarā, radīs papildu saistības 2021., 2022., 2023. un 2024. gadā, kā arī maksājumus 2021.–2027. gadā, pamatojoties uz ārējiem piešķirtajiem ieņēmumiem.</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Detalizēts konkrētu priekšlikuma noteikumu skaidrojums</w:t>
      </w:r>
    </w:p>
    <w:p>
      <w:pPr>
        <w:spacing w:before="0" w:after="240"/>
        <w:rPr>
          <w:rFonts w:eastAsia="Arial Unicode MS"/>
          <w:noProof/>
        </w:rPr>
      </w:pPr>
      <w:r>
        <w:rPr>
          <w:noProof/>
        </w:rPr>
        <w:t>Ierosinātie TPF priekšlikuma grozījumi vērsti uz šādiem elementiem:</w:t>
      </w:r>
    </w:p>
    <w:p>
      <w:pPr>
        <w:pStyle w:val="Bullet0"/>
        <w:numPr>
          <w:ilvl w:val="0"/>
          <w:numId w:val="10"/>
        </w:numPr>
        <w:rPr>
          <w:noProof/>
        </w:rPr>
      </w:pPr>
      <w:r>
        <w:rPr>
          <w:noProof/>
        </w:rPr>
        <w:t>resursu palielināšana, izmantojot papildu budžeta apropriācijas un ārējos piešķirtos ieņēmumus;</w:t>
      </w:r>
    </w:p>
    <w:p>
      <w:pPr>
        <w:pStyle w:val="Bullet0"/>
        <w:rPr>
          <w:noProof/>
        </w:rPr>
      </w:pPr>
      <w:r>
        <w:rPr>
          <w:noProof/>
        </w:rPr>
        <w:t>nav pienākuma šos papildu resursus, ko finansē no Eiropas Atveseļošanas instrumenta, papildināt ar pārvietojumiem no ERAF un ESF+;</w:t>
      </w:r>
    </w:p>
    <w:p>
      <w:pPr>
        <w:pStyle w:val="Bullet0"/>
        <w:rPr>
          <w:noProof/>
        </w:rPr>
      </w:pPr>
      <w:r>
        <w:rPr>
          <w:noProof/>
        </w:rPr>
        <w:t>I pielikuma grozījums, ar ko to pielāgo ierosinātajam resursu apjoma palielinājumam.</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2020/0006 (COD)</w:t>
      </w:r>
    </w:p>
    <w:p>
      <w:pPr>
        <w:pStyle w:val="Statut"/>
        <w:rPr>
          <w:noProof/>
        </w:rPr>
      </w:pPr>
      <w:r>
        <w:rPr>
          <w:noProof/>
        </w:rPr>
        <w:t>Grozīts priekšlikums</w:t>
      </w:r>
    </w:p>
    <w:p>
      <w:pPr>
        <w:pStyle w:val="Typedudocument"/>
        <w:rPr>
          <w:noProof/>
        </w:rPr>
      </w:pPr>
      <w:r>
        <w:rPr>
          <w:noProof/>
        </w:rPr>
        <w:t>EIROPAS PARLAMENTA UN PADOMES REGULA,</w:t>
      </w:r>
    </w:p>
    <w:p>
      <w:pPr>
        <w:pStyle w:val="Titreobjet"/>
        <w:rPr>
          <w:noProof/>
        </w:rPr>
      </w:pPr>
      <w:r>
        <w:rPr>
          <w:noProof/>
        </w:rPr>
        <w:t>ar ko izveido Taisnīgas pārkārtošanās fondu</w:t>
      </w:r>
    </w:p>
    <w:p>
      <w:pPr>
        <w:rPr>
          <w:noProof/>
        </w:rPr>
      </w:pPr>
      <w:r>
        <w:rPr>
          <w:noProof/>
        </w:rPr>
        <w:t>Komisijas priekšlikumu COM(2020) 22 groza šādi:</w:t>
      </w:r>
    </w:p>
    <w:p>
      <w:pPr>
        <w:pStyle w:val="ManualNumPar1"/>
        <w:rPr>
          <w:noProof/>
        </w:rPr>
      </w:pPr>
      <w:r>
        <w:rPr>
          <w:noProof/>
        </w:rPr>
        <w:t>1.</w:t>
      </w:r>
      <w:r>
        <w:rPr>
          <w:noProof/>
        </w:rPr>
        <w:tab/>
        <w:t xml:space="preserve">preambulu groza šādi: </w:t>
      </w:r>
    </w:p>
    <w:p>
      <w:pPr>
        <w:pStyle w:val="Point1"/>
        <w:rPr>
          <w:noProof/>
        </w:rPr>
      </w:pPr>
      <w:r>
        <w:rPr>
          <w:noProof/>
        </w:rPr>
        <w:t>a)</w:t>
      </w:r>
      <w:r>
        <w:rPr>
          <w:noProof/>
        </w:rPr>
        <w:tab/>
        <w:t xml:space="preserve">pirmo daļu aizstāj ar šādu: </w:t>
      </w:r>
    </w:p>
    <w:p>
      <w:pPr>
        <w:pStyle w:val="Text2"/>
        <w:rPr>
          <w:noProof/>
        </w:rPr>
      </w:pPr>
      <w:r>
        <w:rPr>
          <w:noProof/>
        </w:rPr>
        <w:t>“ņemot vērā Līgumu par Eiropas Savienības darbību un jo īpaši tā 175. panta trešo daļu un 322. panta 1. punkta a) apakšpunktu,”;</w:t>
      </w:r>
    </w:p>
    <w:p>
      <w:pPr>
        <w:pStyle w:val="Point1"/>
        <w:rPr>
          <w:noProof/>
        </w:rPr>
      </w:pPr>
      <w:r>
        <w:rPr>
          <w:noProof/>
        </w:rPr>
        <w:t>b)</w:t>
      </w:r>
      <w:r>
        <w:rPr>
          <w:noProof/>
        </w:rPr>
        <w:tab/>
        <w:t xml:space="preserve">iekļauj jaunu sesto daļu: </w:t>
      </w:r>
    </w:p>
    <w:p>
      <w:pPr>
        <w:pStyle w:val="Text2"/>
        <w:rPr>
          <w:noProof/>
        </w:rPr>
      </w:pPr>
      <w:r>
        <w:rPr>
          <w:noProof/>
        </w:rPr>
        <w:t>“ņemot vērā Revīzijas palātas atzinumu</w:t>
      </w:r>
      <w:r>
        <w:rPr>
          <w:rStyle w:val="FootnoteReference"/>
          <w:noProof/>
        </w:rPr>
        <w:footnoteReference w:id="6"/>
      </w:r>
      <w:r>
        <w:rPr>
          <w:noProof/>
        </w:rPr>
        <w:t>,”;</w:t>
      </w:r>
    </w:p>
    <w:p>
      <w:pPr>
        <w:pStyle w:val="ManualNumPar1"/>
        <w:rPr>
          <w:noProof/>
        </w:rPr>
      </w:pPr>
      <w:r>
        <w:rPr>
          <w:noProof/>
        </w:rPr>
        <w:t>2.</w:t>
      </w:r>
      <w:r>
        <w:rPr>
          <w:noProof/>
        </w:rPr>
        <w:tab/>
        <w:t>iekļauj šādu 8.a apsvērumu:</w:t>
      </w:r>
    </w:p>
    <w:p>
      <w:pPr>
        <w:pStyle w:val="Text1"/>
        <w:rPr>
          <w:noProof/>
        </w:rPr>
      </w:pPr>
      <w:r>
        <w:rPr>
          <w:noProof/>
        </w:rPr>
        <w:t>“(8.a) Šai regulai piemēro horizontālos finanšu noteikumus, ko Eiropas Parlaments un Padome pieņēmuši, pamatojoties uz Līguma par Eiropas Savienības darbību 322. pantu. Šie noteikumi ir paredzēti Finanšu regulā un jo īpaši nosaka procedūru budžeta izveidei un izpildei, izmantojot dotācijas, iepirkumu, godalgas, netiešu izpildi, kā arī paredz finanšu dalībnieku atbildības pārbaudes. Noteikumi, kas pieņemti, pamatojoties uz LESD 322. pantu, attiecas arī uz Savienības budžeta aizsardzību vispārēju trūkumu gadījumā saistībā ar tiesiskumu dalībvalstīs, jo tiesiskuma ievērošana ir būtisks priekšnoteikums pareizai finanšu pārvaldībai un efektīvam ES finansējumam.”;</w:t>
      </w:r>
    </w:p>
    <w:p>
      <w:pPr>
        <w:pStyle w:val="ManualNumPar1"/>
        <w:rPr>
          <w:noProof/>
        </w:rPr>
      </w:pPr>
      <w:r>
        <w:rPr>
          <w:noProof/>
        </w:rPr>
        <w:t>3.</w:t>
      </w:r>
      <w:r>
        <w:rPr>
          <w:noProof/>
        </w:rPr>
        <w:tab/>
        <w:t>iekļauj šādu 9.a apsvērumu:</w:t>
      </w:r>
    </w:p>
    <w:p>
      <w:pPr>
        <w:pStyle w:val="Text1"/>
        <w:rPr>
          <w:noProof/>
        </w:rPr>
      </w:pPr>
      <w:r>
        <w:rPr>
          <w:noProof/>
        </w:rPr>
        <w:t>“(9.a) Saskaņā ar Regulu [Eiropas Atveseļošanas instruments] un tajā piešķirto resursu robežās Taisnīgas pārkārtošanās fonda satvarā būtu jāveic atveseļošanas un noturības veicināšanas pasākumi Covid-19 krīzes nepieredzēti smagās ietekmes novēršanai. Šie papildu resursi būtu jāizmanto tā, lai nodrošinātu atbilstību Regulā [ENI] noteiktajiem termiņiem.”;</w:t>
      </w:r>
    </w:p>
    <w:p>
      <w:pPr>
        <w:pStyle w:val="ManualNumPar1"/>
        <w:rPr>
          <w:noProof/>
        </w:rPr>
      </w:pPr>
      <w:r>
        <w:rPr>
          <w:noProof/>
        </w:rPr>
        <w:t>4.</w:t>
      </w:r>
      <w:r>
        <w:rPr>
          <w:noProof/>
        </w:rPr>
        <w:tab/>
        <w:t>priekšlikuma 3. panta 2. punktu aizstāj ar šādu:</w:t>
      </w:r>
    </w:p>
    <w:p>
      <w:pPr>
        <w:pStyle w:val="Text1"/>
        <w:rPr>
          <w:noProof/>
        </w:rPr>
      </w:pPr>
      <w:r>
        <w:rPr>
          <w:noProof/>
        </w:rPr>
        <w:t>“2.</w:t>
      </w:r>
      <w:r>
        <w:rPr>
          <w:noProof/>
        </w:rPr>
        <w:tab/>
        <w:t>TPF resursi atbilstīgi mērķim “Investīcijas nodarbinātībai un izaugsmei”, kas pieejami budžeta saistībām laikposmam no 2021. līdz 2027. gadam, ir 11 270 459 000 EUR pašreizējās cenās, kurus attiecīgā gadījumā var palielināt ar papildu resursiem, kas piešķirti Savienības budžetā, un ar citiem resursiem saskaņā ar piemērojamo pamataktu.</w:t>
      </w:r>
    </w:p>
    <w:p>
      <w:pPr>
        <w:pStyle w:val="Text1"/>
        <w:rPr>
          <w:noProof/>
        </w:rPr>
      </w:pPr>
      <w:r>
        <w:rPr>
          <w:noProof/>
        </w:rPr>
        <w:t>Pēc Komisijas iniciatīvas 0,35 % no pirmajā daļā minētās summas piešķir tehniskajai palīdzībai.”;</w:t>
      </w:r>
    </w:p>
    <w:p>
      <w:pPr>
        <w:pStyle w:val="ManualNumPar1"/>
        <w:rPr>
          <w:noProof/>
        </w:rPr>
      </w:pPr>
      <w:r>
        <w:rPr>
          <w:noProof/>
        </w:rPr>
        <w:t>5.</w:t>
      </w:r>
      <w:r>
        <w:rPr>
          <w:noProof/>
        </w:rPr>
        <w:tab/>
        <w:t>iekļauj šādu 3.a pantu:</w:t>
      </w:r>
    </w:p>
    <w:p>
      <w:pPr>
        <w:pStyle w:val="Text1"/>
        <w:jc w:val="center"/>
        <w:rPr>
          <w:i/>
          <w:noProof/>
        </w:rPr>
      </w:pPr>
      <w:r>
        <w:rPr>
          <w:i/>
          <w:noProof/>
        </w:rPr>
        <w:lastRenderedPageBreak/>
        <w:t>“3.a pants</w:t>
      </w:r>
    </w:p>
    <w:p>
      <w:pPr>
        <w:pStyle w:val="Text1"/>
        <w:jc w:val="center"/>
        <w:rPr>
          <w:b/>
          <w:noProof/>
        </w:rPr>
      </w:pPr>
      <w:r>
        <w:rPr>
          <w:b/>
          <w:noProof/>
        </w:rPr>
        <w:t>Resursi no Eiropas Savienības Atveseļošanas instrumenta</w:t>
      </w:r>
    </w:p>
    <w:p>
      <w:pPr>
        <w:pStyle w:val="Point1"/>
        <w:rPr>
          <w:noProof/>
        </w:rPr>
      </w:pPr>
      <w:r>
        <w:rPr>
          <w:noProof/>
        </w:rPr>
        <w:t>1.</w:t>
      </w:r>
      <w:r>
        <w:rPr>
          <w:noProof/>
        </w:rPr>
        <w:tab/>
        <w:t>Regulas [ENI] 2. pantā minētos pasākumus īsteno Taisnīgas pārkārtošanās fonda satvarā ar summu 32 803 000 000 EUR apmērā pašreizējās cenās no minētās regulas 3. panta 2. punkta a) apakšpunkta vi) punktā minētās summas, ievērojot tās 4. panta 3., 4. un 8. punktu.</w:t>
      </w:r>
    </w:p>
    <w:p>
      <w:pPr>
        <w:pStyle w:val="Text2"/>
        <w:rPr>
          <w:noProof/>
        </w:rPr>
      </w:pPr>
      <w:r>
        <w:rPr>
          <w:noProof/>
        </w:rPr>
        <w:t xml:space="preserve">Šo summu uzskata par citiem resursiem, kā minēts 3. panta 2. punktā, un tā veido ārējos piešķirtos ieņēmumus saskaņā ar Regulas (ES, Euratom) 2018/1046 21. panta 5. punktu. </w:t>
      </w:r>
    </w:p>
    <w:p>
      <w:pPr>
        <w:pStyle w:val="Text2"/>
        <w:rPr>
          <w:noProof/>
        </w:rPr>
      </w:pPr>
      <w:r>
        <w:rPr>
          <w:noProof/>
        </w:rPr>
        <w:t>Papildus 3. pantā noteiktajiem kopējiem resursiem šos resursus budžeta saistībām atbilstīgi mērķim “Investīcijas nodarbinātībai un izaugsmei” 2021.–2024. gadam dara pieejamus šādi:</w:t>
      </w:r>
    </w:p>
    <w:p>
      <w:pPr>
        <w:pStyle w:val="Tiret2"/>
        <w:numPr>
          <w:ilvl w:val="0"/>
          <w:numId w:val="6"/>
        </w:numPr>
        <w:rPr>
          <w:rStyle w:val="conf-macro"/>
          <w:noProof/>
        </w:rPr>
      </w:pPr>
      <w:r>
        <w:rPr>
          <w:rStyle w:val="conf-macro"/>
          <w:noProof/>
        </w:rPr>
        <w:t>2021: 7 954 600 000 EUR;</w:t>
      </w:r>
    </w:p>
    <w:p>
      <w:pPr>
        <w:pStyle w:val="Tiret2"/>
        <w:rPr>
          <w:rStyle w:val="conf-macro"/>
          <w:noProof/>
        </w:rPr>
      </w:pPr>
      <w:r>
        <w:rPr>
          <w:rStyle w:val="conf-macro"/>
          <w:noProof/>
        </w:rPr>
        <w:t>2022: 8 114 600 000 EUR;</w:t>
      </w:r>
    </w:p>
    <w:p>
      <w:pPr>
        <w:pStyle w:val="Tiret2"/>
        <w:rPr>
          <w:rStyle w:val="conf-macro"/>
          <w:noProof/>
        </w:rPr>
      </w:pPr>
      <w:r>
        <w:rPr>
          <w:rStyle w:val="conf-macro"/>
          <w:noProof/>
        </w:rPr>
        <w:t>2023: 8 276 600 000 EUR;</w:t>
      </w:r>
    </w:p>
    <w:p>
      <w:pPr>
        <w:pStyle w:val="Tiret2"/>
        <w:rPr>
          <w:rStyle w:val="conf-macro"/>
          <w:noProof/>
        </w:rPr>
      </w:pPr>
      <w:r>
        <w:rPr>
          <w:rStyle w:val="conf-macro"/>
          <w:noProof/>
        </w:rPr>
        <w:t>2024: 8 441 600 000 EUR.</w:t>
      </w:r>
    </w:p>
    <w:p>
      <w:pPr>
        <w:pStyle w:val="Text2"/>
        <w:rPr>
          <w:noProof/>
        </w:rPr>
      </w:pPr>
      <w:r>
        <w:rPr>
          <w:noProof/>
        </w:rPr>
        <w:t xml:space="preserve">Turklāt no pirmajā daļā minētajiem resursiem 15 600 000 EUR pašreizējās cenās dara pieejamus administratīviem izdevumiem. </w:t>
      </w:r>
    </w:p>
    <w:p>
      <w:pPr>
        <w:pStyle w:val="Point1"/>
        <w:rPr>
          <w:noProof/>
        </w:rPr>
      </w:pPr>
      <w:r>
        <w:rPr>
          <w:noProof/>
        </w:rPr>
        <w:t>2.</w:t>
      </w:r>
      <w:r>
        <w:rPr>
          <w:noProof/>
        </w:rPr>
        <w:tab/>
        <w:t>Pēc Komisijas iniciatīvas 0,35 % no 1. punkta pirmajā daļā minētās summas piešķir tehniskajai palīdzībai.</w:t>
      </w:r>
    </w:p>
    <w:p>
      <w:pPr>
        <w:pStyle w:val="Point1"/>
        <w:rPr>
          <w:noProof/>
        </w:rPr>
      </w:pPr>
      <w:r>
        <w:rPr>
          <w:noProof/>
        </w:rPr>
        <w:t>3.</w:t>
      </w:r>
      <w:r>
        <w:rPr>
          <w:noProof/>
        </w:rPr>
        <w:tab/>
        <w:t>Šā panta 1. punktā minētās summas gada sadalījumu pa dalībvalstīm iekļauj 3. panta 3. punktā minētajā Komisijas lēmumā saskaņā ar I pielikumā izklāstīto metodiku.</w:t>
      </w:r>
    </w:p>
    <w:p>
      <w:pPr>
        <w:pStyle w:val="Point1"/>
        <w:rPr>
          <w:noProof/>
        </w:rPr>
      </w:pPr>
      <w:r>
        <w:rPr>
          <w:noProof/>
        </w:rPr>
        <w:t>4.</w:t>
      </w:r>
      <w:r>
        <w:rPr>
          <w:noProof/>
        </w:rPr>
        <w:tab/>
        <w:t xml:space="preserve">Atkāpjoties no Regulas (ES) [jaunā KNR] [21.a] panta, 1. punktā minētajai summai nav vajadzīgs papildu atbalsts no ERAF vai ESF+. </w:t>
      </w:r>
    </w:p>
    <w:p>
      <w:pPr>
        <w:pStyle w:val="Point1"/>
        <w:rPr>
          <w:noProof/>
        </w:rPr>
      </w:pPr>
      <w:r>
        <w:rPr>
          <w:noProof/>
        </w:rPr>
        <w:t>5.</w:t>
      </w:r>
      <w:r>
        <w:rPr>
          <w:noProof/>
        </w:rPr>
        <w:tab/>
        <w:t>Atkāpjoties no Finanšu regulas 14. panta 3. punkta, budžeta saistībām, kuru pamatā ir 1. punktā minētie resursi, piemēro Regulas (ES) [jaunā KNR] VII sadaļas IV nodaļā izklāstītos saistību atcelšanas noteikumus. Atkāpjoties no Finanšu regulas 12. panta 4. punkta c) apakšpunkta, šos resursus neizmanto secīgai programmai vai darbībai.”;</w:t>
      </w:r>
    </w:p>
    <w:p>
      <w:pPr>
        <w:pStyle w:val="ManualNumPar1"/>
        <w:rPr>
          <w:noProof/>
        </w:rPr>
      </w:pPr>
      <w:r>
        <w:rPr>
          <w:noProof/>
        </w:rPr>
        <w:t>6.</w:t>
      </w:r>
      <w:r>
        <w:rPr>
          <w:noProof/>
        </w:rPr>
        <w:tab/>
        <w:t>priekšlikuma 6. panta 2. punktu aizstāj ar šādu:</w:t>
      </w:r>
    </w:p>
    <w:p>
      <w:pPr>
        <w:pStyle w:val="Text1"/>
        <w:rPr>
          <w:noProof/>
        </w:rPr>
      </w:pPr>
      <w:r>
        <w:rPr>
          <w:noProof/>
        </w:rPr>
        <w:t>“2. TPF prioritāte vai prioritātes ietver TPF resursus, kas pilnībā vai daļēji sastāv no TPF piešķīruma dalībvalstīm, un resursus, kas pārvietoti saskaņā ar Regulas (ES) [jaunā KNR] [21.a] pantu. Kopējie ERAF un ESF+ resursi, kas pārvietoti uz TPF, ir vismaz pusotru reizi lielāki par atbalsta summu, kas no TPF piešķirta šai prioritātei, izņemot 3.a panta 1. punktā minētos resursus, bet tie nav vairāk kā trīs reizes lielāki par minēto summu.”;</w:t>
      </w:r>
    </w:p>
    <w:p>
      <w:pPr>
        <w:pStyle w:val="ManualNumPar1"/>
        <w:keepNext/>
        <w:keepLines/>
        <w:rPr>
          <w:noProof/>
        </w:rPr>
      </w:pPr>
      <w:r>
        <w:rPr>
          <w:noProof/>
        </w:rPr>
        <w:lastRenderedPageBreak/>
        <w:t>7.</w:t>
      </w:r>
      <w:r>
        <w:rPr>
          <w:noProof/>
        </w:rPr>
        <w:tab/>
        <w:t>priekšlikuma I pielikumu groza saskaņā ar šā priekšlikuma pielikumu.</w:t>
      </w:r>
      <w:r>
        <w:rPr>
          <w:noProof/>
        </w:rPr>
        <w:tab/>
        <w:t xml:space="preserve"> </w:t>
      </w:r>
      <w:r>
        <w:rPr>
          <w:noProof/>
        </w:rPr>
        <w:br/>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p>
      <w:pPr>
        <w:rPr>
          <w:noProof/>
        </w:rPr>
        <w:sectPr>
          <w:pgSz w:w="11907" w:h="16840" w:code="9"/>
          <w:pgMar w:top="1134" w:right="1418" w:bottom="1134" w:left="1418" w:header="709" w:footer="709" w:gutter="0"/>
          <w:cols w:space="708"/>
          <w:docGrid w:linePitch="360"/>
        </w:sectPr>
      </w:pPr>
    </w:p>
    <w:p>
      <w:pPr>
        <w:pStyle w:val="Fichefinanciretitre"/>
        <w:rPr>
          <w:noProof/>
        </w:rPr>
      </w:pPr>
      <w:bookmarkStart w:id="1" w:name="_Toc514941970"/>
      <w:r>
        <w:rPr>
          <w:noProof/>
        </w:rPr>
        <w:lastRenderedPageBreak/>
        <w:t>TIESĪBU AKTA PRIEKŠLIKUMA FINANŠU PĀRSKATS</w:t>
      </w:r>
      <w:bookmarkEnd w:id="1"/>
    </w:p>
    <w:p>
      <w:pPr>
        <w:pStyle w:val="ManualHeading1"/>
        <w:rPr>
          <w:noProof/>
        </w:rPr>
      </w:pPr>
      <w:bookmarkStart w:id="2" w:name="_Toc514941971"/>
      <w:bookmarkStart w:id="3" w:name="_Toc39839391"/>
      <w:r>
        <w:t>1.</w:t>
      </w:r>
      <w:r>
        <w:tab/>
      </w:r>
      <w:r>
        <w:rPr>
          <w:noProof/>
        </w:rPr>
        <w:t>PRIEKŠLIKUMA/INICIATĪVAS KONTEKSTS</w:t>
      </w:r>
      <w:bookmarkEnd w:id="2"/>
      <w:bookmarkEnd w:id="3"/>
      <w:r>
        <w:rPr>
          <w:noProof/>
        </w:rPr>
        <w:t xml:space="preserve"> </w:t>
      </w:r>
    </w:p>
    <w:p>
      <w:pPr>
        <w:pStyle w:val="ManualHeading2"/>
        <w:rPr>
          <w:noProof/>
        </w:rPr>
      </w:pPr>
      <w:bookmarkStart w:id="4" w:name="_Toc514941972"/>
      <w:bookmarkStart w:id="5" w:name="_Toc39839392"/>
      <w:r>
        <w:t>1.1.</w:t>
      </w:r>
      <w:r>
        <w:tab/>
      </w:r>
      <w:r>
        <w:rPr>
          <w:noProof/>
        </w:rPr>
        <w:t>Priekšlikuma/iniciatīvas nosaukums</w:t>
      </w:r>
      <w:bookmarkEnd w:id="4"/>
      <w:bookmarkEnd w:id="5"/>
      <w:r>
        <w:rPr>
          <w:noProof/>
        </w:rPr>
        <w:t xml:space="preserve"> </w:t>
      </w:r>
    </w:p>
    <w:p>
      <w:pPr>
        <w:pBdr>
          <w:top w:val="single" w:sz="4" w:space="1" w:color="auto"/>
          <w:left w:val="single" w:sz="4" w:space="4" w:color="auto"/>
          <w:bottom w:val="single" w:sz="4" w:space="1" w:color="auto"/>
          <w:right w:val="single" w:sz="4" w:space="4" w:color="auto"/>
        </w:pBdr>
        <w:ind w:left="850"/>
        <w:rPr>
          <w:noProof/>
        </w:rPr>
      </w:pPr>
      <w:bookmarkStart w:id="6" w:name="_Toc514941973"/>
      <w:bookmarkStart w:id="7" w:name="_Toc39839393"/>
      <w:r>
        <w:rPr>
          <w:noProof/>
        </w:rPr>
        <w:t>Grozīts priekšlikums Eiropas Parlamenta un Padomes regulai, ar ko izveido Taisnīgas pārkārtošanās fondu</w:t>
      </w:r>
    </w:p>
    <w:p>
      <w:pPr>
        <w:pStyle w:val="ManualHeading2"/>
        <w:rPr>
          <w:noProof/>
        </w:rPr>
      </w:pPr>
      <w:r>
        <w:t>1.2.</w:t>
      </w:r>
      <w:r>
        <w:tab/>
      </w:r>
      <w:r>
        <w:rPr>
          <w:noProof/>
        </w:rPr>
        <w:t>Attiecīgā(-s) politikas joma(-s) (</w:t>
      </w:r>
      <w:r>
        <w:rPr>
          <w:i/>
          <w:noProof/>
        </w:rPr>
        <w:t>programmu kopums</w:t>
      </w:r>
      <w:r>
        <w:rPr>
          <w:noProof/>
        </w:rPr>
        <w:t>)</w:t>
      </w:r>
      <w:bookmarkEnd w:id="6"/>
      <w:bookmarkEnd w:id="7"/>
    </w:p>
    <w:p>
      <w:pPr>
        <w:pBdr>
          <w:top w:val="single" w:sz="4" w:space="1" w:color="auto"/>
          <w:left w:val="single" w:sz="4" w:space="4" w:color="auto"/>
          <w:bottom w:val="single" w:sz="4" w:space="1" w:color="auto"/>
          <w:right w:val="single" w:sz="4" w:space="4" w:color="auto"/>
        </w:pBdr>
        <w:ind w:left="850"/>
        <w:rPr>
          <w:noProof/>
        </w:rPr>
      </w:pPr>
      <w:bookmarkStart w:id="8" w:name="_Toc514941974"/>
      <w:r>
        <w:rPr>
          <w:noProof/>
        </w:rPr>
        <w:t>9. Vides un klimata pasākumi (2021.–2027. gads)</w:t>
      </w:r>
    </w:p>
    <w:p>
      <w:pPr>
        <w:pBdr>
          <w:top w:val="single" w:sz="4" w:space="1" w:color="auto"/>
          <w:left w:val="single" w:sz="4" w:space="4" w:color="auto"/>
          <w:bottom w:val="single" w:sz="4" w:space="1" w:color="auto"/>
          <w:right w:val="single" w:sz="4" w:space="4" w:color="auto"/>
        </w:pBdr>
        <w:ind w:left="850"/>
        <w:rPr>
          <w:noProof/>
        </w:rPr>
      </w:pPr>
    </w:p>
    <w:p>
      <w:pPr>
        <w:pStyle w:val="ManualHeading2"/>
        <w:rPr>
          <w:noProof/>
          <w:szCs w:val="24"/>
        </w:rPr>
      </w:pPr>
      <w:bookmarkStart w:id="9" w:name="_Toc39839394"/>
      <w:r>
        <w:t>1.3.</w:t>
      </w:r>
      <w:r>
        <w:tab/>
      </w:r>
      <w:r>
        <w:rPr>
          <w:noProof/>
        </w:rPr>
        <w:t>Priekšlikums/iniciatīva attiecas uz:</w:t>
      </w:r>
      <w:bookmarkEnd w:id="8"/>
      <w:bookmarkEnd w:id="9"/>
      <w:r>
        <w:rPr>
          <w:noProof/>
        </w:rPr>
        <w:t xml:space="preserve"> </w:t>
      </w:r>
    </w:p>
    <w:p>
      <w:pPr>
        <w:ind w:left="850"/>
        <w:rPr>
          <w:b/>
          <w:noProof/>
          <w:sz w:val="22"/>
        </w:rPr>
      </w:pPr>
      <w:r>
        <w:rPr>
          <w:noProof/>
          <w:sz w:val="22"/>
        </w:rPr>
        <w:sym w:font="Wingdings" w:char="F0A8"/>
      </w:r>
      <w:r>
        <w:rPr>
          <w:b/>
          <w:i/>
          <w:noProof/>
          <w:sz w:val="22"/>
        </w:rPr>
        <w:t xml:space="preserve"> </w:t>
      </w:r>
      <w:r>
        <w:rPr>
          <w:b/>
          <w:noProof/>
        </w:rPr>
        <w:t>jaunu darbību</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jaunu darbību, pamatojoties uz izmēģinājuma projektu/sagatavošanas darbību</w:t>
      </w:r>
      <w:r>
        <w:rPr>
          <w:rStyle w:val="FootnoteReference"/>
          <w:b/>
          <w:noProof/>
        </w:rPr>
        <w:footnoteReference w:id="7"/>
      </w:r>
      <w:r>
        <w:rPr>
          <w:noProof/>
          <w:sz w:val="22"/>
        </w:rPr>
        <w:t xml:space="preserve"> </w:t>
      </w:r>
    </w:p>
    <w:p>
      <w:pPr>
        <w:ind w:left="850"/>
        <w:rPr>
          <w:noProof/>
          <w:sz w:val="22"/>
        </w:rPr>
      </w:pPr>
      <w:r>
        <w:rPr>
          <w:noProof/>
          <w:sz w:val="22"/>
        </w:rPr>
        <w:t>X</w:t>
      </w:r>
      <w:r>
        <w:rPr>
          <w:i/>
          <w:noProof/>
          <w:sz w:val="22"/>
        </w:rPr>
        <w:t xml:space="preserve"> </w:t>
      </w:r>
      <w:r>
        <w:rPr>
          <w:b/>
          <w:noProof/>
        </w:rPr>
        <w:t>esošas darbības pagarināšanu</w:t>
      </w:r>
      <w:r>
        <w:rPr>
          <w:noProof/>
          <w:sz w:val="22"/>
        </w:rPr>
        <w:t xml:space="preserve"> </w:t>
      </w:r>
    </w:p>
    <w:p>
      <w:pPr>
        <w:ind w:left="850"/>
        <w:rPr>
          <w:noProof/>
        </w:rPr>
      </w:pPr>
      <w:r>
        <w:rPr>
          <w:noProof/>
          <w:sz w:val="22"/>
        </w:rPr>
        <w:sym w:font="Wingdings" w:char="F0A8"/>
      </w:r>
      <w:r>
        <w:rPr>
          <w:i/>
          <w:noProof/>
          <w:sz w:val="22"/>
        </w:rPr>
        <w:t xml:space="preserve"> </w:t>
      </w:r>
      <w:r>
        <w:rPr>
          <w:b/>
          <w:noProof/>
        </w:rPr>
        <w:t>vienas vai vairāku darbību apvienošanu vai pārorientēšanu uz citu/jaunu darbību</w:t>
      </w:r>
      <w:r>
        <w:rPr>
          <w:noProof/>
        </w:rPr>
        <w:t xml:space="preserve"> </w:t>
      </w:r>
    </w:p>
    <w:p>
      <w:pPr>
        <w:pStyle w:val="ManualHeading2"/>
        <w:rPr>
          <w:noProof/>
          <w:szCs w:val="24"/>
        </w:rPr>
      </w:pPr>
      <w:bookmarkStart w:id="10" w:name="_Toc514941975"/>
      <w:bookmarkStart w:id="11" w:name="_Toc39839395"/>
      <w:r>
        <w:t>1.4.</w:t>
      </w:r>
      <w:r>
        <w:tab/>
      </w:r>
      <w:r>
        <w:rPr>
          <w:noProof/>
        </w:rPr>
        <w:t>Priekšlikuma/iniciatīvas pamatojums</w:t>
      </w:r>
      <w:bookmarkEnd w:id="10"/>
      <w:r>
        <w:rPr>
          <w:noProof/>
        </w:rPr>
        <w:t xml:space="preserve"> </w:t>
      </w:r>
      <w:bookmarkEnd w:id="11"/>
    </w:p>
    <w:p>
      <w:pPr>
        <w:pStyle w:val="ManualHeading3"/>
        <w:rPr>
          <w:rStyle w:val="Heading3Char"/>
          <w:i/>
          <w:noProof/>
          <w:lang w:val="lv-LV"/>
        </w:rPr>
      </w:pPr>
      <w:bookmarkStart w:id="12" w:name="_Toc514941976"/>
      <w:bookmarkStart w:id="13" w:name="_Toc39839396"/>
      <w:r>
        <w:rPr>
          <w:rStyle w:val="Heading3Char"/>
        </w:rPr>
        <w:t>1.4.1.</w:t>
      </w:r>
      <w:r>
        <w:rPr>
          <w:rStyle w:val="Heading3Char"/>
        </w:rPr>
        <w:tab/>
      </w:r>
      <w:r>
        <w:rPr>
          <w:noProof/>
        </w:rPr>
        <w:t xml:space="preserve">Īstermiņā vai ilgtermiņā izpildāmās vajadzības, arī sīki izstrādāts </w:t>
      </w:r>
      <w:r>
        <w:rPr>
          <w:rStyle w:val="Heading3Char"/>
          <w:noProof/>
          <w:lang w:val="lv-LV"/>
        </w:rPr>
        <w:t>iniciatīvas izvēršanas</w:t>
      </w:r>
      <w:r>
        <w:rPr>
          <w:noProof/>
        </w:rPr>
        <w:t xml:space="preserve"> grafiks</w:t>
      </w:r>
      <w:bookmarkEnd w:id="12"/>
      <w:bookmarkEnd w:id="13"/>
    </w:p>
    <w:p>
      <w:pPr>
        <w:pBdr>
          <w:top w:val="single" w:sz="4" w:space="1" w:color="auto"/>
          <w:left w:val="single" w:sz="4" w:space="4" w:color="auto"/>
          <w:bottom w:val="single" w:sz="4" w:space="1" w:color="auto"/>
          <w:right w:val="single" w:sz="4" w:space="4" w:color="auto"/>
        </w:pBdr>
        <w:ind w:left="850"/>
        <w:rPr>
          <w:noProof/>
        </w:rPr>
      </w:pPr>
      <w:r>
        <w:rPr>
          <w:noProof/>
        </w:rPr>
        <w:t>Lai radītu apstākļus Eiropas ilgtermiņa izaugsmei un Eiropas ekonomikas noturībai pret turpmākiem satricinājumiem, tiek ierosināts grozīt priekšlikumu regulai, ar ko izveido Taisnīgas pārkārtošanās fondu, nolūkā nodrošināt, ka tiek pastiprinātas investīcijas, kas veicina zaļo pārkārtošanos. Tādēļ tiek ierosināts Taisnīgas pārkārtošanās fondam piešķirt papildu resursus 35 613 048 000 EUR apmērā (pašreizējās cenās). No šiem papildu resursiem 2 810 048 000 EUR pašreizējās cenās būtu jānāk no budžeta apropriācijām, nākamās DFS satvarā palielinot programmas līmeni līdz 11 270 459 000 EUR; šie resursi būtu jāpiešķir Eiropadomes līmenī notiekošo sarunu gaitā. Atlikušie papildu resursi 32 803 000 000 EUR apmērā attieksies uz 2021.–2024. gada laikposmu un veidos ārējos piešķirtos ieņēmumus, kas izriet no Eiropas Atveseļošanas instrumenta.</w:t>
      </w:r>
    </w:p>
    <w:p>
      <w:pPr>
        <w:pStyle w:val="ManualHeading3"/>
        <w:rPr>
          <w:noProof/>
        </w:rPr>
      </w:pPr>
      <w:bookmarkStart w:id="14" w:name="_Toc514941977"/>
      <w:bookmarkStart w:id="15" w:name="_Toc39839397"/>
      <w:r>
        <w:t>1.4.2.</w:t>
      </w:r>
      <w:r>
        <w:tab/>
      </w:r>
      <w:r>
        <w:rPr>
          <w:noProof/>
        </w:rPr>
        <w:t>Savienības iesaistīšanās pievienotā vērtība (tās pamatā var būt dažādi faktori, piemēram, koordinēšanas radītie ieguvumi, juridiskā noteiktība, lielāka rezultativitāte vai papildināmība). Šā punkta izpratnē “Savienības iesaistīšanās pievienotā vērtība” ir vērtība, kas veidojas Savienības iesaistīšanās rezultātā un kas papildina vērtību, kura veidotos, ja dalībvalstis rīkotos atsevišķi.</w:t>
      </w:r>
      <w:bookmarkEnd w:id="14"/>
      <w:bookmarkEnd w:id="15"/>
    </w:p>
    <w:p>
      <w:pPr>
        <w:pBdr>
          <w:top w:val="single" w:sz="4" w:space="1" w:color="auto"/>
          <w:left w:val="single" w:sz="4" w:space="4" w:color="auto"/>
          <w:bottom w:val="single" w:sz="4" w:space="1" w:color="auto"/>
          <w:right w:val="single" w:sz="4" w:space="4" w:color="auto"/>
        </w:pBdr>
        <w:ind w:left="850"/>
        <w:rPr>
          <w:noProof/>
        </w:rPr>
      </w:pPr>
      <w:r>
        <w:rPr>
          <w:noProof/>
        </w:rPr>
        <w:t xml:space="preserve">Saskaņā ar mērķi līdz 2050. gadam efektīvi un taisnīgi panākt ES klimatneitralitāti Taisnīgas pārkārtošanās fonda mērķis ir mazināt ekonomiskās, vides un sociālās izmaksas, ko rada pārkārtošanās uz klimatneitralitāti, nolūkā dot labumu teritorijām, kuras šī pārkārtošanās ietekmē visnelabvēlīgāk. Fonda atbalsts ir vērsts uz ekonomikas pārveides pasākumiem, pārveides skarto darba ņēmēju pārkvalificēšanos un palīdzību darba meklēšanā. </w:t>
      </w:r>
    </w:p>
    <w:p>
      <w:pPr>
        <w:pBdr>
          <w:top w:val="single" w:sz="4" w:space="1" w:color="auto"/>
          <w:left w:val="single" w:sz="4" w:space="4" w:color="auto"/>
          <w:bottom w:val="single" w:sz="4" w:space="1" w:color="auto"/>
          <w:right w:val="single" w:sz="4" w:space="4" w:color="auto"/>
        </w:pBdr>
        <w:ind w:left="850"/>
        <w:rPr>
          <w:noProof/>
        </w:rPr>
      </w:pPr>
      <w:r>
        <w:rPr>
          <w:noProof/>
        </w:rPr>
        <w:t>Koronavīrusa slimības uzliesmojums (“Covid-19”) ir licis daudzām valdībām ieviest vēl nepieredzētus pasākumus pandēmijas ierobežošanai. Tas savukārt daudzās ekonomikās ir izraisījis strauju izlaides līmeņa kritumu, kam ir smagas sociālās sekas. Šā iemesla dēļ turpmākajos gados valsts finanšu un parāda pārvaldības jomā gaidāmas būtiskas problēmas, kas savukārt var ierobežot ekonomikas atveseļošanai vajadzīgās publiskā sektora investīcijas.</w:t>
      </w:r>
    </w:p>
    <w:p>
      <w:pPr>
        <w:pBdr>
          <w:top w:val="single" w:sz="4" w:space="1" w:color="auto"/>
          <w:left w:val="single" w:sz="4" w:space="4" w:color="auto"/>
          <w:bottom w:val="single" w:sz="4" w:space="1" w:color="auto"/>
          <w:right w:val="single" w:sz="4" w:space="4" w:color="auto"/>
        </w:pBdr>
        <w:ind w:left="850"/>
        <w:rPr>
          <w:noProof/>
        </w:rPr>
      </w:pPr>
      <w:r>
        <w:rPr>
          <w:noProof/>
        </w:rPr>
        <w:t>Turklāt valstu un reģionu spējas novērst krīzes sekas dažādās dalībvalstīs un reģionos nav vienādas, jo atšķiras to ekonomikas struktūra un fiskālais stāvoklis. Ja šīs atšķirības netiks novērstas, tās var izraisīt asimetrisku atveseļošanu un palielināt reģionālās atšķirības, kas savukārt var apdraudēt iekšējo tirgu, eurozonas finanšu stabilitāti un Savienību kopumā.</w:t>
      </w:r>
    </w:p>
    <w:p>
      <w:pPr>
        <w:pBdr>
          <w:top w:val="single" w:sz="4" w:space="1" w:color="auto"/>
          <w:left w:val="single" w:sz="4" w:space="4" w:color="auto"/>
          <w:bottom w:val="single" w:sz="4" w:space="1" w:color="auto"/>
          <w:right w:val="single" w:sz="4" w:space="4" w:color="auto"/>
        </w:pBdr>
        <w:ind w:left="850"/>
        <w:rPr>
          <w:noProof/>
        </w:rPr>
      </w:pPr>
      <w:r>
        <w:rPr>
          <w:noProof/>
        </w:rPr>
        <w:t>Lai novērstu atšķirību palielināšanos un izvairītos no atveseļošanas procesa nevienmērības, īstermiņā un vidējā termiņā tāpēc ir jāsniedz dalībvalstīm un reģioniem papildu atbalsts, kura mērķis ir palīdzēt to ekonomikai un sabiedrībai rast izeju no situācijas un nodrošināt ekonomikas strauju un ilgtspējīgu atveseļošanu.</w:t>
      </w:r>
    </w:p>
    <w:p>
      <w:pPr>
        <w:pStyle w:val="ManualHeading3"/>
        <w:rPr>
          <w:noProof/>
        </w:rPr>
      </w:pPr>
      <w:bookmarkStart w:id="16" w:name="_Toc514941978"/>
      <w:bookmarkStart w:id="17" w:name="_Toc39839398"/>
      <w:r>
        <w:t>1.4.3.</w:t>
      </w:r>
      <w:r>
        <w:tab/>
      </w:r>
      <w:r>
        <w:rPr>
          <w:noProof/>
        </w:rPr>
        <w:t>Līdzīgas līdzšinējās pieredzes rezultātā gūtās atziņas</w:t>
      </w:r>
      <w:bookmarkEnd w:id="16"/>
      <w:bookmarkEnd w:id="17"/>
    </w:p>
    <w:p>
      <w:pPr>
        <w:pStyle w:val="ManualHeading3"/>
        <w:rPr>
          <w:noProof/>
        </w:rPr>
      </w:pPr>
      <w:bookmarkStart w:id="18" w:name="_Toc514941979"/>
      <w:bookmarkStart w:id="19" w:name="_Toc39839399"/>
      <w:r>
        <w:t>1.4.4.</w:t>
      </w:r>
      <w:r>
        <w:tab/>
      </w:r>
      <w:r>
        <w:rPr>
          <w:noProof/>
        </w:rPr>
        <w:t>Saderība un iespējamā sinerģija ar citiem atbilstošiem instrumentiem</w:t>
      </w:r>
      <w:bookmarkEnd w:id="18"/>
      <w:bookmarkEnd w:id="19"/>
    </w:p>
    <w:p>
      <w:pPr>
        <w:pBdr>
          <w:top w:val="single" w:sz="4" w:space="1" w:color="auto"/>
          <w:left w:val="single" w:sz="4" w:space="4" w:color="auto"/>
          <w:bottom w:val="single" w:sz="4" w:space="1" w:color="auto"/>
          <w:right w:val="single" w:sz="4" w:space="4" w:color="auto"/>
        </w:pBdr>
        <w:ind w:left="850"/>
        <w:rPr>
          <w:noProof/>
        </w:rPr>
      </w:pPr>
      <w:r>
        <w:rPr>
          <w:noProof/>
        </w:rPr>
        <w:t xml:space="preserve">Atbalstu, ko sniedz no Taisnīgas pārkārtošanās fonda, papildina īpaša taisnīgas pārkārtošanās shēma </w:t>
      </w:r>
      <w:r>
        <w:rPr>
          <w:i/>
          <w:noProof/>
        </w:rPr>
        <w:t>InvestEU</w:t>
      </w:r>
      <w:r>
        <w:rPr>
          <w:noProof/>
        </w:rPr>
        <w:t xml:space="preserve"> satvarā. Tā atbalstīs plašāku investīciju klāstu, jo īpaši veicinās pārkārtošanos, sniedzot atbalstu mazoglekļa un klimatnoturīgām darbībām, piemēram, investīcijām atjaunojamos energoresursos un energoefektivitātes shēmām. Ar šo shēmu varēs izmantot arī finansējumu enerģētikas un transporta infrastruktūrai, tostarp gāzes infrastruktūrai un centralizētajai siltumapgādei, kā arī dekarbonizācijas projektiem, reģionu ekonomikas diversifikācijai un sociālajai infrastruktūrai. </w:t>
      </w:r>
    </w:p>
    <w:p>
      <w:pPr>
        <w:pBdr>
          <w:top w:val="single" w:sz="4" w:space="1" w:color="auto"/>
          <w:left w:val="single" w:sz="4" w:space="4" w:color="auto"/>
          <w:bottom w:val="single" w:sz="4" w:space="1" w:color="auto"/>
          <w:right w:val="single" w:sz="4" w:space="4" w:color="auto"/>
        </w:pBdr>
        <w:ind w:left="850"/>
        <w:rPr>
          <w:noProof/>
        </w:rPr>
      </w:pPr>
      <w:r>
        <w:rPr>
          <w:noProof/>
        </w:rPr>
        <w:t>Turklāt jauns publiskā sektora aizdevumu mehānisms, kas tiks īstenots kopā ar EIB, sniegs atbalstu no ES resursiem piešķirto dotāciju apvienošanai ar aizdevumiem, ko EIB piešķir publiskām struktūrām, lai dotu labumu vissmagāk skartajām teritorijām, kuras norādītas teritoriālajos taisnīgas pārkārtošanās plānos.</w:t>
      </w:r>
    </w:p>
    <w:p>
      <w:pPr>
        <w:pBdr>
          <w:top w:val="single" w:sz="4" w:space="1" w:color="auto"/>
          <w:left w:val="single" w:sz="4" w:space="4" w:color="auto"/>
          <w:bottom w:val="single" w:sz="4" w:space="1" w:color="auto"/>
          <w:right w:val="single" w:sz="4" w:space="4" w:color="auto"/>
        </w:pBdr>
        <w:ind w:left="850"/>
        <w:rPr>
          <w:noProof/>
        </w:rPr>
      </w:pPr>
      <w:r>
        <w:rPr>
          <w:noProof/>
        </w:rPr>
        <w:t>Sinerģija un papildināmība starp trim pīlāriem tiks nodrošināta, izmantojot teritoriālos taisnīgas pārkārtošanās plānus, kuros tiks apzinātas vissmagāk skarto teritoriju attīstības vajadzības, kas izriet no klimatiskās pārkārtošanās.</w:t>
      </w:r>
    </w:p>
    <w:p>
      <w:pPr>
        <w:pBdr>
          <w:top w:val="single" w:sz="4" w:space="1" w:color="auto"/>
          <w:left w:val="single" w:sz="4" w:space="4" w:color="auto"/>
          <w:bottom w:val="single" w:sz="4" w:space="1" w:color="auto"/>
          <w:right w:val="single" w:sz="4" w:space="4" w:color="auto"/>
        </w:pBdr>
        <w:ind w:left="850"/>
        <w:rPr>
          <w:noProof/>
        </w:rPr>
      </w:pPr>
      <w:r>
        <w:rPr>
          <w:noProof/>
        </w:rPr>
        <w:t xml:space="preserve">Priekšlikums aprobežojas tikai ar mērķorientētiem grozījumiem, kas vajadzīgi, lai izstrādātu noteikumus, kuri ļauj darīt pieejamus papildu resursus un reglamentē to īstenošanu. Priekšlikums saskan ar Kopīgo noteikumu regulu. Pasākumi saskan ar Komisijas priekšlikumu par atveseļošanas fondu. </w:t>
      </w:r>
    </w:p>
    <w:p>
      <w:pPr>
        <w:pBdr>
          <w:top w:val="single" w:sz="4" w:space="1" w:color="auto"/>
          <w:left w:val="single" w:sz="4" w:space="4" w:color="auto"/>
          <w:bottom w:val="single" w:sz="4" w:space="1" w:color="auto"/>
          <w:right w:val="single" w:sz="4" w:space="4" w:color="auto"/>
        </w:pBdr>
        <w:ind w:left="850"/>
        <w:rPr>
          <w:noProof/>
        </w:rPr>
      </w:pPr>
      <w:r>
        <w:rPr>
          <w:noProof/>
        </w:rPr>
        <w:t>Papildu summas saskaņā ar metodiku, kas izklāstīta ierosinātās Taisnīgas pārkārtošanās fonda regulas I pielikumā, tiks sadalītas starp dalībvalstīm, atspoguļojot to spēju finansēt investīcijas, kuras vajadzīgas, lai sekmīgi veiktu pārkārtošanos uz klimatneitralitāti. Lai saglabātu dalībvalstu un reģionu spēju izmantot savus kohēzijas politikas resursus ekonomiskās, sociālās un teritoriālās kohēzijas atbalstam, papildu resursi no Eiropas Atveseļošanas instrumenta nebūs jāpārvieto no valstu piešķīrumiem saskaņā ar Eiropas Reģionālās attīstības fondu un Eiropas Sociālo fondu+.</w:t>
      </w:r>
    </w:p>
    <w:p>
      <w:pPr>
        <w:pStyle w:val="ManualHeading2"/>
        <w:rPr>
          <w:noProof/>
          <w:szCs w:val="24"/>
        </w:rPr>
      </w:pPr>
      <w:r>
        <w:rPr>
          <w:noProof/>
        </w:rPr>
        <w:br w:type="page"/>
      </w:r>
      <w:bookmarkStart w:id="20" w:name="_Toc514941980"/>
      <w:bookmarkStart w:id="21" w:name="_Toc39839400"/>
      <w:r>
        <w:t>1.5.</w:t>
      </w:r>
      <w:r>
        <w:tab/>
      </w:r>
      <w:r>
        <w:rPr>
          <w:noProof/>
        </w:rPr>
        <w:t>Ilgums un finansiālā ietekme</w:t>
      </w:r>
      <w:bookmarkEnd w:id="20"/>
      <w:bookmarkEnd w:id="21"/>
      <w:r>
        <w:rPr>
          <w:noProof/>
        </w:rPr>
        <w:t xml:space="preserve"> </w:t>
      </w:r>
    </w:p>
    <w:p>
      <w:pPr>
        <w:ind w:left="850"/>
        <w:rPr>
          <w:noProof/>
        </w:rPr>
      </w:pPr>
      <w:r>
        <w:rPr>
          <w:noProof/>
        </w:rPr>
        <w:t xml:space="preserve">X </w:t>
      </w:r>
      <w:r>
        <w:rPr>
          <w:b/>
          <w:noProof/>
        </w:rPr>
        <w:t xml:space="preserve">Ierobežots ilgums </w:t>
      </w:r>
    </w:p>
    <w:p>
      <w:pPr>
        <w:tabs>
          <w:tab w:val="num" w:pos="1134"/>
        </w:tabs>
        <w:ind w:left="1134" w:hanging="283"/>
        <w:rPr>
          <w:rFonts w:eastAsia="Times New Roman"/>
          <w:noProof/>
        </w:rPr>
      </w:pPr>
      <w:r>
        <w:rPr>
          <w:noProof/>
        </w:rPr>
        <w:sym w:font="Wingdings" w:char="F0A8"/>
      </w:r>
      <w:r>
        <w:rPr>
          <w:noProof/>
        </w:rPr>
        <w:t xml:space="preserve"> darbības laiks: [DD.MM.]GGGG.–[DD.MM.]GGGG. </w:t>
      </w:r>
    </w:p>
    <w:p>
      <w:pPr>
        <w:tabs>
          <w:tab w:val="num" w:pos="1134"/>
        </w:tabs>
        <w:ind w:left="1134" w:hanging="283"/>
        <w:rPr>
          <w:rFonts w:eastAsia="Times New Roman"/>
          <w:noProof/>
        </w:rPr>
      </w:pPr>
      <w:r>
        <w:rPr>
          <w:noProof/>
        </w:rPr>
        <w:t>X</w:t>
      </w:r>
      <w:r>
        <w:rPr>
          <w:noProof/>
        </w:rPr>
        <w:tab/>
        <w:t xml:space="preserve">Finansiālā ietekme uz saistību apropriācijām no 2021. līdz 2027. gadam un uz maksājumu apropriācijām no 2021. līdz 2027. gadam. </w:t>
      </w:r>
    </w:p>
    <w:p>
      <w:pPr>
        <w:ind w:left="850"/>
        <w:rPr>
          <w:noProof/>
        </w:rPr>
      </w:pPr>
      <w:r>
        <w:rPr>
          <w:noProof/>
        </w:rPr>
        <w:sym w:font="Wingdings" w:char="F0A8"/>
      </w:r>
      <w:r>
        <w:rPr>
          <w:noProof/>
        </w:rPr>
        <w:t xml:space="preserve"> </w:t>
      </w:r>
      <w:r>
        <w:rPr>
          <w:b/>
          <w:noProof/>
        </w:rPr>
        <w:t>beztermiņa priekšlikums/iniciatīva</w:t>
      </w:r>
    </w:p>
    <w:p>
      <w:pPr>
        <w:tabs>
          <w:tab w:val="num" w:pos="1134"/>
        </w:tabs>
        <w:ind w:left="1134" w:hanging="283"/>
        <w:rPr>
          <w:rFonts w:eastAsia="Times New Roman"/>
          <w:noProof/>
        </w:rPr>
      </w:pPr>
      <w:r>
        <w:rPr>
          <w:noProof/>
        </w:rPr>
        <w:t>Īstenošana ar uzsākšanas periodu no 2021. gada,</w:t>
      </w:r>
    </w:p>
    <w:p>
      <w:pPr>
        <w:tabs>
          <w:tab w:val="num" w:pos="1134"/>
        </w:tabs>
        <w:ind w:left="1134" w:hanging="283"/>
        <w:rPr>
          <w:rFonts w:eastAsia="Times New Roman"/>
          <w:noProof/>
        </w:rPr>
      </w:pPr>
      <w:r>
        <w:rPr>
          <w:noProof/>
        </w:rPr>
        <w:t>pēc kura turpinās normāla darbība.</w:t>
      </w:r>
    </w:p>
    <w:p>
      <w:pPr>
        <w:pStyle w:val="ManualHeading2"/>
        <w:rPr>
          <w:noProof/>
          <w:szCs w:val="24"/>
        </w:rPr>
      </w:pPr>
      <w:bookmarkStart w:id="22" w:name="_Toc514941981"/>
      <w:bookmarkStart w:id="23" w:name="_Toc39839401"/>
      <w:r>
        <w:t>1.6.</w:t>
      </w:r>
      <w:r>
        <w:tab/>
      </w:r>
      <w:r>
        <w:rPr>
          <w:noProof/>
        </w:rPr>
        <w:t>Paredzētie pārvaldības veidi</w:t>
      </w:r>
      <w:bookmarkEnd w:id="22"/>
      <w:bookmarkEnd w:id="23"/>
      <w:r>
        <w:rPr>
          <w:rStyle w:val="FootnoteReference"/>
          <w:noProof/>
        </w:rPr>
        <w:footnoteReference w:id="8"/>
      </w:r>
      <w:r>
        <w:rPr>
          <w:noProof/>
          <w:vertAlign w:val="superscript"/>
        </w:rPr>
        <w:t xml:space="preserve"> </w:t>
      </w:r>
    </w:p>
    <w:p>
      <w:pPr>
        <w:ind w:left="850"/>
        <w:rPr>
          <w:noProof/>
        </w:rPr>
      </w:pPr>
      <w:r>
        <w:rPr>
          <w:noProof/>
        </w:rPr>
        <w:t xml:space="preserve">X Komisijas īstenota </w:t>
      </w:r>
      <w:r>
        <w:rPr>
          <w:b/>
          <w:noProof/>
        </w:rPr>
        <w:t>tieša pārvaldība</w:t>
      </w:r>
      <w:r>
        <w:rPr>
          <w:noProof/>
        </w:rPr>
        <w:t xml:space="preserve"> (attiecas uz 0,35 % no piešķīruma saistībā ar tehnisko palīdzību)</w:t>
      </w:r>
    </w:p>
    <w:p>
      <w:pPr>
        <w:tabs>
          <w:tab w:val="num" w:pos="1134"/>
        </w:tabs>
        <w:ind w:left="1134" w:hanging="283"/>
        <w:rPr>
          <w:rFonts w:eastAsia="Times New Roman" w:cs="EUAlbertina"/>
          <w:noProof/>
        </w:rPr>
      </w:pPr>
      <w:r>
        <w:rPr>
          <w:noProof/>
        </w:rPr>
        <w:t xml:space="preserve">X ko veic tās struktūrvienības, tostarp personāls Savienības delegācijās; </w:t>
      </w:r>
    </w:p>
    <w:p>
      <w:pPr>
        <w:tabs>
          <w:tab w:val="num" w:pos="1134"/>
        </w:tabs>
        <w:ind w:left="1134" w:hanging="283"/>
        <w:rPr>
          <w:rFonts w:eastAsia="Times New Roman"/>
          <w:noProof/>
        </w:rPr>
      </w:pPr>
      <w:r>
        <w:rPr>
          <w:noProof/>
        </w:rPr>
        <w:sym w:font="Wingdings" w:char="F0A8"/>
      </w:r>
      <w:r>
        <w:rPr>
          <w:noProof/>
        </w:rPr>
        <w:t xml:space="preserve"> ko veic izpildaģentūras. </w:t>
      </w:r>
    </w:p>
    <w:p>
      <w:pPr>
        <w:ind w:left="850"/>
        <w:rPr>
          <w:noProof/>
        </w:rPr>
      </w:pPr>
      <w:r>
        <w:rPr>
          <w:noProof/>
        </w:rPr>
        <w:t xml:space="preserve">X </w:t>
      </w:r>
      <w:r>
        <w:rPr>
          <w:b/>
          <w:noProof/>
        </w:rPr>
        <w:t>Dalīta pārvaldība</w:t>
      </w:r>
      <w:r>
        <w:rPr>
          <w:noProof/>
        </w:rPr>
        <w:t xml:space="preserve"> kopā ar dalībvalstīm </w:t>
      </w:r>
    </w:p>
    <w:p>
      <w:pPr>
        <w:ind w:left="850"/>
        <w:rPr>
          <w:noProof/>
        </w:rPr>
      </w:pPr>
      <w:r>
        <w:rPr>
          <w:noProof/>
        </w:rPr>
        <w:sym w:font="Wingdings" w:char="F0A8"/>
      </w:r>
      <w:r>
        <w:rPr>
          <w:i/>
          <w:noProof/>
        </w:rPr>
        <w:t xml:space="preserve"> </w:t>
      </w:r>
      <w:r>
        <w:rPr>
          <w:b/>
          <w:noProof/>
        </w:rPr>
        <w:t>Netieša pārvaldība</w:t>
      </w:r>
      <w:r>
        <w:rPr>
          <w:noProof/>
        </w:rPr>
        <w:t>, kurā budžeta īstenošanas uzdevumi uzticēti:</w:t>
      </w:r>
    </w:p>
    <w:p>
      <w:pPr>
        <w:tabs>
          <w:tab w:val="num" w:pos="1134"/>
        </w:tabs>
        <w:ind w:left="1134" w:hanging="283"/>
        <w:rPr>
          <w:rFonts w:eastAsia="Times New Roman"/>
          <w:noProof/>
        </w:rPr>
      </w:pPr>
      <w:r>
        <w:rPr>
          <w:noProof/>
        </w:rPr>
        <w:sym w:font="Wingdings" w:char="F0A8"/>
      </w:r>
      <w:r>
        <w:rPr>
          <w:noProof/>
        </w:rPr>
        <w:t xml:space="preserve"> trešām valstīm vai to izraudzītām struktūrām;</w:t>
      </w:r>
    </w:p>
    <w:p>
      <w:pPr>
        <w:tabs>
          <w:tab w:val="num" w:pos="1134"/>
        </w:tabs>
        <w:ind w:left="1134" w:hanging="283"/>
        <w:rPr>
          <w:rFonts w:eastAsia="Times New Roman"/>
          <w:noProof/>
        </w:rPr>
      </w:pPr>
      <w:r>
        <w:rPr>
          <w:noProof/>
        </w:rPr>
        <w:sym w:font="Wingdings" w:char="F0A8"/>
      </w:r>
      <w:r>
        <w:rPr>
          <w:noProof/>
        </w:rPr>
        <w:t xml:space="preserve"> starptautiskām organizācijām un to aģentūrām (precizēt);</w:t>
      </w:r>
    </w:p>
    <w:p>
      <w:pPr>
        <w:tabs>
          <w:tab w:val="num" w:pos="1134"/>
        </w:tabs>
        <w:ind w:left="1134" w:hanging="283"/>
        <w:rPr>
          <w:rFonts w:eastAsia="Times New Roman"/>
          <w:noProof/>
        </w:rPr>
      </w:pPr>
      <w:r>
        <w:rPr>
          <w:noProof/>
        </w:rPr>
        <w:sym w:font="Wingdings" w:char="F0A8"/>
      </w:r>
      <w:r>
        <w:rPr>
          <w:noProof/>
        </w:rPr>
        <w:t xml:space="preserve"> EIB un Eiropas Investīciju fondam;</w:t>
      </w:r>
    </w:p>
    <w:p>
      <w:pPr>
        <w:tabs>
          <w:tab w:val="num" w:pos="1134"/>
        </w:tabs>
        <w:ind w:left="1134" w:hanging="283"/>
        <w:rPr>
          <w:rFonts w:eastAsia="Times New Roman"/>
          <w:noProof/>
        </w:rPr>
      </w:pPr>
      <w:r>
        <w:rPr>
          <w:noProof/>
        </w:rPr>
        <w:sym w:font="Wingdings" w:char="F0A8"/>
      </w:r>
      <w:r>
        <w:rPr>
          <w:noProof/>
        </w:rPr>
        <w:t xml:space="preserve"> Finanšu regulas 70. un 71. pantā minētajām struktūrām;</w:t>
      </w:r>
    </w:p>
    <w:p>
      <w:pPr>
        <w:tabs>
          <w:tab w:val="num" w:pos="1134"/>
        </w:tabs>
        <w:ind w:left="1134" w:hanging="283"/>
        <w:rPr>
          <w:rFonts w:eastAsia="Times New Roman"/>
          <w:noProof/>
        </w:rPr>
      </w:pPr>
      <w:r>
        <w:rPr>
          <w:noProof/>
        </w:rPr>
        <w:sym w:font="Wingdings" w:char="F0A8"/>
      </w:r>
      <w:r>
        <w:rPr>
          <w:noProof/>
        </w:rPr>
        <w:t xml:space="preserve"> publisko tiesību subjektiem;</w:t>
      </w:r>
    </w:p>
    <w:p>
      <w:pPr>
        <w:tabs>
          <w:tab w:val="num" w:pos="1134"/>
        </w:tabs>
        <w:ind w:left="1134" w:hanging="283"/>
        <w:rPr>
          <w:rFonts w:eastAsia="Times New Roman"/>
          <w:noProof/>
        </w:rPr>
      </w:pPr>
      <w:r>
        <w:rPr>
          <w:noProof/>
        </w:rPr>
        <w:sym w:font="Wingdings" w:char="F0A8"/>
      </w:r>
      <w:r>
        <w:rPr>
          <w:noProof/>
        </w:rPr>
        <w:t xml:space="preserve"> privāttiesību subjektiem, kas veic valsts pārvaldes uzdevumus, ja tie sniedz pienācīgas finanšu garantijas;</w:t>
      </w:r>
    </w:p>
    <w:p>
      <w:pPr>
        <w:tabs>
          <w:tab w:val="num" w:pos="1134"/>
        </w:tabs>
        <w:ind w:left="1134" w:hanging="283"/>
        <w:rPr>
          <w:rFonts w:eastAsia="Times New Roman"/>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pPr>
        <w:tabs>
          <w:tab w:val="num" w:pos="1134"/>
        </w:tabs>
        <w:ind w:left="1134" w:hanging="283"/>
        <w:rPr>
          <w:noProof/>
        </w:rPr>
      </w:pPr>
      <w:r>
        <w:rPr>
          <w:noProof/>
        </w:rPr>
        <w:sym w:font="Wingdings" w:char="F0A8"/>
      </w:r>
      <w:r>
        <w:rPr>
          <w:noProof/>
        </w:rPr>
        <w:t xml:space="preserve"> personām, kurām ir uzticēts veikt īpašas darbības KĀDP jomā, kāda paredzēta Līguma par Eiropas Savienību V sadaļā, un kuras ir noteiktas attiecīgajā pamataktā.</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4" w:name="_Toc514941982"/>
      <w:bookmarkStart w:id="25" w:name="_Toc39837055"/>
      <w:bookmarkStart w:id="26" w:name="_Toc39839402"/>
      <w:r>
        <w:t>2.</w:t>
      </w:r>
      <w:r>
        <w:tab/>
      </w:r>
      <w:r>
        <w:rPr>
          <w:noProof/>
        </w:rPr>
        <w:t>PĀRVALDĪBAS PASĀKUMI</w:t>
      </w:r>
      <w:bookmarkEnd w:id="24"/>
      <w:bookmarkEnd w:id="25"/>
      <w:bookmarkEnd w:id="26"/>
      <w:r>
        <w:rPr>
          <w:noProof/>
        </w:rPr>
        <w:t xml:space="preserve"> </w:t>
      </w:r>
    </w:p>
    <w:p>
      <w:pPr>
        <w:pStyle w:val="ManualHeading2"/>
        <w:rPr>
          <w:noProof/>
        </w:rPr>
      </w:pPr>
      <w:bookmarkStart w:id="27" w:name="_Toc514941983"/>
      <w:bookmarkStart w:id="28" w:name="_Toc39837056"/>
      <w:bookmarkStart w:id="29" w:name="_Toc39839403"/>
      <w:r>
        <w:t>2.1.</w:t>
      </w:r>
      <w:r>
        <w:tab/>
      </w:r>
      <w:r>
        <w:rPr>
          <w:noProof/>
        </w:rPr>
        <w:t>Pārraudzības un ziņošanas noteikumi</w:t>
      </w:r>
      <w:bookmarkEnd w:id="27"/>
      <w:bookmarkEnd w:id="28"/>
      <w:bookmarkEnd w:id="29"/>
      <w:r>
        <w:rPr>
          <w:noProof/>
        </w:rPr>
        <w:t xml:space="preserve"> </w:t>
      </w:r>
    </w:p>
    <w:p>
      <w:pPr>
        <w:ind w:left="850"/>
        <w:rPr>
          <w:i/>
          <w:noProof/>
          <w:sz w:val="20"/>
        </w:rPr>
      </w:pPr>
      <w:r>
        <w:rPr>
          <w:i/>
          <w:noProof/>
          <w:sz w:val="20"/>
        </w:rPr>
        <w:t>Norādīt periodiskumu un nosacījumus.</w:t>
      </w:r>
    </w:p>
    <w:p>
      <w:pPr>
        <w:pBdr>
          <w:top w:val="single" w:sz="4" w:space="1" w:color="auto"/>
          <w:left w:val="single" w:sz="4" w:space="4" w:color="auto"/>
          <w:bottom w:val="single" w:sz="4" w:space="1" w:color="auto"/>
          <w:right w:val="single" w:sz="4" w:space="4" w:color="auto"/>
        </w:pBdr>
        <w:ind w:left="850"/>
        <w:rPr>
          <w:noProof/>
        </w:rPr>
      </w:pPr>
      <w:r>
        <w:rPr>
          <w:noProof/>
        </w:rPr>
        <w:t>Priekšlikums ir ierobežots un vērsts uz to, lai paredzētu vajadzīgos noteikumus, kas jāievēro, darot pieejamus papildu resursus. Minētie noteikumi nepārsniedz to, kas vajadzīgs, lai darītu pieejamus papildu resursus, un paredz noteikumus, kas piemērojami minēto resursu īstenošanai.</w:t>
      </w:r>
    </w:p>
    <w:p>
      <w:pPr>
        <w:pStyle w:val="ManualHeading2"/>
        <w:rPr>
          <w:noProof/>
          <w:szCs w:val="24"/>
        </w:rPr>
      </w:pPr>
      <w:bookmarkStart w:id="30" w:name="_Toc514941984"/>
      <w:bookmarkStart w:id="31" w:name="_Toc39837057"/>
      <w:bookmarkStart w:id="32" w:name="_Toc39839404"/>
      <w:r>
        <w:t>2.2.</w:t>
      </w:r>
      <w:r>
        <w:tab/>
      </w:r>
      <w:r>
        <w:rPr>
          <w:noProof/>
        </w:rPr>
        <w:t>Pārvaldības un kontroles sistēma(-s)</w:t>
      </w:r>
      <w:bookmarkEnd w:id="30"/>
      <w:bookmarkEnd w:id="31"/>
      <w:bookmarkEnd w:id="32"/>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 xml:space="preserve">Priekšlikums ir ierobežots un vērsts uz to, lai paredzētu vajadzīgos noteikumus, kas jāievēro, darot pieejamus papildu resursus. Minētie noteikumi nepārsniedz to, kas vajadzīgs, lai darītu pieejamus papildu resursus, un paredz noteikumus, kas piemērojami minēto resursu īstenošanai. </w:t>
      </w:r>
    </w:p>
    <w:p>
      <w:pPr>
        <w:pStyle w:val="ManualHeading2"/>
        <w:rPr>
          <w:noProof/>
          <w:szCs w:val="24"/>
        </w:rPr>
      </w:pPr>
      <w:bookmarkStart w:id="33" w:name="_Toc514941988"/>
      <w:bookmarkStart w:id="34" w:name="_Toc39837061"/>
      <w:bookmarkStart w:id="35" w:name="_Toc39839408"/>
      <w:r>
        <w:t>2.3.</w:t>
      </w:r>
      <w:r>
        <w:tab/>
      </w:r>
      <w:r>
        <w:rPr>
          <w:noProof/>
        </w:rPr>
        <w:t>Krāpšanas un pārkāpumu novēršanas pasākumi</w:t>
      </w:r>
      <w:bookmarkEnd w:id="33"/>
      <w:bookmarkEnd w:id="34"/>
      <w:bookmarkEnd w:id="35"/>
      <w:r>
        <w:rPr>
          <w:noProof/>
        </w:rPr>
        <w:t xml:space="preserve"> </w:t>
      </w:r>
    </w:p>
    <w:p>
      <w:pPr>
        <w:ind w:left="850"/>
        <w:rPr>
          <w:i/>
          <w:noProof/>
          <w:sz w:val="20"/>
        </w:rPr>
      </w:pPr>
      <w:r>
        <w:rPr>
          <w:i/>
          <w:noProof/>
          <w:sz w:val="20"/>
        </w:rPr>
        <w:t>Norādīt esošos vai plānotos novēršanas pasākumus un citus pretpasākumus, piemēram, krāpšanas apkarošanas stratēģijā iekļautos pasākumus.</w:t>
      </w:r>
    </w:p>
    <w:p>
      <w:pPr>
        <w:pBdr>
          <w:top w:val="single" w:sz="4" w:space="1" w:color="auto"/>
          <w:left w:val="single" w:sz="4" w:space="4" w:color="auto"/>
          <w:bottom w:val="single" w:sz="4" w:space="1" w:color="auto"/>
          <w:right w:val="single" w:sz="4" w:space="4" w:color="auto"/>
        </w:pBdr>
        <w:ind w:left="850"/>
        <w:rPr>
          <w:noProof/>
        </w:rPr>
      </w:pPr>
      <w:r>
        <w:rPr>
          <w:noProof/>
        </w:rPr>
        <w:t>Priekšlikums ir ierobežots un vērsts uz to, lai paredzētu vajadzīgos noteikumus, kas jāievēro, darot pieejamus papildu resursus. Minētie noteikumi nepārsniedz to, kas vajadzīgs, lai darītu pieejamus papildu resursus, un paredz noteikumus, kas piemērojami minēto resursu īstenošanai.</w:t>
      </w:r>
    </w:p>
    <w:p>
      <w:pPr>
        <w:pStyle w:val="ManualHeading1"/>
        <w:rPr>
          <w:noProof/>
          <w:szCs w:val="24"/>
        </w:rPr>
      </w:pPr>
      <w:bookmarkStart w:id="36" w:name="_Toc514941989"/>
      <w:bookmarkStart w:id="37" w:name="_Toc39839409"/>
      <w:r>
        <w:t>3.</w:t>
      </w:r>
      <w:r>
        <w:tab/>
      </w:r>
      <w:r>
        <w:rPr>
          <w:noProof/>
        </w:rPr>
        <w:t>PRIEKŠLIKUMA/ INICIATĪVAS APLĒSTĀ FINANSIĀLĀ IETEKME</w:t>
      </w:r>
      <w:bookmarkEnd w:id="36"/>
      <w:bookmarkEnd w:id="37"/>
      <w:r>
        <w:rPr>
          <w:noProof/>
        </w:rPr>
        <w:t xml:space="preserve"> </w:t>
      </w:r>
    </w:p>
    <w:p>
      <w:pPr>
        <w:pStyle w:val="ManualHeading2"/>
        <w:rPr>
          <w:noProof/>
        </w:rPr>
      </w:pPr>
      <w:bookmarkStart w:id="38" w:name="_Toc514941990"/>
      <w:bookmarkStart w:id="39" w:name="_Toc39839410"/>
      <w:r>
        <w:t>3.1.</w:t>
      </w:r>
      <w:r>
        <w:tab/>
      </w:r>
      <w:r>
        <w:rPr>
          <w:noProof/>
        </w:rPr>
        <w:t>Daudzgadu finanšu shēmas izdevumu kategorija un jaunas ierosinātās budžeta izdevumu pozīcijas</w:t>
      </w:r>
      <w:bookmarkEnd w:id="38"/>
      <w:bookmarkEnd w:id="39"/>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Daudzgadu finanšu shēmas izdevumu kategorija</w:t>
            </w:r>
          </w:p>
        </w:tc>
        <w:tc>
          <w:tcPr>
            <w:tcW w:w="396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sz w:val="18"/>
              </w:rPr>
              <w:t>Izdevumu</w:t>
            </w:r>
            <w:r>
              <w:rPr>
                <w:noProof/>
              </w:rPr>
              <w:t xml:space="preserve"> </w:t>
            </w:r>
            <w:r>
              <w:rPr>
                <w:noProof/>
                <w:sz w:val="18"/>
              </w:rPr>
              <w:t>veids</w:t>
            </w:r>
          </w:p>
        </w:tc>
        <w:tc>
          <w:tcPr>
            <w:tcW w:w="4440"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jc w:val="center"/>
              <w:rPr>
                <w:noProof/>
              </w:rPr>
            </w:pPr>
          </w:p>
        </w:tc>
        <w:tc>
          <w:tcPr>
            <w:tcW w:w="3960" w:type="dxa"/>
            <w:vAlign w:val="center"/>
          </w:tcPr>
          <w:p>
            <w:pPr>
              <w:rPr>
                <w:noProof/>
              </w:rPr>
            </w:pPr>
          </w:p>
        </w:tc>
        <w:tc>
          <w:tcPr>
            <w:tcW w:w="1080" w:type="dxa"/>
            <w:vAlign w:val="center"/>
          </w:tcPr>
          <w:p>
            <w:pPr>
              <w:jc w:val="center"/>
              <w:rPr>
                <w:noProof/>
              </w:rPr>
            </w:pPr>
            <w:r>
              <w:rPr>
                <w:noProof/>
                <w:sz w:val="18"/>
              </w:rPr>
              <w:t>Dif./nedif.</w:t>
            </w:r>
            <w:r>
              <w:rPr>
                <w:rStyle w:val="FootnoteReference"/>
                <w:noProof/>
                <w:sz w:val="18"/>
              </w:rPr>
              <w:footnoteReference w:id="9"/>
            </w:r>
            <w:r>
              <w:rPr>
                <w:noProof/>
              </w:rPr>
              <w:t xml:space="preserve"> </w:t>
            </w:r>
          </w:p>
        </w:tc>
        <w:tc>
          <w:tcPr>
            <w:tcW w:w="1044" w:type="dxa"/>
            <w:vAlign w:val="center"/>
          </w:tcPr>
          <w:p>
            <w:pPr>
              <w:jc w:val="center"/>
              <w:rPr>
                <w:noProof/>
              </w:rPr>
            </w:pPr>
            <w:r>
              <w:rPr>
                <w:noProof/>
                <w:sz w:val="18"/>
              </w:rPr>
              <w:t>no EBTA valstīm</w:t>
            </w:r>
            <w:r>
              <w:rPr>
                <w:rStyle w:val="FootnoteReference"/>
                <w:noProof/>
                <w:sz w:val="18"/>
              </w:rPr>
              <w:footnoteReference w:id="10"/>
            </w:r>
          </w:p>
          <w:p>
            <w:pPr>
              <w:spacing w:before="0" w:after="0"/>
              <w:jc w:val="center"/>
              <w:rPr>
                <w:b/>
                <w:noProof/>
                <w:sz w:val="18"/>
              </w:rPr>
            </w:pPr>
          </w:p>
        </w:tc>
        <w:tc>
          <w:tcPr>
            <w:tcW w:w="1134" w:type="dxa"/>
            <w:vAlign w:val="center"/>
          </w:tcPr>
          <w:p>
            <w:pPr>
              <w:jc w:val="center"/>
              <w:rPr>
                <w:noProof/>
              </w:rPr>
            </w:pPr>
            <w:r>
              <w:rPr>
                <w:noProof/>
                <w:sz w:val="18"/>
              </w:rPr>
              <w:t>no kandidātvalstīm</w:t>
            </w:r>
            <w:r>
              <w:rPr>
                <w:rStyle w:val="FootnoteReference"/>
                <w:noProof/>
                <w:sz w:val="18"/>
              </w:rPr>
              <w:footnoteReference w:id="11"/>
            </w:r>
          </w:p>
          <w:p>
            <w:pPr>
              <w:spacing w:before="0" w:after="0"/>
              <w:jc w:val="center"/>
              <w:rPr>
                <w:noProof/>
                <w:sz w:val="18"/>
              </w:rPr>
            </w:pPr>
          </w:p>
        </w:tc>
        <w:tc>
          <w:tcPr>
            <w:tcW w:w="814" w:type="dxa"/>
            <w:vAlign w:val="center"/>
          </w:tcPr>
          <w:p>
            <w:pPr>
              <w:jc w:val="center"/>
              <w:rPr>
                <w:noProof/>
                <w:sz w:val="18"/>
              </w:rPr>
            </w:pPr>
            <w:r>
              <w:rPr>
                <w:noProof/>
                <w:sz w:val="18"/>
              </w:rPr>
              <w:t>no trešām valstīm</w:t>
            </w:r>
          </w:p>
        </w:tc>
        <w:tc>
          <w:tcPr>
            <w:tcW w:w="1448" w:type="dxa"/>
            <w:vAlign w:val="center"/>
          </w:tcPr>
          <w:p>
            <w:pPr>
              <w:jc w:val="center"/>
              <w:rPr>
                <w:noProof/>
              </w:rPr>
            </w:pPr>
            <w:r>
              <w:rPr>
                <w:noProof/>
                <w:sz w:val="16"/>
              </w:rPr>
              <w:t xml:space="preserve">Finanšu regulas [21. panta 2. punkta b) apakšpunkta] nozīmē </w:t>
            </w:r>
          </w:p>
        </w:tc>
      </w:tr>
      <w:tr>
        <w:tc>
          <w:tcPr>
            <w:tcW w:w="1080" w:type="dxa"/>
            <w:vAlign w:val="center"/>
          </w:tcPr>
          <w:p>
            <w:pPr>
              <w:jc w:val="center"/>
              <w:rPr>
                <w:noProof/>
              </w:rPr>
            </w:pPr>
            <w:r>
              <w:rPr>
                <w:noProof/>
              </w:rPr>
              <w:t>3</w:t>
            </w:r>
          </w:p>
        </w:tc>
        <w:tc>
          <w:tcPr>
            <w:tcW w:w="3960" w:type="dxa"/>
            <w:vAlign w:val="center"/>
          </w:tcPr>
          <w:p>
            <w:pPr>
              <w:spacing w:after="60"/>
              <w:rPr>
                <w:noProof/>
              </w:rPr>
            </w:pPr>
            <w:r>
              <w:rPr>
                <w:noProof/>
                <w:sz w:val="22"/>
              </w:rPr>
              <w:t>09 01 02 Atbalsta izdevumi Taisnīgas pārkārtošanās fondam (TPF)</w:t>
            </w:r>
          </w:p>
        </w:tc>
        <w:tc>
          <w:tcPr>
            <w:tcW w:w="1080" w:type="dxa"/>
            <w:vAlign w:val="center"/>
          </w:tcPr>
          <w:p>
            <w:pPr>
              <w:jc w:val="center"/>
              <w:rPr>
                <w:noProof/>
                <w:color w:val="0000FF"/>
              </w:rPr>
            </w:pPr>
            <w:r>
              <w:rPr>
                <w:noProof/>
                <w:sz w:val="22"/>
              </w:rPr>
              <w:t>Nedif.</w:t>
            </w:r>
          </w:p>
        </w:tc>
        <w:tc>
          <w:tcPr>
            <w:tcW w:w="1044" w:type="dxa"/>
            <w:vAlign w:val="center"/>
          </w:tcPr>
          <w:p>
            <w:pPr>
              <w:jc w:val="center"/>
              <w:rPr>
                <w:noProof/>
              </w:rPr>
            </w:pPr>
            <w:r>
              <w:rPr>
                <w:noProof/>
                <w:sz w:val="22"/>
              </w:rPr>
              <w:t>NĒ</w:t>
            </w:r>
          </w:p>
        </w:tc>
        <w:tc>
          <w:tcPr>
            <w:tcW w:w="1134" w:type="dxa"/>
            <w:vAlign w:val="center"/>
          </w:tcPr>
          <w:p>
            <w:pPr>
              <w:jc w:val="center"/>
              <w:rPr>
                <w:noProof/>
              </w:rPr>
            </w:pPr>
            <w:r>
              <w:rPr>
                <w:noProof/>
                <w:sz w:val="22"/>
              </w:rPr>
              <w:t>NĒ</w:t>
            </w:r>
          </w:p>
        </w:tc>
        <w:tc>
          <w:tcPr>
            <w:tcW w:w="814" w:type="dxa"/>
            <w:vAlign w:val="center"/>
          </w:tcPr>
          <w:p>
            <w:pPr>
              <w:jc w:val="center"/>
              <w:rPr>
                <w:noProof/>
              </w:rPr>
            </w:pPr>
            <w:r>
              <w:rPr>
                <w:noProof/>
                <w:sz w:val="22"/>
              </w:rPr>
              <w:t>NĒ</w:t>
            </w:r>
          </w:p>
        </w:tc>
        <w:tc>
          <w:tcPr>
            <w:tcW w:w="1448" w:type="dxa"/>
            <w:vAlign w:val="center"/>
          </w:tcPr>
          <w:p>
            <w:pPr>
              <w:jc w:val="center"/>
              <w:rPr>
                <w:noProof/>
              </w:rPr>
            </w:pPr>
            <w:r>
              <w:rPr>
                <w:noProof/>
                <w:sz w:val="22"/>
              </w:rPr>
              <w:t>NĒ</w:t>
            </w:r>
          </w:p>
        </w:tc>
      </w:tr>
      <w:tr>
        <w:tc>
          <w:tcPr>
            <w:tcW w:w="1080" w:type="dxa"/>
            <w:vAlign w:val="center"/>
          </w:tcPr>
          <w:p>
            <w:pPr>
              <w:jc w:val="center"/>
              <w:rPr>
                <w:noProof/>
              </w:rPr>
            </w:pPr>
            <w:r>
              <w:rPr>
                <w:noProof/>
              </w:rPr>
              <w:t>3</w:t>
            </w:r>
          </w:p>
        </w:tc>
        <w:tc>
          <w:tcPr>
            <w:tcW w:w="3960" w:type="dxa"/>
            <w:vAlign w:val="center"/>
          </w:tcPr>
          <w:p>
            <w:pPr>
              <w:spacing w:before="60"/>
              <w:rPr>
                <w:noProof/>
                <w:sz w:val="22"/>
              </w:rPr>
            </w:pPr>
            <w:r>
              <w:rPr>
                <w:noProof/>
                <w:sz w:val="22"/>
              </w:rPr>
              <w:t>09 03 02 Taisnīgas pārkārtošanās fonds (TPF) – Operatīvā tehniskā palīdzība</w:t>
            </w: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NĒ</w:t>
            </w:r>
          </w:p>
        </w:tc>
        <w:tc>
          <w:tcPr>
            <w:tcW w:w="1134" w:type="dxa"/>
            <w:vAlign w:val="center"/>
          </w:tcPr>
          <w:p>
            <w:pPr>
              <w:jc w:val="center"/>
              <w:rPr>
                <w:noProof/>
                <w:sz w:val="22"/>
              </w:rPr>
            </w:pPr>
            <w:r>
              <w:rPr>
                <w:noProof/>
                <w:sz w:val="22"/>
              </w:rPr>
              <w:t>NĒ</w:t>
            </w:r>
          </w:p>
        </w:tc>
        <w:tc>
          <w:tcPr>
            <w:tcW w:w="814" w:type="dxa"/>
            <w:vAlign w:val="center"/>
          </w:tcPr>
          <w:p>
            <w:pPr>
              <w:jc w:val="center"/>
              <w:rPr>
                <w:noProof/>
                <w:sz w:val="22"/>
              </w:rPr>
            </w:pPr>
            <w:r>
              <w:rPr>
                <w:noProof/>
                <w:sz w:val="22"/>
              </w:rPr>
              <w:t>NĒ</w:t>
            </w:r>
          </w:p>
        </w:tc>
        <w:tc>
          <w:tcPr>
            <w:tcW w:w="1448" w:type="dxa"/>
            <w:vAlign w:val="center"/>
          </w:tcPr>
          <w:p>
            <w:pPr>
              <w:jc w:val="center"/>
              <w:rPr>
                <w:noProof/>
                <w:sz w:val="22"/>
              </w:rPr>
            </w:pPr>
            <w:r>
              <w:rPr>
                <w:noProof/>
                <w:sz w:val="22"/>
              </w:rPr>
              <w:t>NĒ</w:t>
            </w:r>
          </w:p>
        </w:tc>
      </w:tr>
      <w:tr>
        <w:tc>
          <w:tcPr>
            <w:tcW w:w="1080" w:type="dxa"/>
            <w:vAlign w:val="center"/>
          </w:tcPr>
          <w:p>
            <w:pPr>
              <w:jc w:val="center"/>
              <w:rPr>
                <w:noProof/>
              </w:rPr>
            </w:pPr>
            <w:r>
              <w:rPr>
                <w:noProof/>
              </w:rPr>
              <w:t>3</w:t>
            </w:r>
          </w:p>
        </w:tc>
        <w:tc>
          <w:tcPr>
            <w:tcW w:w="3960" w:type="dxa"/>
            <w:vAlign w:val="center"/>
          </w:tcPr>
          <w:p>
            <w:pPr>
              <w:spacing w:before="60"/>
              <w:rPr>
                <w:noProof/>
              </w:rPr>
            </w:pPr>
            <w:r>
              <w:rPr>
                <w:noProof/>
              </w:rPr>
              <w:t>09 03 03 – TPF, ko finansē no ENI</w:t>
            </w:r>
          </w:p>
          <w:p>
            <w:pPr>
              <w:spacing w:before="60"/>
              <w:rPr>
                <w:noProof/>
                <w:sz w:val="22"/>
              </w:rPr>
            </w:pPr>
          </w:p>
        </w:tc>
        <w:tc>
          <w:tcPr>
            <w:tcW w:w="1080" w:type="dxa"/>
            <w:vAlign w:val="center"/>
          </w:tcPr>
          <w:p>
            <w:pPr>
              <w:jc w:val="center"/>
              <w:rPr>
                <w:noProof/>
                <w:sz w:val="22"/>
              </w:rPr>
            </w:pPr>
            <w:r>
              <w:rPr>
                <w:noProof/>
                <w:sz w:val="22"/>
              </w:rPr>
              <w:t>Dif.</w:t>
            </w:r>
          </w:p>
        </w:tc>
        <w:tc>
          <w:tcPr>
            <w:tcW w:w="1044" w:type="dxa"/>
            <w:vAlign w:val="center"/>
          </w:tcPr>
          <w:p>
            <w:pPr>
              <w:jc w:val="center"/>
              <w:rPr>
                <w:noProof/>
                <w:sz w:val="22"/>
              </w:rPr>
            </w:pPr>
            <w:r>
              <w:rPr>
                <w:noProof/>
                <w:sz w:val="22"/>
              </w:rPr>
              <w:t>NĒ</w:t>
            </w:r>
          </w:p>
        </w:tc>
        <w:tc>
          <w:tcPr>
            <w:tcW w:w="1134" w:type="dxa"/>
            <w:vAlign w:val="center"/>
          </w:tcPr>
          <w:p>
            <w:pPr>
              <w:jc w:val="center"/>
              <w:rPr>
                <w:noProof/>
                <w:sz w:val="22"/>
              </w:rPr>
            </w:pPr>
            <w:r>
              <w:rPr>
                <w:noProof/>
                <w:sz w:val="22"/>
              </w:rPr>
              <w:t>NĒ</w:t>
            </w:r>
          </w:p>
        </w:tc>
        <w:tc>
          <w:tcPr>
            <w:tcW w:w="814" w:type="dxa"/>
            <w:vAlign w:val="center"/>
          </w:tcPr>
          <w:p>
            <w:pPr>
              <w:jc w:val="center"/>
              <w:rPr>
                <w:noProof/>
                <w:sz w:val="22"/>
              </w:rPr>
            </w:pPr>
            <w:r>
              <w:rPr>
                <w:noProof/>
                <w:sz w:val="22"/>
              </w:rPr>
              <w:t>NĒ</w:t>
            </w:r>
          </w:p>
        </w:tc>
        <w:tc>
          <w:tcPr>
            <w:tcW w:w="1448" w:type="dxa"/>
            <w:vAlign w:val="center"/>
          </w:tcPr>
          <w:p>
            <w:pPr>
              <w:jc w:val="center"/>
              <w:rPr>
                <w:noProof/>
                <w:sz w:val="22"/>
              </w:rPr>
            </w:pPr>
            <w:r>
              <w:rPr>
                <w:noProof/>
                <w:sz w:val="22"/>
              </w:rPr>
              <w:t>NĒ</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bookmarkStart w:id="40" w:name="_Toc514941991"/>
      <w:bookmarkStart w:id="41" w:name="_Toc39839411"/>
      <w:r>
        <w:t>3.2.</w:t>
      </w:r>
      <w:r>
        <w:tab/>
      </w:r>
      <w:r>
        <w:rPr>
          <w:noProof/>
        </w:rPr>
        <w:t>Aplēstā ietekme uz izdevumiem</w:t>
      </w:r>
      <w:bookmarkEnd w:id="40"/>
      <w:bookmarkEnd w:id="41"/>
      <w:r>
        <w:rPr>
          <w:noProof/>
        </w:rPr>
        <w:t xml:space="preserve"> </w:t>
      </w:r>
    </w:p>
    <w:p>
      <w:pPr>
        <w:pStyle w:val="ManualHeading3"/>
        <w:rPr>
          <w:noProof/>
          <w:u w:val="single"/>
        </w:rPr>
      </w:pPr>
      <w:bookmarkStart w:id="42" w:name="_Toc514941992"/>
      <w:bookmarkStart w:id="43" w:name="_Toc39839412"/>
      <w:r>
        <w:t>3.2.1.</w:t>
      </w:r>
      <w:r>
        <w:tab/>
      </w:r>
      <w:r>
        <w:rPr>
          <w:noProof/>
        </w:rPr>
        <w:t>Kopsavilkums par aplēsto ietekmi uz izdevumiem</w:t>
      </w:r>
      <w:bookmarkEnd w:id="42"/>
      <w:bookmarkEnd w:id="43"/>
      <w:r>
        <w:rPr>
          <w:noProof/>
        </w:rPr>
        <w:t xml:space="preserve"> </w:t>
      </w:r>
    </w:p>
    <w:p>
      <w:pPr>
        <w:jc w:val="right"/>
        <w:rPr>
          <w:noProof/>
          <w:sz w:val="20"/>
        </w:rPr>
      </w:pPr>
      <w:r>
        <w:rPr>
          <w:noProof/>
          <w:sz w:val="20"/>
        </w:rPr>
        <w:t>miljonos EUR (trīs zīmes aiz komata)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Daudzgadu finanšu shēmas</w:t>
            </w:r>
            <w:r>
              <w:rPr>
                <w:noProof/>
              </w:rPr>
              <w:t xml:space="preserve"> </w:t>
            </w:r>
            <w:r>
              <w:rPr>
                <w:b/>
                <w:noProof/>
                <w:sz w:val="22"/>
              </w:rPr>
              <w:t xml:space="preserve">izdevumu kategorija </w:t>
            </w:r>
          </w:p>
        </w:tc>
        <w:tc>
          <w:tcPr>
            <w:tcW w:w="1080" w:type="dxa"/>
            <w:vAlign w:val="center"/>
          </w:tcPr>
          <w:p>
            <w:pPr>
              <w:spacing w:before="60" w:after="60"/>
              <w:jc w:val="center"/>
              <w:rPr>
                <w:noProof/>
              </w:rPr>
            </w:pPr>
            <w:r>
              <w:rPr>
                <w:b/>
                <w:noProof/>
                <w:sz w:val="22"/>
              </w:rPr>
              <w:t>3</w:t>
            </w:r>
          </w:p>
        </w:tc>
        <w:tc>
          <w:tcPr>
            <w:tcW w:w="7817" w:type="dxa"/>
            <w:vAlign w:val="center"/>
          </w:tcPr>
          <w:p>
            <w:pPr>
              <w:spacing w:before="60" w:after="60"/>
              <w:jc w:val="left"/>
              <w:rPr>
                <w:noProof/>
              </w:rPr>
            </w:pPr>
          </w:p>
        </w:tc>
      </w:tr>
    </w:tbl>
    <w:p>
      <w:pPr>
        <w:rPr>
          <w:i/>
          <w:iCs/>
          <w:noProof/>
        </w:rPr>
      </w:pPr>
      <w:r>
        <w:rPr>
          <w:i/>
          <w:iCs/>
          <w:noProof/>
        </w:rPr>
        <w:t>Priekšlikums radīs papildu saistības 2021.–2027. gadā, kā arī maksājumus 2021.–2027. gadā un pēc 2027. gada.</w:t>
      </w:r>
    </w:p>
    <w:p>
      <w:pPr>
        <w:rPr>
          <w:i/>
          <w:iCs/>
          <w:noProof/>
        </w:rPr>
      </w:pPr>
      <w:r>
        <w:rPr>
          <w:i/>
          <w:iCs/>
          <w:noProof/>
        </w:rPr>
        <w:t xml:space="preserve">No šiem papildu resursiem 2 810 048 000 EUR pašreizējās cenās būtu jānāk no budžeta apropriācijām, nākamās DFS satvarā palielinot programmas līmeni līdz 11 270 459 000 EUR pašreizējās cenās; šie resursi būtu jāpiešķir Eiropadomes līmenī notiekošo sarunu gaitā. </w:t>
      </w:r>
    </w:p>
    <w:p>
      <w:pPr>
        <w:rPr>
          <w:i/>
          <w:iCs/>
          <w:noProof/>
        </w:rPr>
      </w:pPr>
      <w:r>
        <w:rPr>
          <w:i/>
          <w:iCs/>
          <w:noProof/>
        </w:rPr>
        <w:t>Atlikušie papildu resursi attieksies uz 2021.–2024. gada laikposmu un veidos ārējos piešķirtos ieņēmumus, kas izriet no Eiropas Atveseļošanas instrumenta, pamatojoties uz ārējiem piešķirtajiem ieņēmumiem.</w:t>
      </w:r>
      <w:r>
        <w:rPr>
          <w:noProof/>
        </w:rPr>
        <w:t xml:space="preserve"> </w:t>
      </w:r>
      <w:r>
        <w:rPr>
          <w:i/>
          <w:iCs/>
          <w:noProof/>
        </w:rPr>
        <w:t>Summas, kas pieejamas kā ārējie piešķirtie ieņēmumi, Finanšu regulas 21. panta 5. punkta nozīmē izriet no Savienības aizņēmuma operācijām, kā noteikts Regulā (ES) XXX/XX (ENI regula). Līdz 15 600 000 EUR no ārējiem piešķirtajiem ieņēmumiem var atvēlēt administratīviem izdevumiem, tostarp ārštata personāla izmaksām.</w:t>
      </w:r>
    </w:p>
    <w:p>
      <w:pPr>
        <w:rPr>
          <w:i/>
          <w:iCs/>
          <w:noProof/>
        </w:rPr>
      </w:pPr>
      <w:r>
        <w:rPr>
          <w:i/>
          <w:iCs/>
          <w:noProof/>
        </w:rPr>
        <w:t>2021.–2027. gada DFS satvarā finansēto apropriāciju indikatīvais sadalījums ir šāds:</w:t>
      </w:r>
    </w:p>
    <w:tbl>
      <w:tblPr>
        <w:tblW w:w="14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28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289" w:type="dxa"/>
          </w:tcPr>
          <w:p>
            <w:pPr>
              <w:jc w:val="center"/>
              <w:rPr>
                <w:b/>
                <w:noProof/>
                <w:sz w:val="20"/>
              </w:rPr>
            </w:pPr>
            <w:r>
              <w:rPr>
                <w:b/>
                <w:noProof/>
                <w:sz w:val="20"/>
              </w:rPr>
              <w:t>Pēc 2027. gada</w:t>
            </w:r>
          </w:p>
        </w:tc>
        <w:tc>
          <w:tcPr>
            <w:tcW w:w="1289" w:type="dxa"/>
            <w:vAlign w:val="center"/>
          </w:tcPr>
          <w:p>
            <w:pPr>
              <w:jc w:val="center"/>
              <w:rPr>
                <w:b/>
                <w:noProof/>
                <w:sz w:val="20"/>
                <w:szCs w:val="20"/>
              </w:rPr>
            </w:pPr>
            <w:r>
              <w:rPr>
                <w:b/>
                <w:noProof/>
                <w:sz w:val="20"/>
                <w:szCs w:val="20"/>
              </w:rPr>
              <w:t>KOPĀ</w:t>
            </w:r>
          </w:p>
        </w:tc>
      </w:tr>
      <w:tr>
        <w:trPr>
          <w:trHeight w:val="433"/>
          <w:jc w:val="center"/>
        </w:trPr>
        <w:tc>
          <w:tcPr>
            <w:tcW w:w="4103" w:type="dxa"/>
            <w:vMerge w:val="restart"/>
            <w:vAlign w:val="center"/>
          </w:tcPr>
          <w:p>
            <w:pPr>
              <w:rPr>
                <w:noProof/>
              </w:rPr>
            </w:pPr>
            <w:r>
              <w:rPr>
                <w:noProof/>
                <w:sz w:val="20"/>
              </w:rPr>
              <w:t xml:space="preserve">Darbības apropriācijas </w:t>
            </w:r>
          </w:p>
        </w:tc>
        <w:tc>
          <w:tcPr>
            <w:tcW w:w="1440" w:type="dxa"/>
            <w:vAlign w:val="center"/>
          </w:tcPr>
          <w:p>
            <w:pPr>
              <w:spacing w:before="20" w:after="20"/>
              <w:jc w:val="left"/>
              <w:rPr>
                <w:noProof/>
                <w:sz w:val="18"/>
              </w:rPr>
            </w:pPr>
            <w:r>
              <w:rPr>
                <w:noProof/>
                <w:sz w:val="18"/>
              </w:rPr>
              <w:t>Saistības</w:t>
            </w:r>
          </w:p>
        </w:tc>
        <w:tc>
          <w:tcPr>
            <w:tcW w:w="654" w:type="dxa"/>
            <w:vAlign w:val="center"/>
          </w:tcPr>
          <w:p>
            <w:pPr>
              <w:spacing w:before="20" w:after="20"/>
              <w:jc w:val="center"/>
              <w:rPr>
                <w:noProof/>
                <w:sz w:val="14"/>
              </w:rPr>
            </w:pPr>
            <w:r>
              <w:rPr>
                <w:noProof/>
                <w:sz w:val="14"/>
              </w:rPr>
              <w:t>(1)</w:t>
            </w:r>
          </w:p>
        </w:tc>
        <w:tc>
          <w:tcPr>
            <w:tcW w:w="868" w:type="dxa"/>
          </w:tcPr>
          <w:p>
            <w:pPr>
              <w:jc w:val="center"/>
              <w:rPr>
                <w:noProof/>
                <w:sz w:val="16"/>
                <w:szCs w:val="16"/>
              </w:rPr>
            </w:pPr>
            <w:r>
              <w:rPr>
                <w:noProof/>
                <w:sz w:val="16"/>
                <w:szCs w:val="16"/>
              </w:rPr>
              <w:t>416,600</w:t>
            </w:r>
          </w:p>
        </w:tc>
        <w:tc>
          <w:tcPr>
            <w:tcW w:w="868" w:type="dxa"/>
          </w:tcPr>
          <w:p>
            <w:pPr>
              <w:jc w:val="center"/>
              <w:rPr>
                <w:noProof/>
                <w:sz w:val="16"/>
                <w:szCs w:val="16"/>
              </w:rPr>
            </w:pPr>
            <w:r>
              <w:rPr>
                <w:noProof/>
                <w:sz w:val="16"/>
                <w:szCs w:val="16"/>
              </w:rPr>
              <w:t>413,025</w:t>
            </w:r>
          </w:p>
        </w:tc>
        <w:tc>
          <w:tcPr>
            <w:tcW w:w="868" w:type="dxa"/>
          </w:tcPr>
          <w:p>
            <w:pPr>
              <w:jc w:val="center"/>
              <w:rPr>
                <w:noProof/>
                <w:sz w:val="16"/>
                <w:szCs w:val="16"/>
              </w:rPr>
            </w:pPr>
            <w:r>
              <w:rPr>
                <w:noProof/>
                <w:sz w:val="16"/>
                <w:szCs w:val="16"/>
              </w:rPr>
              <w:t>408,037</w:t>
            </w:r>
          </w:p>
        </w:tc>
        <w:tc>
          <w:tcPr>
            <w:tcW w:w="868" w:type="dxa"/>
          </w:tcPr>
          <w:p>
            <w:pPr>
              <w:jc w:val="center"/>
              <w:rPr>
                <w:noProof/>
                <w:sz w:val="16"/>
                <w:szCs w:val="16"/>
              </w:rPr>
            </w:pPr>
            <w:r>
              <w:rPr>
                <w:noProof/>
                <w:sz w:val="16"/>
                <w:szCs w:val="16"/>
              </w:rPr>
              <w:t>402,684</w:t>
            </w:r>
          </w:p>
        </w:tc>
        <w:tc>
          <w:tcPr>
            <w:tcW w:w="868" w:type="dxa"/>
          </w:tcPr>
          <w:p>
            <w:pPr>
              <w:jc w:val="center"/>
              <w:rPr>
                <w:noProof/>
                <w:sz w:val="16"/>
                <w:szCs w:val="16"/>
              </w:rPr>
            </w:pPr>
            <w:r>
              <w:rPr>
                <w:noProof/>
                <w:sz w:val="16"/>
                <w:szCs w:val="16"/>
              </w:rPr>
              <w:t>396,953</w:t>
            </w:r>
          </w:p>
        </w:tc>
        <w:tc>
          <w:tcPr>
            <w:tcW w:w="868" w:type="dxa"/>
          </w:tcPr>
          <w:p>
            <w:pPr>
              <w:jc w:val="center"/>
              <w:rPr>
                <w:noProof/>
                <w:sz w:val="16"/>
                <w:szCs w:val="16"/>
              </w:rPr>
            </w:pPr>
            <w:r>
              <w:rPr>
                <w:noProof/>
                <w:sz w:val="16"/>
                <w:szCs w:val="16"/>
              </w:rPr>
              <w:t>390,832</w:t>
            </w:r>
          </w:p>
        </w:tc>
        <w:tc>
          <w:tcPr>
            <w:tcW w:w="868" w:type="dxa"/>
          </w:tcPr>
          <w:p>
            <w:pPr>
              <w:jc w:val="center"/>
              <w:rPr>
                <w:noProof/>
                <w:sz w:val="16"/>
                <w:szCs w:val="16"/>
              </w:rPr>
            </w:pPr>
            <w:r>
              <w:rPr>
                <w:noProof/>
                <w:sz w:val="16"/>
                <w:szCs w:val="16"/>
              </w:rPr>
              <w:t>381,917</w:t>
            </w:r>
          </w:p>
        </w:tc>
        <w:tc>
          <w:tcPr>
            <w:tcW w:w="1289" w:type="dxa"/>
          </w:tcPr>
          <w:p>
            <w:pPr>
              <w:jc w:val="center"/>
              <w:rPr>
                <w:noProof/>
              </w:rPr>
            </w:pPr>
          </w:p>
        </w:tc>
        <w:tc>
          <w:tcPr>
            <w:tcW w:w="1289" w:type="dxa"/>
          </w:tcPr>
          <w:p>
            <w:pPr>
              <w:jc w:val="center"/>
              <w:rPr>
                <w:b/>
                <w:noProof/>
                <w:sz w:val="20"/>
                <w:szCs w:val="20"/>
              </w:rPr>
            </w:pPr>
            <w:r>
              <w:rPr>
                <w:b/>
                <w:noProof/>
                <w:sz w:val="20"/>
                <w:szCs w:val="20"/>
              </w:rPr>
              <w:t>2 810,048</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Maksājumi</w:t>
            </w:r>
          </w:p>
        </w:tc>
        <w:tc>
          <w:tcPr>
            <w:tcW w:w="654" w:type="dxa"/>
            <w:vAlign w:val="center"/>
          </w:tcPr>
          <w:p>
            <w:pPr>
              <w:spacing w:before="20" w:after="20"/>
              <w:jc w:val="center"/>
              <w:rPr>
                <w:noProof/>
                <w:sz w:val="14"/>
              </w:rPr>
            </w:pPr>
            <w:r>
              <w:rPr>
                <w:noProof/>
                <w:sz w:val="14"/>
              </w:rPr>
              <w:t>(2)</w:t>
            </w:r>
          </w:p>
        </w:tc>
        <w:tc>
          <w:tcPr>
            <w:tcW w:w="868" w:type="dxa"/>
          </w:tcPr>
          <w:p>
            <w:pPr>
              <w:jc w:val="center"/>
              <w:rPr>
                <w:noProof/>
                <w:sz w:val="16"/>
                <w:szCs w:val="16"/>
              </w:rPr>
            </w:pPr>
          </w:p>
        </w:tc>
        <w:tc>
          <w:tcPr>
            <w:tcW w:w="868" w:type="dxa"/>
          </w:tcPr>
          <w:p>
            <w:pPr>
              <w:jc w:val="center"/>
              <w:rPr>
                <w:noProof/>
                <w:sz w:val="16"/>
                <w:szCs w:val="16"/>
              </w:rPr>
            </w:pPr>
            <w:r>
              <w:rPr>
                <w:noProof/>
                <w:sz w:val="16"/>
                <w:szCs w:val="16"/>
              </w:rPr>
              <w:t>60,055</w:t>
            </w:r>
          </w:p>
        </w:tc>
        <w:tc>
          <w:tcPr>
            <w:tcW w:w="868" w:type="dxa"/>
          </w:tcPr>
          <w:p>
            <w:pPr>
              <w:jc w:val="center"/>
              <w:rPr>
                <w:noProof/>
                <w:sz w:val="16"/>
                <w:szCs w:val="16"/>
              </w:rPr>
            </w:pPr>
            <w:r>
              <w:rPr>
                <w:noProof/>
                <w:sz w:val="16"/>
                <w:szCs w:val="16"/>
              </w:rPr>
              <w:t>343,229</w:t>
            </w:r>
          </w:p>
        </w:tc>
        <w:tc>
          <w:tcPr>
            <w:tcW w:w="868" w:type="dxa"/>
          </w:tcPr>
          <w:p>
            <w:pPr>
              <w:jc w:val="center"/>
              <w:rPr>
                <w:noProof/>
                <w:sz w:val="16"/>
                <w:szCs w:val="16"/>
              </w:rPr>
            </w:pPr>
            <w:r>
              <w:rPr>
                <w:noProof/>
                <w:sz w:val="16"/>
                <w:szCs w:val="16"/>
              </w:rPr>
              <w:t>444,024</w:t>
            </w:r>
          </w:p>
        </w:tc>
        <w:tc>
          <w:tcPr>
            <w:tcW w:w="868" w:type="dxa"/>
          </w:tcPr>
          <w:p>
            <w:pPr>
              <w:jc w:val="center"/>
              <w:rPr>
                <w:noProof/>
                <w:sz w:val="16"/>
                <w:szCs w:val="16"/>
              </w:rPr>
            </w:pPr>
            <w:r>
              <w:rPr>
                <w:noProof/>
                <w:sz w:val="16"/>
                <w:szCs w:val="16"/>
              </w:rPr>
              <w:t>343,665</w:t>
            </w:r>
          </w:p>
        </w:tc>
        <w:tc>
          <w:tcPr>
            <w:tcW w:w="868" w:type="dxa"/>
          </w:tcPr>
          <w:p>
            <w:pPr>
              <w:jc w:val="center"/>
              <w:rPr>
                <w:noProof/>
                <w:sz w:val="16"/>
                <w:szCs w:val="16"/>
              </w:rPr>
            </w:pPr>
            <w:r>
              <w:rPr>
                <w:noProof/>
                <w:sz w:val="16"/>
                <w:szCs w:val="16"/>
              </w:rPr>
              <w:t>409,011</w:t>
            </w:r>
          </w:p>
        </w:tc>
        <w:tc>
          <w:tcPr>
            <w:tcW w:w="868" w:type="dxa"/>
          </w:tcPr>
          <w:p>
            <w:pPr>
              <w:jc w:val="center"/>
              <w:rPr>
                <w:noProof/>
                <w:sz w:val="16"/>
                <w:szCs w:val="16"/>
              </w:rPr>
            </w:pPr>
            <w:r>
              <w:rPr>
                <w:noProof/>
                <w:sz w:val="16"/>
                <w:szCs w:val="16"/>
              </w:rPr>
              <w:t>461,055</w:t>
            </w:r>
          </w:p>
        </w:tc>
        <w:tc>
          <w:tcPr>
            <w:tcW w:w="1289" w:type="dxa"/>
          </w:tcPr>
          <w:p>
            <w:pPr>
              <w:jc w:val="center"/>
              <w:rPr>
                <w:noProof/>
                <w:sz w:val="20"/>
              </w:rPr>
            </w:pPr>
            <w:r>
              <w:rPr>
                <w:noProof/>
                <w:sz w:val="20"/>
              </w:rPr>
              <w:t>749,008</w:t>
            </w:r>
          </w:p>
        </w:tc>
        <w:tc>
          <w:tcPr>
            <w:tcW w:w="1289" w:type="dxa"/>
          </w:tcPr>
          <w:p>
            <w:pPr>
              <w:jc w:val="center"/>
              <w:rPr>
                <w:b/>
                <w:noProof/>
                <w:sz w:val="20"/>
                <w:szCs w:val="20"/>
              </w:rPr>
            </w:pPr>
            <w:r>
              <w:rPr>
                <w:b/>
                <w:noProof/>
                <w:sz w:val="20"/>
                <w:szCs w:val="20"/>
              </w:rPr>
              <w:t>2 810,048</w:t>
            </w:r>
          </w:p>
        </w:tc>
      </w:tr>
      <w:tr>
        <w:trPr>
          <w:jc w:val="center"/>
        </w:trPr>
        <w:tc>
          <w:tcPr>
            <w:tcW w:w="4103" w:type="dxa"/>
            <w:vMerge w:val="restart"/>
            <w:vAlign w:val="center"/>
          </w:tcPr>
          <w:p>
            <w:pPr>
              <w:jc w:val="left"/>
              <w:rPr>
                <w:b/>
                <w:noProof/>
              </w:rPr>
            </w:pPr>
            <w:r>
              <w:rPr>
                <w:b/>
                <w:noProof/>
                <w:sz w:val="22"/>
              </w:rPr>
              <w:t xml:space="preserve">Apropriācijas KOPĀ </w:t>
            </w:r>
          </w:p>
        </w:tc>
        <w:tc>
          <w:tcPr>
            <w:tcW w:w="1440" w:type="dxa"/>
            <w:vAlign w:val="center"/>
          </w:tcPr>
          <w:p>
            <w:pPr>
              <w:jc w:val="left"/>
              <w:rPr>
                <w:noProof/>
                <w:sz w:val="18"/>
              </w:rPr>
            </w:pPr>
            <w:r>
              <w:rPr>
                <w:noProof/>
                <w:sz w:val="18"/>
              </w:rPr>
              <w:t>Saistības</w:t>
            </w:r>
          </w:p>
        </w:tc>
        <w:tc>
          <w:tcPr>
            <w:tcW w:w="654" w:type="dxa"/>
            <w:vAlign w:val="center"/>
          </w:tcPr>
          <w:p>
            <w:pPr>
              <w:jc w:val="center"/>
              <w:rPr>
                <w:noProof/>
                <w:sz w:val="14"/>
              </w:rPr>
            </w:pPr>
            <w:r>
              <w:rPr>
                <w:noProof/>
                <w:sz w:val="14"/>
              </w:rPr>
              <w:t>=1+3</w:t>
            </w:r>
          </w:p>
        </w:tc>
        <w:tc>
          <w:tcPr>
            <w:tcW w:w="868" w:type="dxa"/>
          </w:tcPr>
          <w:p>
            <w:pPr>
              <w:jc w:val="center"/>
              <w:rPr>
                <w:noProof/>
                <w:sz w:val="16"/>
                <w:szCs w:val="16"/>
              </w:rPr>
            </w:pPr>
            <w:r>
              <w:rPr>
                <w:noProof/>
                <w:sz w:val="16"/>
                <w:szCs w:val="16"/>
              </w:rPr>
              <w:t>416,600</w:t>
            </w:r>
          </w:p>
        </w:tc>
        <w:tc>
          <w:tcPr>
            <w:tcW w:w="868" w:type="dxa"/>
          </w:tcPr>
          <w:p>
            <w:pPr>
              <w:jc w:val="center"/>
              <w:rPr>
                <w:noProof/>
                <w:sz w:val="16"/>
                <w:szCs w:val="16"/>
              </w:rPr>
            </w:pPr>
            <w:r>
              <w:rPr>
                <w:noProof/>
                <w:sz w:val="16"/>
                <w:szCs w:val="16"/>
              </w:rPr>
              <w:t>413,025</w:t>
            </w:r>
          </w:p>
        </w:tc>
        <w:tc>
          <w:tcPr>
            <w:tcW w:w="868" w:type="dxa"/>
          </w:tcPr>
          <w:p>
            <w:pPr>
              <w:jc w:val="center"/>
              <w:rPr>
                <w:noProof/>
                <w:sz w:val="16"/>
                <w:szCs w:val="16"/>
              </w:rPr>
            </w:pPr>
            <w:r>
              <w:rPr>
                <w:noProof/>
                <w:sz w:val="16"/>
                <w:szCs w:val="16"/>
              </w:rPr>
              <w:t>408,037</w:t>
            </w:r>
          </w:p>
        </w:tc>
        <w:tc>
          <w:tcPr>
            <w:tcW w:w="868" w:type="dxa"/>
          </w:tcPr>
          <w:p>
            <w:pPr>
              <w:jc w:val="center"/>
              <w:rPr>
                <w:noProof/>
                <w:sz w:val="16"/>
                <w:szCs w:val="16"/>
              </w:rPr>
            </w:pPr>
            <w:r>
              <w:rPr>
                <w:noProof/>
                <w:sz w:val="16"/>
                <w:szCs w:val="16"/>
              </w:rPr>
              <w:t>402,684</w:t>
            </w:r>
          </w:p>
        </w:tc>
        <w:tc>
          <w:tcPr>
            <w:tcW w:w="868" w:type="dxa"/>
          </w:tcPr>
          <w:p>
            <w:pPr>
              <w:jc w:val="center"/>
              <w:rPr>
                <w:noProof/>
                <w:sz w:val="16"/>
                <w:szCs w:val="16"/>
              </w:rPr>
            </w:pPr>
            <w:r>
              <w:rPr>
                <w:noProof/>
                <w:sz w:val="16"/>
                <w:szCs w:val="16"/>
              </w:rPr>
              <w:t>396,953</w:t>
            </w:r>
          </w:p>
        </w:tc>
        <w:tc>
          <w:tcPr>
            <w:tcW w:w="868" w:type="dxa"/>
          </w:tcPr>
          <w:p>
            <w:pPr>
              <w:jc w:val="center"/>
              <w:rPr>
                <w:noProof/>
                <w:sz w:val="16"/>
                <w:szCs w:val="16"/>
              </w:rPr>
            </w:pPr>
            <w:r>
              <w:rPr>
                <w:noProof/>
                <w:sz w:val="16"/>
                <w:szCs w:val="16"/>
              </w:rPr>
              <w:t>390,832</w:t>
            </w:r>
          </w:p>
        </w:tc>
        <w:tc>
          <w:tcPr>
            <w:tcW w:w="868" w:type="dxa"/>
          </w:tcPr>
          <w:p>
            <w:pPr>
              <w:jc w:val="center"/>
              <w:rPr>
                <w:noProof/>
                <w:sz w:val="16"/>
                <w:szCs w:val="16"/>
              </w:rPr>
            </w:pPr>
            <w:r>
              <w:rPr>
                <w:noProof/>
                <w:sz w:val="16"/>
                <w:szCs w:val="16"/>
              </w:rPr>
              <w:t>381,917</w:t>
            </w:r>
          </w:p>
        </w:tc>
        <w:tc>
          <w:tcPr>
            <w:tcW w:w="1289" w:type="dxa"/>
          </w:tcPr>
          <w:p>
            <w:pPr>
              <w:jc w:val="center"/>
              <w:rPr>
                <w:noProof/>
              </w:rPr>
            </w:pPr>
          </w:p>
        </w:tc>
        <w:tc>
          <w:tcPr>
            <w:tcW w:w="1289" w:type="dxa"/>
          </w:tcPr>
          <w:p>
            <w:pPr>
              <w:jc w:val="center"/>
              <w:rPr>
                <w:noProof/>
                <w:sz w:val="20"/>
                <w:szCs w:val="20"/>
              </w:rPr>
            </w:pPr>
            <w:r>
              <w:rPr>
                <w:b/>
                <w:noProof/>
                <w:sz w:val="20"/>
                <w:szCs w:val="20"/>
              </w:rPr>
              <w:t>2 810,048</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Maksājumi</w:t>
            </w:r>
          </w:p>
        </w:tc>
        <w:tc>
          <w:tcPr>
            <w:tcW w:w="654" w:type="dxa"/>
            <w:vAlign w:val="center"/>
          </w:tcPr>
          <w:p>
            <w:pPr>
              <w:jc w:val="center"/>
              <w:rPr>
                <w:noProof/>
                <w:sz w:val="14"/>
              </w:rPr>
            </w:pPr>
            <w:r>
              <w:rPr>
                <w:noProof/>
                <w:sz w:val="14"/>
              </w:rPr>
              <w:t>=2+3</w:t>
            </w:r>
          </w:p>
        </w:tc>
        <w:tc>
          <w:tcPr>
            <w:tcW w:w="868" w:type="dxa"/>
          </w:tcPr>
          <w:p>
            <w:pPr>
              <w:jc w:val="center"/>
              <w:rPr>
                <w:noProof/>
                <w:sz w:val="16"/>
                <w:szCs w:val="16"/>
              </w:rPr>
            </w:pPr>
          </w:p>
        </w:tc>
        <w:tc>
          <w:tcPr>
            <w:tcW w:w="868" w:type="dxa"/>
          </w:tcPr>
          <w:p>
            <w:pPr>
              <w:jc w:val="center"/>
              <w:rPr>
                <w:noProof/>
                <w:sz w:val="16"/>
                <w:szCs w:val="16"/>
              </w:rPr>
            </w:pPr>
            <w:r>
              <w:rPr>
                <w:noProof/>
                <w:sz w:val="16"/>
                <w:szCs w:val="16"/>
              </w:rPr>
              <w:t>60,055</w:t>
            </w:r>
          </w:p>
        </w:tc>
        <w:tc>
          <w:tcPr>
            <w:tcW w:w="868" w:type="dxa"/>
          </w:tcPr>
          <w:p>
            <w:pPr>
              <w:jc w:val="center"/>
              <w:rPr>
                <w:noProof/>
                <w:sz w:val="16"/>
                <w:szCs w:val="16"/>
              </w:rPr>
            </w:pPr>
            <w:r>
              <w:rPr>
                <w:noProof/>
                <w:sz w:val="16"/>
                <w:szCs w:val="16"/>
              </w:rPr>
              <w:t>343,229</w:t>
            </w:r>
          </w:p>
        </w:tc>
        <w:tc>
          <w:tcPr>
            <w:tcW w:w="868" w:type="dxa"/>
          </w:tcPr>
          <w:p>
            <w:pPr>
              <w:jc w:val="center"/>
              <w:rPr>
                <w:noProof/>
                <w:sz w:val="16"/>
                <w:szCs w:val="16"/>
              </w:rPr>
            </w:pPr>
            <w:r>
              <w:rPr>
                <w:noProof/>
                <w:sz w:val="16"/>
                <w:szCs w:val="16"/>
              </w:rPr>
              <w:t>444,024</w:t>
            </w:r>
          </w:p>
        </w:tc>
        <w:tc>
          <w:tcPr>
            <w:tcW w:w="868" w:type="dxa"/>
          </w:tcPr>
          <w:p>
            <w:pPr>
              <w:jc w:val="center"/>
              <w:rPr>
                <w:noProof/>
                <w:sz w:val="16"/>
                <w:szCs w:val="16"/>
              </w:rPr>
            </w:pPr>
            <w:r>
              <w:rPr>
                <w:noProof/>
                <w:sz w:val="16"/>
                <w:szCs w:val="16"/>
              </w:rPr>
              <w:t>343,665</w:t>
            </w:r>
          </w:p>
        </w:tc>
        <w:tc>
          <w:tcPr>
            <w:tcW w:w="868" w:type="dxa"/>
          </w:tcPr>
          <w:p>
            <w:pPr>
              <w:jc w:val="center"/>
              <w:rPr>
                <w:noProof/>
                <w:sz w:val="16"/>
                <w:szCs w:val="16"/>
              </w:rPr>
            </w:pPr>
            <w:r>
              <w:rPr>
                <w:noProof/>
                <w:sz w:val="16"/>
                <w:szCs w:val="16"/>
              </w:rPr>
              <w:t>409,011</w:t>
            </w:r>
          </w:p>
        </w:tc>
        <w:tc>
          <w:tcPr>
            <w:tcW w:w="868" w:type="dxa"/>
          </w:tcPr>
          <w:p>
            <w:pPr>
              <w:jc w:val="center"/>
              <w:rPr>
                <w:noProof/>
                <w:sz w:val="16"/>
                <w:szCs w:val="16"/>
              </w:rPr>
            </w:pPr>
            <w:r>
              <w:rPr>
                <w:noProof/>
                <w:sz w:val="16"/>
                <w:szCs w:val="16"/>
              </w:rPr>
              <w:t>461,055</w:t>
            </w:r>
          </w:p>
        </w:tc>
        <w:tc>
          <w:tcPr>
            <w:tcW w:w="1289" w:type="dxa"/>
          </w:tcPr>
          <w:p>
            <w:pPr>
              <w:jc w:val="center"/>
              <w:rPr>
                <w:noProof/>
              </w:rPr>
            </w:pPr>
            <w:r>
              <w:rPr>
                <w:noProof/>
                <w:sz w:val="20"/>
              </w:rPr>
              <w:t>749,008</w:t>
            </w:r>
          </w:p>
        </w:tc>
        <w:tc>
          <w:tcPr>
            <w:tcW w:w="1289" w:type="dxa"/>
          </w:tcPr>
          <w:p>
            <w:pPr>
              <w:jc w:val="center"/>
              <w:rPr>
                <w:noProof/>
                <w:sz w:val="20"/>
                <w:szCs w:val="20"/>
              </w:rPr>
            </w:pPr>
            <w:r>
              <w:rPr>
                <w:b/>
                <w:noProof/>
                <w:sz w:val="20"/>
                <w:szCs w:val="20"/>
              </w:rPr>
              <w:t>2 810,048</w:t>
            </w:r>
          </w:p>
        </w:tc>
      </w:tr>
    </w:tbl>
    <w:p>
      <w:pPr>
        <w:rPr>
          <w:i/>
          <w:noProof/>
        </w:rPr>
      </w:pPr>
    </w:p>
    <w:p>
      <w:pPr>
        <w:rPr>
          <w:i/>
          <w:noProof/>
        </w:rPr>
      </w:pPr>
      <w:r>
        <w:rPr>
          <w:i/>
          <w:noProof/>
        </w:rPr>
        <w:t>No ārējiem piešķirtajiem ieņēmumiem finansēto izdevumu indikatīvais sadalījums ir šāds:</w:t>
      </w:r>
    </w:p>
    <w:tbl>
      <w:tblPr>
        <w:tblW w:w="13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440"/>
        <w:gridCol w:w="742"/>
        <w:gridCol w:w="716"/>
        <w:gridCol w:w="716"/>
        <w:gridCol w:w="716"/>
        <w:gridCol w:w="716"/>
        <w:gridCol w:w="716"/>
        <w:gridCol w:w="716"/>
        <w:gridCol w:w="716"/>
        <w:gridCol w:w="1017"/>
      </w:tblGrid>
      <w:tr>
        <w:tc>
          <w:tcPr>
            <w:tcW w:w="4252" w:type="dxa"/>
            <w:vAlign w:val="center"/>
          </w:tcPr>
          <w:p>
            <w:pPr>
              <w:jc w:val="center"/>
              <w:rPr>
                <w:noProof/>
                <w:sz w:val="20"/>
                <w:szCs w:val="20"/>
              </w:rPr>
            </w:pPr>
          </w:p>
        </w:tc>
        <w:tc>
          <w:tcPr>
            <w:tcW w:w="2440" w:type="dxa"/>
          </w:tcPr>
          <w:p>
            <w:pPr>
              <w:jc w:val="center"/>
              <w:rPr>
                <w:noProof/>
                <w:sz w:val="20"/>
                <w:szCs w:val="20"/>
              </w:rPr>
            </w:pPr>
          </w:p>
        </w:tc>
        <w:tc>
          <w:tcPr>
            <w:tcW w:w="742" w:type="dxa"/>
          </w:tcPr>
          <w:p>
            <w:pPr>
              <w:jc w:val="center"/>
              <w:rPr>
                <w:noProof/>
                <w:sz w:val="20"/>
                <w:szCs w:val="20"/>
              </w:rPr>
            </w:pPr>
          </w:p>
        </w:tc>
        <w:tc>
          <w:tcPr>
            <w:tcW w:w="716" w:type="dxa"/>
            <w:vAlign w:val="center"/>
          </w:tcPr>
          <w:p>
            <w:pPr>
              <w:jc w:val="center"/>
              <w:rPr>
                <w:noProof/>
                <w:sz w:val="20"/>
                <w:szCs w:val="20"/>
              </w:rPr>
            </w:pPr>
            <w:r>
              <w:rPr>
                <w:b/>
                <w:noProof/>
                <w:sz w:val="20"/>
                <w:szCs w:val="20"/>
              </w:rPr>
              <w:t>2021</w:t>
            </w:r>
          </w:p>
        </w:tc>
        <w:tc>
          <w:tcPr>
            <w:tcW w:w="716" w:type="dxa"/>
            <w:vAlign w:val="center"/>
          </w:tcPr>
          <w:p>
            <w:pPr>
              <w:jc w:val="center"/>
              <w:rPr>
                <w:noProof/>
                <w:sz w:val="20"/>
                <w:szCs w:val="20"/>
              </w:rPr>
            </w:pPr>
            <w:r>
              <w:rPr>
                <w:b/>
                <w:noProof/>
                <w:sz w:val="20"/>
                <w:szCs w:val="20"/>
              </w:rPr>
              <w:t>2022</w:t>
            </w:r>
          </w:p>
        </w:tc>
        <w:tc>
          <w:tcPr>
            <w:tcW w:w="716" w:type="dxa"/>
            <w:vAlign w:val="center"/>
          </w:tcPr>
          <w:p>
            <w:pPr>
              <w:jc w:val="center"/>
              <w:rPr>
                <w:noProof/>
                <w:sz w:val="20"/>
                <w:szCs w:val="20"/>
              </w:rPr>
            </w:pPr>
            <w:r>
              <w:rPr>
                <w:b/>
                <w:noProof/>
                <w:sz w:val="20"/>
                <w:szCs w:val="20"/>
              </w:rPr>
              <w:t>2023</w:t>
            </w:r>
          </w:p>
        </w:tc>
        <w:tc>
          <w:tcPr>
            <w:tcW w:w="716" w:type="dxa"/>
            <w:vAlign w:val="center"/>
          </w:tcPr>
          <w:p>
            <w:pPr>
              <w:jc w:val="center"/>
              <w:rPr>
                <w:noProof/>
                <w:sz w:val="20"/>
                <w:szCs w:val="20"/>
              </w:rPr>
            </w:pPr>
            <w:r>
              <w:rPr>
                <w:b/>
                <w:noProof/>
                <w:sz w:val="20"/>
                <w:szCs w:val="20"/>
              </w:rPr>
              <w:t>2024</w:t>
            </w:r>
          </w:p>
        </w:tc>
        <w:tc>
          <w:tcPr>
            <w:tcW w:w="716" w:type="dxa"/>
            <w:vAlign w:val="center"/>
          </w:tcPr>
          <w:p>
            <w:pPr>
              <w:jc w:val="center"/>
              <w:rPr>
                <w:b/>
                <w:noProof/>
                <w:sz w:val="20"/>
                <w:szCs w:val="20"/>
              </w:rPr>
            </w:pPr>
            <w:r>
              <w:rPr>
                <w:b/>
                <w:noProof/>
                <w:sz w:val="20"/>
                <w:szCs w:val="20"/>
              </w:rPr>
              <w:t>2025</w:t>
            </w:r>
          </w:p>
        </w:tc>
        <w:tc>
          <w:tcPr>
            <w:tcW w:w="716" w:type="dxa"/>
          </w:tcPr>
          <w:p>
            <w:pPr>
              <w:jc w:val="center"/>
              <w:rPr>
                <w:b/>
                <w:noProof/>
                <w:sz w:val="20"/>
                <w:szCs w:val="20"/>
              </w:rPr>
            </w:pPr>
            <w:r>
              <w:rPr>
                <w:b/>
                <w:noProof/>
                <w:sz w:val="20"/>
                <w:szCs w:val="20"/>
              </w:rPr>
              <w:t>2026</w:t>
            </w:r>
          </w:p>
        </w:tc>
        <w:tc>
          <w:tcPr>
            <w:tcW w:w="716" w:type="dxa"/>
          </w:tcPr>
          <w:p>
            <w:pPr>
              <w:jc w:val="center"/>
              <w:rPr>
                <w:b/>
                <w:noProof/>
                <w:sz w:val="20"/>
                <w:szCs w:val="20"/>
              </w:rPr>
            </w:pPr>
            <w:r>
              <w:rPr>
                <w:b/>
                <w:noProof/>
                <w:sz w:val="20"/>
                <w:szCs w:val="20"/>
              </w:rPr>
              <w:t>2027</w:t>
            </w:r>
          </w:p>
        </w:tc>
        <w:tc>
          <w:tcPr>
            <w:tcW w:w="1017" w:type="dxa"/>
            <w:vAlign w:val="center"/>
          </w:tcPr>
          <w:p>
            <w:pPr>
              <w:jc w:val="center"/>
              <w:rPr>
                <w:b/>
                <w:noProof/>
                <w:sz w:val="20"/>
                <w:szCs w:val="20"/>
              </w:rPr>
            </w:pPr>
            <w:r>
              <w:rPr>
                <w:b/>
                <w:noProof/>
                <w:sz w:val="20"/>
                <w:szCs w:val="20"/>
              </w:rPr>
              <w:t>KOPĀ</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Darbības izdevumi, ko finansē no ENI ārējiem piešķirtajiem ieņēmumiem</w:t>
            </w: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Saistības</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noProof/>
                <w:color w:val="000000"/>
                <w:sz w:val="20"/>
                <w:szCs w:val="20"/>
              </w:rPr>
              <w:t>7 954, 600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noProof/>
                <w:color w:val="000000"/>
                <w:sz w:val="20"/>
                <w:szCs w:val="20"/>
              </w:rPr>
              <w:t>8 114, 600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8 276, 600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8 441, 600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p>
        </w:tc>
        <w:tc>
          <w:tcPr>
            <w:tcW w:w="1017"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32 787, 400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Maksājumi</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7 310, 645</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7 726, 658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7 212, 000</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6 294, 109</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4 243, 988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p>
        </w:tc>
        <w:tc>
          <w:tcPr>
            <w:tcW w:w="1017"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32 787, 400</w:t>
            </w:r>
          </w:p>
        </w:tc>
      </w:tr>
      <w:tr>
        <w:tc>
          <w:tcPr>
            <w:tcW w:w="4252"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Administratīvā atbalsta izdevumi, ko finansē no ENI ārējiem piešķirtajiem ieņēmumiem</w:t>
            </w:r>
          </w:p>
        </w:tc>
        <w:tc>
          <w:tcPr>
            <w:tcW w:w="2440"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Saistības = Maksājumi</w:t>
            </w:r>
          </w:p>
        </w:tc>
        <w:tc>
          <w:tcPr>
            <w:tcW w:w="742" w:type="dxa"/>
            <w:tcBorders>
              <w:top w:val="single" w:sz="4" w:space="0" w:color="auto"/>
              <w:left w:val="single" w:sz="4" w:space="0" w:color="auto"/>
              <w:bottom w:val="single" w:sz="4" w:space="0" w:color="auto"/>
              <w:right w:val="single" w:sz="4" w:space="0" w:color="auto"/>
            </w:tcBorders>
            <w:vAlign w:val="center"/>
          </w:tcPr>
          <w:p>
            <w:pPr>
              <w:jc w:val="center"/>
              <w:rPr>
                <w:noProof/>
                <w:sz w:val="20"/>
                <w:szCs w:val="20"/>
              </w:rPr>
            </w:pPr>
            <w:r>
              <w:rPr>
                <w:noProof/>
                <w:sz w:val="20"/>
                <w:szCs w:val="20"/>
              </w:rPr>
              <w:t>(3)</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2, 400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2, 000</w:t>
            </w:r>
          </w:p>
        </w:tc>
        <w:tc>
          <w:tcPr>
            <w:tcW w:w="1017"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15, 600</w:t>
            </w:r>
          </w:p>
        </w:tc>
      </w:tr>
      <w:tr>
        <w:tc>
          <w:tcPr>
            <w:tcW w:w="4252" w:type="dxa"/>
            <w:vMerge w:val="restart"/>
            <w:tcBorders>
              <w:top w:val="single" w:sz="4" w:space="0" w:color="auto"/>
              <w:left w:val="single" w:sz="4" w:space="0" w:color="auto"/>
              <w:right w:val="single" w:sz="4" w:space="0" w:color="auto"/>
            </w:tcBorders>
            <w:vAlign w:val="center"/>
          </w:tcPr>
          <w:p>
            <w:pPr>
              <w:jc w:val="center"/>
              <w:rPr>
                <w:noProof/>
                <w:sz w:val="20"/>
                <w:szCs w:val="20"/>
              </w:rPr>
            </w:pPr>
            <w:r>
              <w:rPr>
                <w:noProof/>
                <w:sz w:val="20"/>
                <w:szCs w:val="20"/>
              </w:rPr>
              <w:t>Kopējie izdevumi, ko finansē no ENI ārējiem piešķirtajiem ieņēmumiem</w:t>
            </w: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Saistības</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=1+3</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7 957, 000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8 117, 000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8 279, 000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8 444,000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2, 000</w:t>
            </w:r>
          </w:p>
        </w:tc>
        <w:tc>
          <w:tcPr>
            <w:tcW w:w="716"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2, 000</w:t>
            </w:r>
          </w:p>
        </w:tc>
        <w:tc>
          <w:tcPr>
            <w:tcW w:w="1017" w:type="dxa"/>
            <w:tcBorders>
              <w:top w:val="single" w:sz="4" w:space="0" w:color="auto"/>
              <w:left w:val="single" w:sz="4" w:space="0" w:color="auto"/>
              <w:bottom w:val="single" w:sz="4" w:space="0" w:color="auto"/>
              <w:right w:val="single" w:sz="4" w:space="0" w:color="auto"/>
            </w:tcBorders>
          </w:tcPr>
          <w:p>
            <w:pPr>
              <w:jc w:val="center"/>
              <w:rPr>
                <w:b/>
                <w:noProof/>
                <w:sz w:val="20"/>
                <w:szCs w:val="20"/>
              </w:rPr>
            </w:pPr>
            <w:r>
              <w:rPr>
                <w:b/>
                <w:noProof/>
                <w:sz w:val="20"/>
                <w:szCs w:val="20"/>
              </w:rPr>
              <w:t>32 803, 000</w:t>
            </w:r>
          </w:p>
        </w:tc>
      </w:tr>
      <w:tr>
        <w:tc>
          <w:tcPr>
            <w:tcW w:w="4252" w:type="dxa"/>
            <w:vMerge/>
            <w:tcBorders>
              <w:left w:val="single" w:sz="4" w:space="0" w:color="auto"/>
              <w:bottom w:val="single" w:sz="4" w:space="0" w:color="auto"/>
              <w:right w:val="single" w:sz="4" w:space="0" w:color="auto"/>
            </w:tcBorders>
            <w:vAlign w:val="center"/>
          </w:tcPr>
          <w:p>
            <w:pPr>
              <w:jc w:val="center"/>
              <w:rPr>
                <w:noProof/>
                <w:sz w:val="20"/>
                <w:szCs w:val="20"/>
              </w:rPr>
            </w:pPr>
          </w:p>
        </w:tc>
        <w:tc>
          <w:tcPr>
            <w:tcW w:w="2440"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Maksājumi</w:t>
            </w:r>
          </w:p>
        </w:tc>
        <w:tc>
          <w:tcPr>
            <w:tcW w:w="742" w:type="dxa"/>
            <w:tcBorders>
              <w:top w:val="single" w:sz="4" w:space="0" w:color="auto"/>
              <w:left w:val="single" w:sz="4" w:space="0" w:color="auto"/>
              <w:bottom w:val="single" w:sz="4" w:space="0" w:color="auto"/>
              <w:right w:val="single" w:sz="4" w:space="0" w:color="auto"/>
            </w:tcBorders>
          </w:tcPr>
          <w:p>
            <w:pPr>
              <w:jc w:val="center"/>
              <w:rPr>
                <w:noProof/>
                <w:sz w:val="20"/>
                <w:szCs w:val="20"/>
              </w:rPr>
            </w:pPr>
            <w:r>
              <w:rPr>
                <w:noProof/>
                <w:sz w:val="20"/>
                <w:szCs w:val="20"/>
              </w:rPr>
              <w:t>=2+3</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7 313, 045</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7 729, 058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7 214, 400</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6 296, 509</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4 245, 988</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2, 000</w:t>
            </w:r>
          </w:p>
        </w:tc>
        <w:tc>
          <w:tcPr>
            <w:tcW w:w="716"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2, 000</w:t>
            </w:r>
          </w:p>
        </w:tc>
        <w:tc>
          <w:tcPr>
            <w:tcW w:w="1017" w:type="dxa"/>
            <w:tcBorders>
              <w:top w:val="single" w:sz="4" w:space="0" w:color="auto"/>
              <w:left w:val="single" w:sz="4" w:space="0" w:color="auto"/>
              <w:bottom w:val="single" w:sz="4" w:space="0" w:color="auto"/>
              <w:right w:val="single" w:sz="4" w:space="0" w:color="auto"/>
            </w:tcBorders>
          </w:tcPr>
          <w:p>
            <w:pPr>
              <w:spacing w:before="0" w:after="0"/>
              <w:jc w:val="center"/>
              <w:rPr>
                <w:b/>
                <w:noProof/>
                <w:sz w:val="20"/>
                <w:szCs w:val="20"/>
              </w:rPr>
            </w:pPr>
            <w:r>
              <w:rPr>
                <w:b/>
                <w:noProof/>
                <w:sz w:val="20"/>
                <w:szCs w:val="20"/>
              </w:rPr>
              <w:t>32 803, 000</w:t>
            </w:r>
          </w:p>
        </w:tc>
      </w:tr>
    </w:tbl>
    <w:p>
      <w:pPr>
        <w:rPr>
          <w:i/>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Daudzgadu finanšu shēmas</w:t>
            </w:r>
            <w:r>
              <w:rPr>
                <w:noProof/>
              </w:rPr>
              <w:t xml:space="preserve"> </w:t>
            </w:r>
            <w:r>
              <w:rPr>
                <w:b/>
                <w:noProof/>
                <w:sz w:val="22"/>
              </w:rPr>
              <w:t xml:space="preserve">izdevumu kategorija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“Administratīvie izdevumi”</w:t>
            </w:r>
          </w:p>
        </w:tc>
      </w:tr>
    </w:tbl>
    <w:p>
      <w:pPr>
        <w:jc w:val="left"/>
        <w:rPr>
          <w:noProof/>
        </w:rPr>
      </w:pPr>
    </w:p>
    <w:p>
      <w:pPr>
        <w:jc w:val="right"/>
        <w:rPr>
          <w:noProof/>
          <w:sz w:val="20"/>
        </w:rPr>
      </w:pPr>
      <w:r>
        <w:rPr>
          <w:noProof/>
          <w:sz w:val="20"/>
        </w:rPr>
        <w:t>miljonos EUR (trīs zīmes aiz komata)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Pēc 2027. gada</w:t>
            </w:r>
          </w:p>
        </w:tc>
        <w:tc>
          <w:tcPr>
            <w:tcW w:w="1291" w:type="dxa"/>
            <w:vAlign w:val="center"/>
          </w:tcPr>
          <w:p>
            <w:pPr>
              <w:jc w:val="center"/>
              <w:rPr>
                <w:b/>
                <w:noProof/>
                <w:sz w:val="20"/>
              </w:rPr>
            </w:pPr>
            <w:r>
              <w:rPr>
                <w:b/>
                <w:noProof/>
                <w:sz w:val="20"/>
              </w:rPr>
              <w:t>KOPĀ</w:t>
            </w:r>
          </w:p>
        </w:tc>
      </w:tr>
      <w:tr>
        <w:trPr>
          <w:trHeight w:val="313"/>
          <w:jc w:val="center"/>
        </w:trPr>
        <w:tc>
          <w:tcPr>
            <w:tcW w:w="6245" w:type="dxa"/>
            <w:gridSpan w:val="2"/>
            <w:vAlign w:val="center"/>
          </w:tcPr>
          <w:p>
            <w:pPr>
              <w:spacing w:before="20" w:after="20"/>
              <w:rPr>
                <w:noProof/>
              </w:rPr>
            </w:pPr>
            <w:r>
              <w:rPr>
                <w:noProof/>
                <w:sz w:val="22"/>
              </w:rPr>
              <w:t xml:space="preserve">Cilvēkresursi </w:t>
            </w:r>
          </w:p>
        </w:tc>
        <w:tc>
          <w:tcPr>
            <w:tcW w:w="868" w:type="dxa"/>
            <w:vAlign w:val="center"/>
          </w:tcPr>
          <w:p>
            <w:pPr>
              <w:spacing w:before="20" w:after="20"/>
              <w:jc w:val="right"/>
              <w:rPr>
                <w:noProof/>
                <w:sz w:val="20"/>
              </w:rPr>
            </w:pPr>
            <w:r>
              <w:rPr>
                <w:noProof/>
                <w:sz w:val="20"/>
              </w:rPr>
              <w:t>1, 500</w:t>
            </w:r>
          </w:p>
        </w:tc>
        <w:tc>
          <w:tcPr>
            <w:tcW w:w="868" w:type="dxa"/>
            <w:vAlign w:val="center"/>
          </w:tcPr>
          <w:p>
            <w:pPr>
              <w:spacing w:before="20" w:after="20"/>
              <w:jc w:val="right"/>
              <w:rPr>
                <w:noProof/>
                <w:sz w:val="20"/>
              </w:rPr>
            </w:pPr>
            <w:r>
              <w:rPr>
                <w:noProof/>
                <w:sz w:val="20"/>
              </w:rPr>
              <w:t>1, 500</w:t>
            </w:r>
          </w:p>
        </w:tc>
        <w:tc>
          <w:tcPr>
            <w:tcW w:w="868" w:type="dxa"/>
            <w:vAlign w:val="center"/>
          </w:tcPr>
          <w:p>
            <w:pPr>
              <w:spacing w:before="20" w:after="20"/>
              <w:jc w:val="right"/>
              <w:rPr>
                <w:noProof/>
                <w:sz w:val="20"/>
              </w:rPr>
            </w:pPr>
            <w:r>
              <w:rPr>
                <w:noProof/>
                <w:sz w:val="20"/>
              </w:rPr>
              <w:t>1, 500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noProof/>
                <w:sz w:val="20"/>
              </w:rPr>
            </w:pPr>
            <w:r>
              <w:rPr>
                <w:noProof/>
                <w:sz w:val="20"/>
              </w:rPr>
              <w:t>1,500</w:t>
            </w:r>
          </w:p>
        </w:tc>
        <w:tc>
          <w:tcPr>
            <w:tcW w:w="868" w:type="dxa"/>
            <w:vAlign w:val="center"/>
          </w:tcPr>
          <w:p>
            <w:pPr>
              <w:spacing w:before="20" w:after="20"/>
              <w:jc w:val="right"/>
              <w:rPr>
                <w:b/>
                <w:noProof/>
                <w:sz w:val="20"/>
              </w:rPr>
            </w:pPr>
            <w:r>
              <w:rPr>
                <w:b/>
                <w:noProof/>
                <w:sz w:val="20"/>
              </w:rPr>
              <w:t>1,500</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10,500</w:t>
            </w:r>
          </w:p>
        </w:tc>
      </w:tr>
      <w:tr>
        <w:trPr>
          <w:trHeight w:val="351"/>
          <w:jc w:val="center"/>
        </w:trPr>
        <w:tc>
          <w:tcPr>
            <w:tcW w:w="6245" w:type="dxa"/>
            <w:gridSpan w:val="2"/>
            <w:vAlign w:val="center"/>
          </w:tcPr>
          <w:p>
            <w:pPr>
              <w:spacing w:before="20" w:after="20"/>
              <w:rPr>
                <w:noProof/>
              </w:rPr>
            </w:pPr>
            <w:r>
              <w:rPr>
                <w:noProof/>
                <w:sz w:val="22"/>
              </w:rPr>
              <w:t xml:space="preserve">Citi administratīvie izdevumi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KOPĀ daudzgadu finanšu shēmas 7. IZDEVUMU KATEGORIJAS apropriācijas</w:t>
            </w:r>
          </w:p>
        </w:tc>
        <w:tc>
          <w:tcPr>
            <w:tcW w:w="2046" w:type="dxa"/>
            <w:vAlign w:val="center"/>
          </w:tcPr>
          <w:p>
            <w:pPr>
              <w:spacing w:before="20" w:after="20"/>
              <w:rPr>
                <w:noProof/>
                <w:sz w:val="22"/>
              </w:rPr>
            </w:pPr>
            <w:r>
              <w:rPr>
                <w:noProof/>
                <w:sz w:val="18"/>
              </w:rPr>
              <w:t>(Saistību summa = maksājumu summa)</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68" w:type="dxa"/>
            <w:vAlign w:val="center"/>
          </w:tcPr>
          <w:p>
            <w:pPr>
              <w:spacing w:before="20" w:after="20"/>
              <w:jc w:val="right"/>
              <w:rPr>
                <w:b/>
                <w:noProof/>
                <w:sz w:val="20"/>
              </w:rPr>
            </w:pPr>
            <w:r>
              <w:rPr>
                <w:b/>
                <w:noProof/>
                <w:sz w:val="20"/>
              </w:rPr>
              <w:t>1,500</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10,500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bookmarkStart w:id="44" w:name="_Toc514941993"/>
      <w:bookmarkStart w:id="45" w:name="_Toc39839413"/>
      <w:r>
        <w:t>3.2.2.</w:t>
      </w:r>
      <w:r>
        <w:tab/>
      </w:r>
      <w:r>
        <w:rPr>
          <w:noProof/>
        </w:rPr>
        <w:t>Kopsavilkums par aplēsto ietekmi uz administratīvajām apropriācijām</w:t>
      </w:r>
      <w:bookmarkEnd w:id="44"/>
      <w:bookmarkEnd w:id="45"/>
    </w:p>
    <w:p>
      <w:pPr>
        <w:tabs>
          <w:tab w:val="num" w:pos="1134"/>
        </w:tabs>
        <w:ind w:left="1134" w:hanging="283"/>
        <w:rPr>
          <w:rFonts w:eastAsia="Times New Roman"/>
          <w:noProof/>
        </w:rPr>
      </w:pPr>
      <w:r>
        <w:rPr>
          <w:noProof/>
        </w:rPr>
        <w:sym w:font="Wingdings" w:char="F0A8"/>
      </w:r>
      <w:r>
        <w:rPr>
          <w:noProof/>
        </w:rPr>
        <w:tab/>
        <w:t xml:space="preserve">Priekšlikums/iniciatīva neparedz izmantot administratīvās apropriācijas </w:t>
      </w:r>
    </w:p>
    <w:p>
      <w:pPr>
        <w:tabs>
          <w:tab w:val="num" w:pos="1134"/>
        </w:tabs>
        <w:ind w:left="1134" w:hanging="283"/>
        <w:rPr>
          <w:rFonts w:eastAsia="Times New Roman"/>
          <w:noProof/>
        </w:rPr>
      </w:pPr>
      <w:r>
        <w:rPr>
          <w:noProof/>
        </w:rPr>
        <w:t>X</w:t>
      </w:r>
      <w:r>
        <w:rPr>
          <w:noProof/>
        </w:rPr>
        <w:tab/>
        <w:t>Priekšlikums/iniciatīva paredz izmantot administratīvās apropriācijas šādā veidā:</w:t>
      </w:r>
    </w:p>
    <w:p>
      <w:pPr>
        <w:rPr>
          <w:noProof/>
          <w:sz w:val="20"/>
        </w:rPr>
      </w:pPr>
      <w:r>
        <w:rPr>
          <w:noProof/>
          <w:sz w:val="20"/>
        </w:rPr>
        <w:t>miljonos EUR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Gads</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line="200" w:lineRule="exact"/>
              <w:jc w:val="center"/>
              <w:rPr>
                <w:b/>
                <w:noProof/>
                <w:sz w:val="16"/>
                <w:szCs w:val="16"/>
              </w:rPr>
            </w:pPr>
            <w:r>
              <w:rPr>
                <w:b/>
                <w:noProof/>
                <w:sz w:val="18"/>
              </w:rPr>
              <w:t>2024</w:t>
            </w:r>
          </w:p>
        </w:tc>
        <w:tc>
          <w:tcPr>
            <w:tcW w:w="1080" w:type="dxa"/>
            <w:vAlign w:val="center"/>
          </w:tcPr>
          <w:p>
            <w:pPr>
              <w:spacing w:line="200" w:lineRule="exact"/>
              <w:jc w:val="center"/>
              <w:rPr>
                <w:b/>
                <w:noProof/>
                <w:sz w:val="16"/>
                <w:szCs w:val="16"/>
              </w:rPr>
            </w:pPr>
            <w:r>
              <w:rPr>
                <w:b/>
                <w:noProof/>
                <w:sz w:val="18"/>
              </w:rPr>
              <w:t>2025</w:t>
            </w:r>
          </w:p>
        </w:tc>
        <w:tc>
          <w:tcPr>
            <w:tcW w:w="1080" w:type="dxa"/>
          </w:tcPr>
          <w:p>
            <w:pPr>
              <w:spacing w:before="60" w:after="60" w:line="200" w:lineRule="exact"/>
              <w:jc w:val="center"/>
              <w:rPr>
                <w:b/>
                <w:noProof/>
                <w:sz w:val="16"/>
              </w:rPr>
            </w:pPr>
            <w:r>
              <w:rPr>
                <w:b/>
                <w:noProof/>
                <w:sz w:val="16"/>
              </w:rPr>
              <w:t>2026</w:t>
            </w:r>
          </w:p>
        </w:tc>
        <w:tc>
          <w:tcPr>
            <w:tcW w:w="1080" w:type="dxa"/>
          </w:tcPr>
          <w:p>
            <w:pPr>
              <w:spacing w:before="60" w:after="60" w:line="200" w:lineRule="exact"/>
              <w:jc w:val="center"/>
              <w:rPr>
                <w:b/>
                <w:noProof/>
                <w:sz w:val="16"/>
              </w:rPr>
            </w:pPr>
            <w:r>
              <w:rPr>
                <w:b/>
                <w:noProof/>
                <w:sz w:val="16"/>
              </w:rPr>
              <w:t>2027</w:t>
            </w:r>
          </w:p>
        </w:tc>
        <w:tc>
          <w:tcPr>
            <w:tcW w:w="1080" w:type="dxa"/>
            <w:vAlign w:val="center"/>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Daudzgadu finanšu shēmas</w:t>
            </w:r>
            <w:r>
              <w:rPr>
                <w:noProof/>
              </w:rPr>
              <w:t xml:space="preserve"> </w:t>
            </w:r>
            <w:r>
              <w:rPr>
                <w:noProof/>
              </w:rPr>
              <w:br/>
            </w:r>
            <w:r>
              <w:rPr>
                <w:b/>
                <w:noProof/>
                <w:sz w:val="16"/>
              </w:rPr>
              <w:t>7. IZDEVUMU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noProof/>
                <w:sz w:val="16"/>
                <w:szCs w:val="16"/>
              </w:rPr>
            </w:pPr>
            <w:r>
              <w:rPr>
                <w:noProof/>
                <w:sz w:val="16"/>
                <w:szCs w:val="16"/>
              </w:rPr>
              <w:t>1,500</w:t>
            </w:r>
          </w:p>
        </w:tc>
        <w:tc>
          <w:tcPr>
            <w:tcW w:w="1080" w:type="dxa"/>
            <w:vAlign w:val="center"/>
          </w:tcPr>
          <w:p>
            <w:pPr>
              <w:spacing w:before="60" w:after="60" w:line="200" w:lineRule="exact"/>
              <w:jc w:val="right"/>
              <w:rPr>
                <w:b/>
                <w:noProof/>
                <w:sz w:val="16"/>
                <w:szCs w:val="16"/>
              </w:rPr>
            </w:pPr>
            <w:r>
              <w:rPr>
                <w:b/>
                <w:noProof/>
                <w:sz w:val="16"/>
                <w:szCs w:val="16"/>
              </w:rPr>
              <w:t>1,500</w:t>
            </w:r>
          </w:p>
        </w:tc>
        <w:tc>
          <w:tcPr>
            <w:tcW w:w="1080" w:type="dxa"/>
          </w:tcPr>
          <w:p>
            <w:pPr>
              <w:spacing w:before="60" w:after="60" w:line="200" w:lineRule="exact"/>
              <w:jc w:val="right"/>
              <w:rPr>
                <w:b/>
                <w:noProof/>
                <w:sz w:val="16"/>
                <w:szCs w:val="16"/>
              </w:rPr>
            </w:pPr>
            <w:r>
              <w:rPr>
                <w:b/>
                <w:noProof/>
                <w:sz w:val="16"/>
                <w:szCs w:val="16"/>
              </w:rPr>
              <w:t>1,500</w:t>
            </w:r>
          </w:p>
        </w:tc>
        <w:tc>
          <w:tcPr>
            <w:tcW w:w="1080" w:type="dxa"/>
          </w:tcPr>
          <w:p>
            <w:pPr>
              <w:spacing w:before="60" w:after="60" w:line="200" w:lineRule="exact"/>
              <w:jc w:val="right"/>
              <w:rPr>
                <w:b/>
                <w:noProof/>
                <w:sz w:val="16"/>
                <w:szCs w:val="16"/>
              </w:rPr>
            </w:pPr>
            <w:r>
              <w:rPr>
                <w:b/>
                <w:noProof/>
                <w:sz w:val="16"/>
                <w:szCs w:val="16"/>
              </w:rPr>
              <w:t>10,500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Citi administratīvie izdevumi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Starpsumma – daudzgadu finanšu shēmas</w:t>
            </w:r>
            <w:r>
              <w:rPr>
                <w:noProof/>
              </w:rPr>
              <w:t xml:space="preserve"> </w:t>
            </w:r>
            <w:r>
              <w:rPr>
                <w:noProof/>
              </w:rPr>
              <w:br/>
            </w:r>
            <w:r>
              <w:rPr>
                <w:b/>
                <w:noProof/>
                <w:sz w:val="16"/>
              </w:rPr>
              <w:t xml:space="preserve">7. IZDEVUMU KATEGORIJA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Ārpus daudzgadu finanšu shēmas</w:t>
            </w:r>
            <w:r>
              <w:rPr>
                <w:noProof/>
              </w:rPr>
              <w:t xml:space="preserve"> </w:t>
            </w:r>
            <w:r>
              <w:rPr>
                <w:noProof/>
              </w:rPr>
              <w:br/>
            </w:r>
            <w:r>
              <w:rPr>
                <w:b/>
                <w:noProof/>
                <w:sz w:val="16"/>
              </w:rPr>
              <w:t xml:space="preserve">7. IZDEVUMU KATEGORIJAS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tcPr>
          <w:p>
            <w:pPr>
              <w:spacing w:before="60" w:after="60" w:line="200" w:lineRule="exact"/>
              <w:jc w:val="right"/>
              <w:rPr>
                <w:noProof/>
                <w:sz w:val="16"/>
                <w:szCs w:val="16"/>
              </w:rPr>
            </w:pPr>
            <w:r>
              <w:rPr>
                <w:noProof/>
                <w:sz w:val="20"/>
                <w:szCs w:val="20"/>
              </w:rPr>
              <w:t>2,400</w:t>
            </w:r>
          </w:p>
        </w:tc>
        <w:tc>
          <w:tcPr>
            <w:tcW w:w="1080" w:type="dxa"/>
          </w:tcPr>
          <w:p>
            <w:pPr>
              <w:spacing w:before="60" w:after="60" w:line="200" w:lineRule="exact"/>
              <w:jc w:val="right"/>
              <w:rPr>
                <w:noProof/>
                <w:sz w:val="16"/>
                <w:szCs w:val="16"/>
              </w:rPr>
            </w:pPr>
            <w:r>
              <w:rPr>
                <w:noProof/>
                <w:sz w:val="20"/>
                <w:szCs w:val="20"/>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15,600</w:t>
            </w:r>
          </w:p>
        </w:tc>
      </w:tr>
      <w:tr>
        <w:trPr>
          <w:trHeight w:val="585"/>
        </w:trPr>
        <w:tc>
          <w:tcPr>
            <w:tcW w:w="1980" w:type="dxa"/>
            <w:vAlign w:val="center"/>
          </w:tcPr>
          <w:p>
            <w:pPr>
              <w:spacing w:before="60" w:after="60" w:line="200" w:lineRule="exact"/>
              <w:ind w:left="72"/>
              <w:jc w:val="left"/>
              <w:rPr>
                <w:noProof/>
                <w:sz w:val="16"/>
                <w:szCs w:val="16"/>
              </w:rPr>
            </w:pPr>
            <w:r>
              <w:rPr>
                <w:noProof/>
                <w:sz w:val="16"/>
              </w:rPr>
              <w:t>Pārējie administratīvie</w:t>
            </w:r>
            <w:r>
              <w:rPr>
                <w:noProof/>
              </w:rPr>
              <w:t xml:space="preserve"> </w:t>
            </w:r>
            <w:r>
              <w:rPr>
                <w:noProof/>
                <w:sz w:val="16"/>
              </w:rPr>
              <w:t>izdevumi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Starpsumma</w:t>
            </w:r>
            <w:r>
              <w:rPr>
                <w:noProof/>
              </w:rPr>
              <w:t xml:space="preserve"> </w:t>
            </w:r>
            <w:r>
              <w:rPr>
                <w:b/>
                <w:noProof/>
                <w:sz w:val="16"/>
              </w:rPr>
              <w:t>ārpus daudzgadu finanšu shēmas</w:t>
            </w:r>
            <w:r>
              <w:rPr>
                <w:noProof/>
              </w:rPr>
              <w:t xml:space="preserve"> </w:t>
            </w:r>
            <w:r>
              <w:rPr>
                <w:noProof/>
              </w:rPr>
              <w:br/>
            </w:r>
            <w:r>
              <w:rPr>
                <w:b/>
                <w:noProof/>
                <w:sz w:val="16"/>
              </w:rPr>
              <w:t xml:space="preserve">7. IZDEVUMU KATEGORIJAS </w:t>
            </w:r>
          </w:p>
        </w:tc>
        <w:tc>
          <w:tcPr>
            <w:tcW w:w="1080" w:type="dxa"/>
          </w:tcPr>
          <w:p>
            <w:pPr>
              <w:spacing w:before="60" w:after="60" w:line="200" w:lineRule="exact"/>
              <w:jc w:val="right"/>
              <w:rPr>
                <w:noProof/>
                <w:sz w:val="16"/>
                <w:szCs w:val="16"/>
              </w:rPr>
            </w:pPr>
            <w:r>
              <w:rPr>
                <w:noProof/>
                <w:sz w:val="20"/>
                <w:szCs w:val="20"/>
              </w:rPr>
              <w:t>2,400</w:t>
            </w:r>
          </w:p>
        </w:tc>
        <w:tc>
          <w:tcPr>
            <w:tcW w:w="1080" w:type="dxa"/>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2,400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2,000</w:t>
            </w:r>
          </w:p>
        </w:tc>
        <w:tc>
          <w:tcPr>
            <w:tcW w:w="1080" w:type="dxa"/>
          </w:tcPr>
          <w:p>
            <w:pPr>
              <w:spacing w:before="60" w:after="60" w:line="200" w:lineRule="exact"/>
              <w:jc w:val="right"/>
              <w:rPr>
                <w:b/>
                <w:noProof/>
                <w:sz w:val="16"/>
                <w:szCs w:val="16"/>
              </w:rPr>
            </w:pPr>
            <w:r>
              <w:rPr>
                <w:b/>
                <w:noProof/>
                <w:sz w:val="16"/>
                <w:szCs w:val="16"/>
              </w:rPr>
              <w:t>15,600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3,900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3,900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sz w:val="20"/>
                <w:szCs w:val="20"/>
              </w:rPr>
              <w:t>3,900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3,900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3,500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3,500</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b/>
                <w:noProof/>
                <w:sz w:val="16"/>
                <w:szCs w:val="16"/>
              </w:rPr>
              <w:t>26,100</w:t>
            </w:r>
          </w:p>
        </w:tc>
      </w:tr>
    </w:tbl>
    <w:p>
      <w:pPr>
        <w:rPr>
          <w:noProof/>
          <w:sz w:val="18"/>
        </w:r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spacing w:before="0" w:after="200" w:line="276" w:lineRule="auto"/>
        <w:jc w:val="left"/>
        <w:rPr>
          <w:noProof/>
          <w:sz w:val="18"/>
        </w:rPr>
      </w:pPr>
      <w:r>
        <w:rPr>
          <w:noProof/>
        </w:rPr>
        <w:br w:type="page"/>
      </w:r>
    </w:p>
    <w:p>
      <w:pPr>
        <w:pStyle w:val="ManualHeading4"/>
        <w:rPr>
          <w:noProof/>
          <w:szCs w:val="24"/>
        </w:rPr>
      </w:pPr>
      <w:r>
        <w:t>3.2.2.1.</w:t>
      </w:r>
      <w:r>
        <w:tab/>
      </w:r>
      <w:r>
        <w:rPr>
          <w:noProof/>
        </w:rPr>
        <w:t>Aplēstās cilvēkresursu vajadzības</w:t>
      </w:r>
    </w:p>
    <w:p>
      <w:pPr>
        <w:tabs>
          <w:tab w:val="num" w:pos="1134"/>
        </w:tabs>
        <w:ind w:left="1134" w:hanging="283"/>
        <w:rPr>
          <w:rFonts w:eastAsia="Times New Roman"/>
          <w:noProof/>
        </w:rPr>
      </w:pPr>
      <w:r>
        <w:rPr>
          <w:noProof/>
        </w:rPr>
        <w:sym w:font="Wingdings" w:char="F0A8"/>
      </w:r>
      <w:r>
        <w:rPr>
          <w:noProof/>
        </w:rPr>
        <w:tab/>
        <w:t xml:space="preserve">Priekšlikums/iniciatīva neparedz cilvēkresursu izmantošanu. </w:t>
      </w:r>
    </w:p>
    <w:p>
      <w:pPr>
        <w:tabs>
          <w:tab w:val="num" w:pos="1134"/>
        </w:tabs>
        <w:ind w:left="1134" w:hanging="283"/>
        <w:rPr>
          <w:rFonts w:eastAsia="Times New Roman"/>
          <w:noProof/>
        </w:rPr>
      </w:pPr>
      <w:r>
        <w:rPr>
          <w:noProof/>
        </w:rPr>
        <w:t>X</w:t>
      </w:r>
      <w:r>
        <w:rPr>
          <w:noProof/>
        </w:rPr>
        <w:tab/>
        <w:t>Priekšlikums/iniciatīva paredz cilvēkresursu izmantošanu šādā veidā:</w:t>
      </w:r>
    </w:p>
    <w:p>
      <w:pPr>
        <w:spacing w:after="60"/>
        <w:jc w:val="right"/>
        <w:rPr>
          <w:i/>
          <w:noProof/>
          <w:sz w:val="20"/>
        </w:rPr>
      </w:pPr>
      <w:r>
        <w:rPr>
          <w:i/>
          <w:noProof/>
          <w:sz w:val="20"/>
        </w:rPr>
        <w:t>Aplēse izsakāma ar pilnslodzes ekvivalentu</w:t>
      </w:r>
    </w:p>
    <w:tbl>
      <w:tblPr>
        <w:tblW w:w="5324"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38"/>
        <w:gridCol w:w="1442"/>
        <w:gridCol w:w="1044"/>
        <w:gridCol w:w="912"/>
        <w:gridCol w:w="1044"/>
        <w:gridCol w:w="1042"/>
        <w:gridCol w:w="914"/>
        <w:gridCol w:w="1028"/>
        <w:gridCol w:w="1025"/>
      </w:tblGrid>
      <w:tr>
        <w:trPr>
          <w:trHeight w:val="289"/>
        </w:trPr>
        <w:tc>
          <w:tcPr>
            <w:tcW w:w="1456" w:type="pct"/>
            <w:gridSpan w:val="2"/>
            <w:vAlign w:val="center"/>
          </w:tcPr>
          <w:p>
            <w:pPr>
              <w:spacing w:before="40" w:after="40"/>
              <w:jc w:val="center"/>
              <w:rPr>
                <w:i/>
                <w:noProof/>
                <w:sz w:val="16"/>
                <w:szCs w:val="16"/>
              </w:rPr>
            </w:pPr>
            <w:r>
              <w:rPr>
                <w:b/>
                <w:noProof/>
                <w:sz w:val="16"/>
                <w:szCs w:val="16"/>
              </w:rPr>
              <w:t>Gads</w:t>
            </w:r>
          </w:p>
        </w:tc>
        <w:tc>
          <w:tcPr>
            <w:tcW w:w="528" w:type="pct"/>
            <w:shd w:val="clear" w:color="auto" w:fill="auto"/>
            <w:vAlign w:val="center"/>
          </w:tcPr>
          <w:p>
            <w:pPr>
              <w:spacing w:before="20" w:after="20"/>
              <w:jc w:val="center"/>
              <w:rPr>
                <w:b/>
                <w:noProof/>
                <w:sz w:val="20"/>
              </w:rPr>
            </w:pPr>
            <w:r>
              <w:rPr>
                <w:b/>
                <w:noProof/>
                <w:sz w:val="20"/>
              </w:rPr>
              <w:t>2021</w:t>
            </w:r>
          </w:p>
        </w:tc>
        <w:tc>
          <w:tcPr>
            <w:tcW w:w="461" w:type="pct"/>
            <w:shd w:val="clear" w:color="auto" w:fill="auto"/>
            <w:vAlign w:val="center"/>
          </w:tcPr>
          <w:p>
            <w:pPr>
              <w:spacing w:before="20" w:after="20"/>
              <w:jc w:val="center"/>
              <w:rPr>
                <w:b/>
                <w:noProof/>
                <w:sz w:val="20"/>
              </w:rPr>
            </w:pPr>
            <w:r>
              <w:rPr>
                <w:b/>
                <w:noProof/>
                <w:sz w:val="20"/>
              </w:rPr>
              <w:t>2022</w:t>
            </w:r>
          </w:p>
        </w:tc>
        <w:tc>
          <w:tcPr>
            <w:tcW w:w="528" w:type="pct"/>
            <w:shd w:val="clear" w:color="auto" w:fill="auto"/>
            <w:vAlign w:val="center"/>
          </w:tcPr>
          <w:p>
            <w:pPr>
              <w:spacing w:before="20" w:after="20"/>
              <w:jc w:val="center"/>
              <w:rPr>
                <w:b/>
                <w:noProof/>
                <w:sz w:val="20"/>
              </w:rPr>
            </w:pPr>
            <w:r>
              <w:rPr>
                <w:b/>
                <w:noProof/>
                <w:sz w:val="20"/>
              </w:rPr>
              <w:t>2023</w:t>
            </w:r>
          </w:p>
        </w:tc>
        <w:tc>
          <w:tcPr>
            <w:tcW w:w="527" w:type="pct"/>
            <w:shd w:val="clear" w:color="auto" w:fill="auto"/>
            <w:vAlign w:val="center"/>
          </w:tcPr>
          <w:p>
            <w:pPr>
              <w:jc w:val="center"/>
              <w:rPr>
                <w:b/>
                <w:noProof/>
                <w:sz w:val="20"/>
              </w:rPr>
            </w:pPr>
            <w:r>
              <w:rPr>
                <w:b/>
                <w:noProof/>
                <w:sz w:val="20"/>
              </w:rPr>
              <w:t>2024</w:t>
            </w:r>
          </w:p>
        </w:tc>
        <w:tc>
          <w:tcPr>
            <w:tcW w:w="462" w:type="pct"/>
            <w:shd w:val="clear" w:color="auto" w:fill="auto"/>
            <w:vAlign w:val="center"/>
          </w:tcPr>
          <w:p>
            <w:pPr>
              <w:jc w:val="center"/>
              <w:rPr>
                <w:b/>
                <w:noProof/>
                <w:sz w:val="20"/>
              </w:rPr>
            </w:pPr>
            <w:r>
              <w:rPr>
                <w:b/>
                <w:noProof/>
                <w:sz w:val="20"/>
              </w:rPr>
              <w:t>2025</w:t>
            </w:r>
          </w:p>
        </w:tc>
        <w:tc>
          <w:tcPr>
            <w:tcW w:w="520" w:type="pct"/>
            <w:shd w:val="clear" w:color="auto" w:fill="auto"/>
            <w:vAlign w:val="center"/>
          </w:tcPr>
          <w:p>
            <w:pPr>
              <w:jc w:val="center"/>
              <w:rPr>
                <w:b/>
                <w:noProof/>
                <w:sz w:val="20"/>
              </w:rPr>
            </w:pPr>
            <w:r>
              <w:rPr>
                <w:b/>
                <w:noProof/>
                <w:sz w:val="20"/>
              </w:rPr>
              <w:t>2026</w:t>
            </w:r>
          </w:p>
        </w:tc>
        <w:tc>
          <w:tcPr>
            <w:tcW w:w="518" w:type="pct"/>
          </w:tcPr>
          <w:p>
            <w:pPr>
              <w:jc w:val="center"/>
              <w:rPr>
                <w:b/>
                <w:noProof/>
                <w:sz w:val="20"/>
              </w:rPr>
            </w:pPr>
            <w:r>
              <w:rPr>
                <w:b/>
                <w:noProof/>
                <w:sz w:val="20"/>
              </w:rPr>
              <w:t>2027</w:t>
            </w:r>
          </w:p>
        </w:tc>
      </w:tr>
      <w:tr>
        <w:trPr>
          <w:trHeight w:val="289"/>
        </w:trPr>
        <w:tc>
          <w:tcPr>
            <w:tcW w:w="1456" w:type="pct"/>
            <w:gridSpan w:val="2"/>
          </w:tcPr>
          <w:p>
            <w:pPr>
              <w:spacing w:beforeLines="20" w:before="48" w:afterLines="20" w:after="48"/>
              <w:ind w:left="134"/>
              <w:jc w:val="left"/>
              <w:rPr>
                <w:b/>
                <w:noProof/>
                <w:sz w:val="16"/>
                <w:szCs w:val="16"/>
              </w:rPr>
            </w:pPr>
            <w:r>
              <w:rPr>
                <w:noProof/>
                <w:sz w:val="16"/>
              </w:rPr>
              <w:t>Galvenā mītne un Komisijas pārstāvniecības</w:t>
            </w:r>
          </w:p>
        </w:tc>
        <w:tc>
          <w:tcPr>
            <w:tcW w:w="528" w:type="pct"/>
            <w:shd w:val="clear" w:color="auto" w:fill="auto"/>
            <w:vAlign w:val="center"/>
          </w:tcPr>
          <w:p>
            <w:pPr>
              <w:spacing w:beforeLines="20" w:before="48" w:afterLines="20" w:after="48"/>
              <w:jc w:val="center"/>
              <w:rPr>
                <w:noProof/>
                <w:sz w:val="16"/>
                <w:szCs w:val="16"/>
              </w:rPr>
            </w:pPr>
            <w:r>
              <w:rPr>
                <w:noProof/>
                <w:sz w:val="16"/>
                <w:szCs w:val="16"/>
              </w:rPr>
              <w:t>10</w:t>
            </w:r>
          </w:p>
        </w:tc>
        <w:tc>
          <w:tcPr>
            <w:tcW w:w="461"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28"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10</w:t>
            </w:r>
          </w:p>
        </w:tc>
        <w:tc>
          <w:tcPr>
            <w:tcW w:w="462"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20" w:type="pct"/>
            <w:shd w:val="clear" w:color="auto" w:fill="auto"/>
            <w:vAlign w:val="center"/>
          </w:tcPr>
          <w:p>
            <w:pPr>
              <w:spacing w:beforeLines="20" w:before="48" w:afterLines="20" w:after="48"/>
              <w:jc w:val="center"/>
              <w:rPr>
                <w:noProof/>
                <w:sz w:val="16"/>
                <w:szCs w:val="16"/>
              </w:rPr>
            </w:pPr>
            <w:r>
              <w:rPr>
                <w:noProof/>
                <w:sz w:val="16"/>
                <w:szCs w:val="16"/>
              </w:rPr>
              <w:t>10</w:t>
            </w:r>
          </w:p>
        </w:tc>
        <w:tc>
          <w:tcPr>
            <w:tcW w:w="518" w:type="pct"/>
          </w:tcPr>
          <w:p>
            <w:pPr>
              <w:spacing w:beforeLines="20" w:before="48" w:afterLines="20" w:after="48"/>
              <w:jc w:val="center"/>
              <w:rPr>
                <w:noProof/>
                <w:sz w:val="16"/>
                <w:szCs w:val="16"/>
              </w:rPr>
            </w:pPr>
            <w:r>
              <w:rPr>
                <w:noProof/>
                <w:sz w:val="16"/>
                <w:szCs w:val="16"/>
              </w:rPr>
              <w:t>10</w:t>
            </w:r>
          </w:p>
        </w:tc>
      </w:tr>
      <w:tr>
        <w:trPr>
          <w:trHeight w:val="289"/>
        </w:trPr>
        <w:tc>
          <w:tcPr>
            <w:tcW w:w="1456" w:type="pct"/>
            <w:gridSpan w:val="2"/>
          </w:tcPr>
          <w:p>
            <w:pPr>
              <w:spacing w:beforeLines="20" w:before="48" w:afterLines="20" w:after="48"/>
              <w:ind w:left="134"/>
              <w:jc w:val="left"/>
              <w:rPr>
                <w:noProof/>
                <w:sz w:val="16"/>
                <w:szCs w:val="16"/>
              </w:rPr>
            </w:pPr>
            <w:r>
              <w:rPr>
                <w:noProof/>
                <w:sz w:val="16"/>
              </w:rPr>
              <w:t>Delegācijas</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1456" w:type="pct"/>
            <w:gridSpan w:val="2"/>
          </w:tcPr>
          <w:p>
            <w:pPr>
              <w:spacing w:beforeLines="20" w:before="48" w:afterLines="20" w:after="48"/>
              <w:ind w:left="134"/>
              <w:jc w:val="left"/>
              <w:rPr>
                <w:noProof/>
                <w:sz w:val="16"/>
                <w:szCs w:val="16"/>
              </w:rPr>
            </w:pPr>
            <w:r>
              <w:rPr>
                <w:noProof/>
                <w:sz w:val="16"/>
              </w:rPr>
              <w:t>Pētniecība</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485"/>
        </w:trPr>
        <w:tc>
          <w:tcPr>
            <w:tcW w:w="727" w:type="pct"/>
            <w:vMerge w:val="restart"/>
            <w:vAlign w:val="center"/>
          </w:tcPr>
          <w:p>
            <w:pPr>
              <w:spacing w:beforeLines="20" w:before="48" w:afterLines="20" w:after="48"/>
              <w:ind w:left="136"/>
              <w:jc w:val="left"/>
              <w:rPr>
                <w:b/>
                <w:noProof/>
                <w:sz w:val="16"/>
                <w:szCs w:val="16"/>
              </w:rPr>
            </w:pPr>
            <w:r>
              <w:rPr>
                <w:noProof/>
                <w:sz w:val="16"/>
                <w:szCs w:val="16"/>
              </w:rPr>
              <w:t>Finansē| no daudzgadu finanšu shēmas 7. IZDEVUMU KATEGORIJAS</w:t>
            </w:r>
            <w:r>
              <w:rPr>
                <w:b/>
                <w:noProof/>
                <w:sz w:val="16"/>
              </w:rPr>
              <w:t xml:space="preserve"> </w:t>
            </w:r>
          </w:p>
        </w:tc>
        <w:tc>
          <w:tcPr>
            <w:tcW w:w="729" w:type="pct"/>
            <w:vAlign w:val="center"/>
          </w:tcPr>
          <w:p>
            <w:pPr>
              <w:spacing w:beforeLines="20" w:before="48" w:afterLines="20" w:after="48"/>
              <w:ind w:left="136"/>
              <w:jc w:val="left"/>
              <w:rPr>
                <w:b/>
                <w:noProof/>
                <w:sz w:val="16"/>
                <w:szCs w:val="16"/>
              </w:rPr>
            </w:pPr>
            <w:r>
              <w:rPr>
                <w:noProof/>
                <w:sz w:val="16"/>
              </w:rPr>
              <w:t>- galvenajā mītnē</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727" w:type="pct"/>
            <w:vMerge/>
            <w:vAlign w:val="center"/>
          </w:tcPr>
          <w:p>
            <w:pPr>
              <w:spacing w:beforeLines="20" w:before="48" w:afterLines="20" w:after="48"/>
              <w:ind w:left="136"/>
              <w:jc w:val="left"/>
              <w:rPr>
                <w:noProof/>
                <w:sz w:val="16"/>
                <w:szCs w:val="16"/>
              </w:rPr>
            </w:pPr>
          </w:p>
        </w:tc>
        <w:tc>
          <w:tcPr>
            <w:tcW w:w="729" w:type="pct"/>
            <w:vAlign w:val="center"/>
          </w:tcPr>
          <w:p>
            <w:pPr>
              <w:spacing w:beforeLines="20" w:before="48" w:afterLines="20" w:after="48"/>
              <w:ind w:left="136"/>
              <w:jc w:val="left"/>
              <w:rPr>
                <w:noProof/>
                <w:sz w:val="16"/>
                <w:szCs w:val="16"/>
              </w:rPr>
            </w:pPr>
            <w:r>
              <w:rPr>
                <w:noProof/>
                <w:sz w:val="16"/>
              </w:rPr>
              <w:t xml:space="preserve">- delegācijās </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370"/>
        </w:trPr>
        <w:tc>
          <w:tcPr>
            <w:tcW w:w="727" w:type="pct"/>
            <w:vMerge w:val="restart"/>
            <w:vAlign w:val="center"/>
          </w:tcPr>
          <w:p>
            <w:pPr>
              <w:spacing w:beforeLines="20" w:before="48" w:afterLines="20" w:after="48"/>
              <w:ind w:left="136"/>
              <w:jc w:val="left"/>
              <w:rPr>
                <w:b/>
                <w:noProof/>
                <w:sz w:val="16"/>
                <w:szCs w:val="16"/>
              </w:rPr>
            </w:pPr>
            <w:r>
              <w:rPr>
                <w:noProof/>
                <w:sz w:val="16"/>
                <w:szCs w:val="16"/>
              </w:rPr>
              <w:t>Finansē no programmas piešķīruma</w:t>
            </w:r>
            <w:r>
              <w:rPr>
                <w:b/>
                <w:noProof/>
                <w:sz w:val="16"/>
                <w:szCs w:val="16"/>
              </w:rPr>
              <w:t xml:space="preserve"> </w:t>
            </w:r>
            <w:r>
              <w:rPr>
                <w:rStyle w:val="FootnoteReference"/>
                <w:b/>
                <w:noProof/>
                <w:sz w:val="16"/>
                <w:szCs w:val="16"/>
              </w:rPr>
              <w:footnoteReference w:id="12"/>
            </w:r>
          </w:p>
        </w:tc>
        <w:tc>
          <w:tcPr>
            <w:tcW w:w="729" w:type="pct"/>
            <w:shd w:val="clear" w:color="auto" w:fill="auto"/>
            <w:vAlign w:val="center"/>
          </w:tcPr>
          <w:p>
            <w:pPr>
              <w:spacing w:beforeLines="20" w:before="48" w:afterLines="20" w:after="48"/>
              <w:ind w:left="136"/>
              <w:jc w:val="left"/>
              <w:rPr>
                <w:b/>
                <w:noProof/>
                <w:sz w:val="16"/>
                <w:szCs w:val="16"/>
              </w:rPr>
            </w:pPr>
            <w:r>
              <w:rPr>
                <w:noProof/>
                <w:sz w:val="16"/>
              </w:rPr>
              <w:t>- galvenajā mītnē</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727" w:type="pct"/>
            <w:vMerge/>
          </w:tcPr>
          <w:p>
            <w:pPr>
              <w:spacing w:beforeLines="20" w:before="48" w:afterLines="20" w:after="48"/>
              <w:ind w:left="136"/>
              <w:jc w:val="left"/>
              <w:rPr>
                <w:b/>
                <w:noProof/>
                <w:sz w:val="16"/>
                <w:szCs w:val="16"/>
              </w:rPr>
            </w:pPr>
          </w:p>
        </w:tc>
        <w:tc>
          <w:tcPr>
            <w:tcW w:w="729" w:type="pct"/>
            <w:shd w:val="clear" w:color="auto" w:fill="auto"/>
            <w:vAlign w:val="center"/>
          </w:tcPr>
          <w:p>
            <w:pPr>
              <w:spacing w:beforeLines="20" w:before="48" w:afterLines="20" w:after="48"/>
              <w:ind w:left="136"/>
              <w:jc w:val="left"/>
              <w:rPr>
                <w:b/>
                <w:noProof/>
                <w:sz w:val="16"/>
                <w:szCs w:val="16"/>
              </w:rPr>
            </w:pPr>
            <w:r>
              <w:rPr>
                <w:noProof/>
                <w:sz w:val="16"/>
              </w:rPr>
              <w:t xml:space="preserve">- delegācijās </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1456" w:type="pct"/>
            <w:gridSpan w:val="2"/>
          </w:tcPr>
          <w:p>
            <w:pPr>
              <w:spacing w:beforeLines="20" w:before="48" w:afterLines="20" w:after="48"/>
              <w:ind w:left="136"/>
              <w:jc w:val="left"/>
              <w:rPr>
                <w:noProof/>
                <w:sz w:val="16"/>
                <w:szCs w:val="16"/>
              </w:rPr>
            </w:pPr>
            <w:r>
              <w:rPr>
                <w:noProof/>
                <w:sz w:val="16"/>
                <w:szCs w:val="16"/>
              </w:rPr>
              <w:t>Pētniecība</w:t>
            </w:r>
          </w:p>
        </w:tc>
        <w:tc>
          <w:tcPr>
            <w:tcW w:w="528" w:type="pct"/>
            <w:shd w:val="clear" w:color="auto" w:fill="auto"/>
            <w:vAlign w:val="center"/>
          </w:tcPr>
          <w:p>
            <w:pPr>
              <w:spacing w:beforeLines="20" w:before="48" w:afterLines="20" w:after="48"/>
              <w:jc w:val="center"/>
              <w:rPr>
                <w:noProof/>
                <w:sz w:val="16"/>
                <w:szCs w:val="16"/>
              </w:rPr>
            </w:pPr>
          </w:p>
        </w:tc>
        <w:tc>
          <w:tcPr>
            <w:tcW w:w="461" w:type="pct"/>
            <w:shd w:val="clear" w:color="auto" w:fill="auto"/>
            <w:vAlign w:val="center"/>
          </w:tcPr>
          <w:p>
            <w:pPr>
              <w:spacing w:beforeLines="20" w:before="48" w:afterLines="20" w:after="48"/>
              <w:jc w:val="center"/>
              <w:rPr>
                <w:noProof/>
                <w:sz w:val="16"/>
                <w:szCs w:val="16"/>
              </w:rPr>
            </w:pPr>
          </w:p>
        </w:tc>
        <w:tc>
          <w:tcPr>
            <w:tcW w:w="52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c>
          <w:tcPr>
            <w:tcW w:w="462" w:type="pct"/>
            <w:shd w:val="clear" w:color="auto" w:fill="auto"/>
            <w:vAlign w:val="center"/>
          </w:tcPr>
          <w:p>
            <w:pPr>
              <w:spacing w:beforeLines="20" w:before="48" w:afterLines="20" w:after="48"/>
              <w:jc w:val="center"/>
              <w:rPr>
                <w:noProof/>
                <w:sz w:val="16"/>
                <w:szCs w:val="16"/>
              </w:rPr>
            </w:pPr>
          </w:p>
        </w:tc>
        <w:tc>
          <w:tcPr>
            <w:tcW w:w="520" w:type="pct"/>
            <w:shd w:val="clear" w:color="auto" w:fill="auto"/>
            <w:vAlign w:val="center"/>
          </w:tcPr>
          <w:p>
            <w:pPr>
              <w:spacing w:beforeLines="20" w:before="48" w:afterLines="20" w:after="48"/>
              <w:jc w:val="center"/>
              <w:rPr>
                <w:noProof/>
                <w:sz w:val="16"/>
                <w:szCs w:val="16"/>
              </w:rPr>
            </w:pPr>
          </w:p>
        </w:tc>
        <w:tc>
          <w:tcPr>
            <w:tcW w:w="518" w:type="pct"/>
          </w:tcPr>
          <w:p>
            <w:pPr>
              <w:spacing w:beforeLines="20" w:before="48" w:afterLines="20" w:after="48"/>
              <w:jc w:val="center"/>
              <w:rPr>
                <w:noProof/>
                <w:sz w:val="16"/>
                <w:szCs w:val="16"/>
              </w:rPr>
            </w:pPr>
          </w:p>
        </w:tc>
      </w:tr>
      <w:tr>
        <w:trPr>
          <w:trHeight w:val="289"/>
        </w:trPr>
        <w:tc>
          <w:tcPr>
            <w:tcW w:w="1456" w:type="pct"/>
            <w:gridSpan w:val="2"/>
            <w:tcBorders>
              <w:top w:val="single" w:sz="6" w:space="0" w:color="auto"/>
              <w:left w:val="single" w:sz="6" w:space="0" w:color="auto"/>
              <w:bottom w:val="double" w:sz="4" w:space="0" w:color="auto"/>
              <w:right w:val="single" w:sz="6" w:space="0" w:color="auto"/>
            </w:tcBorders>
          </w:tcPr>
          <w:p>
            <w:pPr>
              <w:spacing w:beforeLines="20" w:before="48" w:afterLines="20" w:after="48"/>
              <w:ind w:left="134"/>
              <w:jc w:val="left"/>
              <w:rPr>
                <w:noProof/>
                <w:sz w:val="16"/>
              </w:rPr>
            </w:pPr>
            <w:r>
              <w:rPr>
                <w:noProof/>
                <w:sz w:val="16"/>
              </w:rPr>
              <w:t>Cits (piešķirtie ieņēmumi)</w:t>
            </w:r>
          </w:p>
        </w:tc>
        <w:tc>
          <w:tcPr>
            <w:tcW w:w="528" w:type="pct"/>
            <w:shd w:val="clear" w:color="auto" w:fill="auto"/>
            <w:vAlign w:val="center"/>
          </w:tcPr>
          <w:p>
            <w:pPr>
              <w:spacing w:beforeLines="20" w:before="48" w:afterLines="20" w:after="48"/>
              <w:jc w:val="center"/>
              <w:rPr>
                <w:noProof/>
                <w:sz w:val="16"/>
                <w:szCs w:val="16"/>
              </w:rPr>
            </w:pPr>
            <w:r>
              <w:rPr>
                <w:noProof/>
                <w:sz w:val="16"/>
                <w:szCs w:val="16"/>
              </w:rPr>
              <w:t>30</w:t>
            </w:r>
          </w:p>
        </w:tc>
        <w:tc>
          <w:tcPr>
            <w:tcW w:w="461" w:type="pct"/>
            <w:shd w:val="clear" w:color="auto" w:fill="auto"/>
            <w:vAlign w:val="center"/>
          </w:tcPr>
          <w:p>
            <w:pPr>
              <w:spacing w:beforeLines="20" w:before="48" w:afterLines="20" w:after="48"/>
              <w:jc w:val="center"/>
              <w:rPr>
                <w:noProof/>
                <w:sz w:val="16"/>
                <w:szCs w:val="16"/>
              </w:rPr>
            </w:pPr>
            <w:r>
              <w:rPr>
                <w:noProof/>
                <w:sz w:val="16"/>
                <w:szCs w:val="16"/>
              </w:rPr>
              <w:t>30</w:t>
            </w:r>
          </w:p>
        </w:tc>
        <w:tc>
          <w:tcPr>
            <w:tcW w:w="528"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30</w:t>
            </w:r>
          </w:p>
        </w:tc>
        <w:tc>
          <w:tcPr>
            <w:tcW w:w="527"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30</w:t>
            </w:r>
          </w:p>
        </w:tc>
        <w:tc>
          <w:tcPr>
            <w:tcW w:w="462"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25</w:t>
            </w:r>
          </w:p>
        </w:tc>
        <w:tc>
          <w:tcPr>
            <w:tcW w:w="520" w:type="pct"/>
            <w:tcBorders>
              <w:top w:val="single" w:sz="6" w:space="0" w:color="auto"/>
              <w:left w:val="single" w:sz="6" w:space="0" w:color="auto"/>
              <w:bottom w:val="double" w:sz="4" w:space="0" w:color="auto"/>
              <w:right w:val="single" w:sz="6" w:space="0" w:color="auto"/>
            </w:tcBorders>
            <w:shd w:val="clear" w:color="auto" w:fill="auto"/>
            <w:vAlign w:val="center"/>
          </w:tcPr>
          <w:p>
            <w:pPr>
              <w:spacing w:beforeLines="20" w:before="48" w:afterLines="20" w:after="48"/>
              <w:jc w:val="center"/>
              <w:rPr>
                <w:noProof/>
                <w:sz w:val="16"/>
                <w:szCs w:val="16"/>
              </w:rPr>
            </w:pPr>
            <w:r>
              <w:rPr>
                <w:noProof/>
                <w:sz w:val="16"/>
                <w:szCs w:val="16"/>
              </w:rPr>
              <w:t>25</w:t>
            </w:r>
          </w:p>
        </w:tc>
        <w:tc>
          <w:tcPr>
            <w:tcW w:w="518" w:type="pct"/>
            <w:tcBorders>
              <w:top w:val="single" w:sz="6" w:space="0" w:color="auto"/>
              <w:left w:val="single" w:sz="6" w:space="0" w:color="auto"/>
              <w:bottom w:val="double" w:sz="4" w:space="0" w:color="auto"/>
              <w:right w:val="single" w:sz="6" w:space="0" w:color="auto"/>
            </w:tcBorders>
          </w:tcPr>
          <w:p>
            <w:pPr>
              <w:spacing w:beforeLines="20" w:before="48" w:afterLines="20" w:after="48"/>
              <w:jc w:val="center"/>
              <w:rPr>
                <w:noProof/>
                <w:sz w:val="16"/>
                <w:szCs w:val="16"/>
              </w:rPr>
            </w:pPr>
            <w:r>
              <w:rPr>
                <w:noProof/>
                <w:sz w:val="16"/>
                <w:szCs w:val="16"/>
              </w:rPr>
              <w:t>25</w:t>
            </w:r>
          </w:p>
        </w:tc>
      </w:tr>
      <w:tr>
        <w:trPr>
          <w:trHeight w:val="289"/>
        </w:trPr>
        <w:tc>
          <w:tcPr>
            <w:tcW w:w="1456" w:type="pct"/>
            <w:gridSpan w:val="2"/>
            <w:tcBorders>
              <w:top w:val="double" w:sz="4" w:space="0" w:color="auto"/>
            </w:tcBorders>
          </w:tcPr>
          <w:p>
            <w:pPr>
              <w:spacing w:beforeLines="20" w:before="48" w:afterLines="20" w:after="48"/>
              <w:ind w:left="136"/>
              <w:jc w:val="left"/>
              <w:rPr>
                <w:noProof/>
                <w:sz w:val="16"/>
                <w:szCs w:val="16"/>
              </w:rPr>
            </w:pPr>
            <w:r>
              <w:rPr>
                <w:b/>
                <w:noProof/>
                <w:sz w:val="16"/>
              </w:rPr>
              <w:t>KOPĀ</w:t>
            </w:r>
          </w:p>
        </w:tc>
        <w:tc>
          <w:tcPr>
            <w:tcW w:w="5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6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2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40</w:t>
            </w:r>
          </w:p>
        </w:tc>
        <w:tc>
          <w:tcPr>
            <w:tcW w:w="462"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35</w:t>
            </w:r>
          </w:p>
        </w:tc>
        <w:tc>
          <w:tcPr>
            <w:tcW w:w="52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35</w:t>
            </w:r>
          </w:p>
        </w:tc>
        <w:tc>
          <w:tcPr>
            <w:tcW w:w="518" w:type="pct"/>
            <w:tcBorders>
              <w:top w:val="double" w:sz="4" w:space="0" w:color="auto"/>
            </w:tcBorders>
          </w:tcPr>
          <w:p>
            <w:pPr>
              <w:spacing w:beforeLines="20" w:before="48" w:afterLines="20" w:after="48"/>
              <w:jc w:val="center"/>
              <w:rPr>
                <w:b/>
                <w:noProof/>
                <w:sz w:val="16"/>
                <w:szCs w:val="16"/>
              </w:rPr>
            </w:pPr>
            <w:r>
              <w:rPr>
                <w:b/>
                <w:noProof/>
                <w:sz w:val="16"/>
                <w:szCs w:val="16"/>
              </w:rPr>
              <w:t>35</w:t>
            </w:r>
          </w:p>
        </w:tc>
      </w:tr>
    </w:tbl>
    <w:p>
      <w:pPr>
        <w:ind w:left="850"/>
        <w:rPr>
          <w:noProof/>
          <w:sz w:val="18"/>
          <w:szCs w:val="18"/>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r>
        <w:rPr>
          <w:noProof/>
        </w:rPr>
        <w:t xml:space="preserve"> </w:t>
      </w:r>
      <w:r>
        <w:rPr>
          <w:noProof/>
          <w:sz w:val="18"/>
        </w:rPr>
        <w:t>Papildu darbinieki būs tikai ārštata darbinieki, kas tiks finansēti tikai no piešķirtajiem ieņēmumiem.</w:t>
      </w:r>
    </w:p>
    <w:p>
      <w:pPr>
        <w:rPr>
          <w:noProof/>
          <w:sz w:val="20"/>
        </w:rPr>
      </w:pPr>
      <w:r>
        <w:rPr>
          <w:noProof/>
          <w:sz w:val="20"/>
        </w:rPr>
        <w:t>Veicamo uzdevumu apraksts:</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Ierēdņi un pagaidu darbinieki</w:t>
            </w:r>
          </w:p>
        </w:tc>
        <w:tc>
          <w:tcPr>
            <w:tcW w:w="7392" w:type="dxa"/>
          </w:tcPr>
          <w:p>
            <w:pPr>
              <w:rPr>
                <w:noProof/>
                <w:sz w:val="20"/>
              </w:rPr>
            </w:pPr>
          </w:p>
        </w:tc>
      </w:tr>
      <w:tr>
        <w:tc>
          <w:tcPr>
            <w:tcW w:w="3240" w:type="dxa"/>
          </w:tcPr>
          <w:p>
            <w:pPr>
              <w:spacing w:before="60" w:after="60"/>
              <w:rPr>
                <w:noProof/>
                <w:sz w:val="20"/>
              </w:rPr>
            </w:pPr>
            <w:r>
              <w:rPr>
                <w:noProof/>
                <w:sz w:val="20"/>
              </w:rPr>
              <w:t>Ārštata darbinieki</w:t>
            </w:r>
          </w:p>
        </w:tc>
        <w:tc>
          <w:tcPr>
            <w:tcW w:w="7392" w:type="dxa"/>
          </w:tcPr>
          <w:p>
            <w:pPr>
              <w:rPr>
                <w:noProof/>
                <w:sz w:val="20"/>
              </w:rPr>
            </w:pPr>
            <w:r>
              <w:rPr>
                <w:noProof/>
                <w:sz w:val="20"/>
              </w:rPr>
              <w:t>Līgumdarbinieki jauno programmu apspriešanas atbalstam, īstenošanas uzraudzībai, tostarp revīzijai un finanšu pārvaldībai, dalībai programmu slēgšanas procesā</w:t>
            </w:r>
          </w:p>
        </w:tc>
      </w:tr>
    </w:tbl>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2"/>
        <w:rPr>
          <w:noProof/>
          <w:szCs w:val="24"/>
        </w:rPr>
      </w:pPr>
      <w:bookmarkStart w:id="46" w:name="_Toc514941995"/>
      <w:bookmarkStart w:id="47" w:name="_Toc39839415"/>
      <w:r>
        <w:t>3.3.</w:t>
      </w:r>
      <w:r>
        <w:tab/>
      </w:r>
      <w:r>
        <w:rPr>
          <w:noProof/>
        </w:rPr>
        <w:t>Aplēstā ietekme uz ieņēmumiem</w:t>
      </w:r>
      <w:bookmarkEnd w:id="46"/>
      <w:bookmarkEnd w:id="47"/>
      <w:r>
        <w:rPr>
          <w:noProof/>
        </w:rPr>
        <w:t xml:space="preserve"> </w:t>
      </w:r>
    </w:p>
    <w:p>
      <w:pPr>
        <w:tabs>
          <w:tab w:val="num" w:pos="1134"/>
        </w:tabs>
        <w:ind w:left="1134" w:hanging="283"/>
        <w:rPr>
          <w:rFonts w:eastAsia="Times New Roman"/>
          <w:noProof/>
        </w:rPr>
      </w:pPr>
      <w:r>
        <w:rPr>
          <w:noProof/>
        </w:rPr>
        <w:t>X</w:t>
      </w:r>
      <w:r>
        <w:rPr>
          <w:noProof/>
        </w:rPr>
        <w:tab/>
        <w:t>Priekšlikums/iniciatīva finansiāli neietekmē ieņēmumus.</w:t>
      </w:r>
    </w:p>
    <w:p>
      <w:pPr>
        <w:tabs>
          <w:tab w:val="num" w:pos="1134"/>
        </w:tabs>
        <w:ind w:left="1134" w:hanging="283"/>
        <w:rPr>
          <w:rFonts w:eastAsia="Times New Roman"/>
          <w:noProof/>
        </w:rPr>
      </w:pPr>
      <w:r>
        <w:rPr>
          <w:noProof/>
        </w:rPr>
        <w:sym w:font="Wingdings" w:char="F0A8"/>
      </w:r>
      <w:r>
        <w:rPr>
          <w:noProof/>
        </w:rPr>
        <w:t xml:space="preserve"> Priekšlikums/iniciatīva finansiāli ietekmē:</w:t>
      </w:r>
    </w:p>
    <w:p>
      <w:pPr>
        <w:pStyle w:val="Tiret2"/>
        <w:numPr>
          <w:ilvl w:val="0"/>
          <w:numId w:val="11"/>
        </w:numPr>
        <w:rPr>
          <w:noProof/>
        </w:rPr>
      </w:pPr>
      <w:r>
        <w:rPr>
          <w:noProof/>
        </w:rPr>
        <w:sym w:font="Wingdings" w:char="F0A8"/>
      </w:r>
      <w:r>
        <w:rPr>
          <w:noProof/>
        </w:rPr>
        <w:t xml:space="preserve"> pašu resursus </w:t>
      </w:r>
    </w:p>
    <w:p>
      <w:pPr>
        <w:pStyle w:val="Tiret2"/>
        <w:numPr>
          <w:ilvl w:val="0"/>
          <w:numId w:val="11"/>
        </w:numPr>
        <w:rPr>
          <w:noProof/>
        </w:rPr>
      </w:pPr>
      <w:r>
        <w:rPr>
          <w:noProof/>
        </w:rPr>
        <w:sym w:font="Wingdings" w:char="F0A8"/>
      </w:r>
      <w:r>
        <w:rPr>
          <w:noProof/>
        </w:rPr>
        <w:t xml:space="preserve"> citus ieņēmumus</w:t>
      </w:r>
    </w:p>
    <w:p>
      <w:pPr>
        <w:rPr>
          <w:noProof/>
        </w:rPr>
      </w:pPr>
      <w:r>
        <w:rPr>
          <w:noProof/>
        </w:rPr>
        <w:t>Norādiet, ja ieņēmumi ir piešķirti izdevumu pozīcijām</w:t>
      </w:r>
      <w:r>
        <w:rPr>
          <w:noProof/>
        </w:rPr>
        <w:sym w:font="Wingdings" w:char="F0A8"/>
      </w:r>
      <w:r>
        <w:rPr>
          <w:noProof/>
        </w:rPr>
        <w:tab/>
      </w:r>
    </w:p>
    <w:p>
      <w:pPr>
        <w:jc w:val="right"/>
        <w:rPr>
          <w:i/>
          <w:noProof/>
          <w:sz w:val="20"/>
        </w:rPr>
      </w:pPr>
      <w:r>
        <w:rPr>
          <w:noProof/>
        </w:rPr>
        <w:t>miljonos EUR (trīs zīmes aiz komata)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Budžeta ieņēmumu pozīcija:</w:t>
            </w:r>
          </w:p>
        </w:tc>
        <w:tc>
          <w:tcPr>
            <w:tcW w:w="7200" w:type="dxa"/>
            <w:gridSpan w:val="7"/>
            <w:vAlign w:val="center"/>
          </w:tcPr>
          <w:p>
            <w:pPr>
              <w:jc w:val="center"/>
              <w:rPr>
                <w:noProof/>
                <w:sz w:val="18"/>
              </w:rPr>
            </w:pPr>
            <w:r>
              <w:rPr>
                <w:noProof/>
                <w:sz w:val="18"/>
              </w:rPr>
              <w:t>Priekšlikuma/iniciatīvas ietekme</w:t>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 pants</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Attiecībā uz piešķirtajiem ieņēmumiem norādīt attiecīgās budžeta izdevumu pozīcijas.</w:t>
      </w:r>
    </w:p>
    <w:p>
      <w:pPr>
        <w:ind w:left="850"/>
        <w:rPr>
          <w:noProof/>
        </w:rPr>
      </w:pPr>
      <w:r>
        <w:rPr>
          <w:noProof/>
          <w:color w:val="0000FF"/>
        </w:rPr>
        <w:t>[…]</w:t>
      </w:r>
    </w:p>
    <w:p>
      <w:pPr>
        <w:ind w:left="850"/>
        <w:rPr>
          <w:noProof/>
          <w:sz w:val="16"/>
          <w:szCs w:val="16"/>
        </w:rPr>
      </w:pPr>
      <w:r>
        <w:rPr>
          <w:noProof/>
          <w:sz w:val="20"/>
        </w:rPr>
        <w:t>Citas piezīmes (piem., metode/formula, ko izmanto, lai aprēķinātu ietekmi uz ieņēmumiem, vai jebkura cita informācija).</w:t>
      </w:r>
      <w:r>
        <w:rPr>
          <w:noProof/>
          <w:sz w:val="16"/>
          <w:szCs w:val="16"/>
        </w:rPr>
        <w:t xml:space="preserve"> </w:t>
      </w:r>
    </w:p>
    <w:p>
      <w:pPr>
        <w:ind w:left="850"/>
        <w:rPr>
          <w:noProof/>
        </w:rPr>
      </w:pPr>
      <w:r>
        <w:rPr>
          <w:noProof/>
          <w:color w:val="0000FF"/>
        </w:rPr>
        <w: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COM(2020) 22 final.</w:t>
      </w:r>
    </w:p>
  </w:footnote>
  <w:footnote w:id="3">
    <w:p>
      <w:pPr>
        <w:pStyle w:val="FootnoteText"/>
      </w:pPr>
      <w:r>
        <w:rPr>
          <w:rStyle w:val="FootnoteReference"/>
        </w:rPr>
        <w:footnoteRef/>
      </w:r>
      <w:r>
        <w:tab/>
        <w:t>COM(2020) 23 final.</w:t>
      </w:r>
    </w:p>
  </w:footnote>
  <w:footnote w:id="4">
    <w:p>
      <w:pPr>
        <w:pStyle w:val="FootnoteText"/>
      </w:pPr>
      <w:r>
        <w:rPr>
          <w:rStyle w:val="FootnoteReference"/>
        </w:rPr>
        <w:footnoteRef/>
      </w:r>
      <w:r>
        <w:tab/>
        <w:t>SWD(2018) 282 final.</w:t>
      </w:r>
    </w:p>
  </w:footnote>
  <w:footnote w:id="5">
    <w:p>
      <w:pPr>
        <w:pStyle w:val="FootnoteText"/>
      </w:pPr>
      <w:r>
        <w:rPr>
          <w:rStyle w:val="FootnoteReference"/>
        </w:rPr>
        <w:footnoteRef/>
      </w:r>
      <w:r>
        <w:tab/>
        <w:t>COM(2018) 372 final.</w:t>
      </w:r>
    </w:p>
  </w:footnote>
  <w:footnote w:id="6">
    <w:p>
      <w:pPr>
        <w:pStyle w:val="FootnoteText"/>
      </w:pPr>
      <w:r>
        <w:rPr>
          <w:rStyle w:val="FootnoteReference"/>
        </w:rPr>
        <w:footnoteRef/>
      </w:r>
      <w:r>
        <w:tab/>
        <w:t>OV C …, , lpp.</w:t>
      </w:r>
    </w:p>
  </w:footnote>
  <w:footnote w:id="7">
    <w:p>
      <w:pPr>
        <w:pStyle w:val="FootnoteText"/>
      </w:pPr>
      <w:r>
        <w:rPr>
          <w:rStyle w:val="FootnoteReference"/>
        </w:rPr>
        <w:footnoteRef/>
      </w:r>
      <w:r>
        <w:tab/>
        <w:t>Kā paredzēts Finanšu regulas 58. panta 2. punkta a) vai b) apakšpunktā.</w:t>
      </w:r>
    </w:p>
  </w:footnote>
  <w:footnote w:id="8">
    <w:p>
      <w:pPr>
        <w:pStyle w:val="FootnoteText"/>
      </w:pPr>
      <w:r>
        <w:rPr>
          <w:rStyle w:val="FootnoteReference"/>
        </w:rPr>
        <w:footnoteRef/>
      </w:r>
      <w:r>
        <w:tab/>
        <w:t xml:space="preserve">Pārvaldības veidu skaidrojumus un atsauces uz Finanšu regulu skatīt </w:t>
      </w:r>
      <w:r>
        <w:rPr>
          <w:i/>
        </w:rPr>
        <w:t>BudgWeb</w:t>
      </w:r>
      <w:r>
        <w:t xml:space="preserve"> tīmekļvietnē:</w:t>
      </w:r>
      <w:r>
        <w:tab/>
        <w:t xml:space="preserve"> </w:t>
      </w:r>
      <w:hyperlink r:id="rId1" w:history="1">
        <w:r>
          <w:rPr>
            <w:rStyle w:val="Hyperlink"/>
          </w:rPr>
          <w:t>https://myintracomm.ec.europa.eu/budgweb/EN/man/budgmanag/Pages/budgmanag.aspx</w:t>
        </w:r>
      </w:hyperlink>
      <w:r>
        <w:t>.</w:t>
      </w:r>
    </w:p>
  </w:footnote>
  <w:footnote w:id="9">
    <w:p>
      <w:pPr>
        <w:pStyle w:val="FootnoteText"/>
      </w:pPr>
      <w:r>
        <w:rPr>
          <w:rStyle w:val="FootnoteReference"/>
        </w:rPr>
        <w:footnoteRef/>
      </w:r>
      <w:r>
        <w:tab/>
        <w:t>Dif. = diferencētās apropriācijas / Nedif. = nediferencētās apropriācijas.</w:t>
      </w:r>
    </w:p>
  </w:footnote>
  <w:footnote w:id="10">
    <w:p>
      <w:pPr>
        <w:pStyle w:val="FootnoteText"/>
      </w:pPr>
      <w:r>
        <w:rPr>
          <w:rStyle w:val="FootnoteReference"/>
        </w:rPr>
        <w:footnoteRef/>
      </w:r>
      <w:r>
        <w:tab/>
        <w:t>EBTA — Eiropas Brīvās tirdzniecības asociācija.</w:t>
      </w:r>
    </w:p>
  </w:footnote>
  <w:footnote w:id="11">
    <w:p>
      <w:pPr>
        <w:pStyle w:val="FootnoteText"/>
      </w:pPr>
      <w:r>
        <w:rPr>
          <w:rStyle w:val="FootnoteReference"/>
        </w:rPr>
        <w:footnoteRef/>
      </w:r>
      <w:r>
        <w:tab/>
        <w:t>Kandidātvalstis un attiecīgā gadījumā potenciālās kandidātvalstis no Rietumbalkāniem.</w:t>
      </w:r>
    </w:p>
  </w:footnote>
  <w:footnote w:id="12">
    <w:p>
      <w:pPr>
        <w:pStyle w:val="FootnoteText"/>
      </w:pPr>
      <w:r>
        <w:rPr>
          <w:rStyle w:val="FootnoteReference"/>
        </w:rPr>
        <w:footnoteRef/>
      </w:r>
      <w:r>
        <w:tab/>
        <w:t>Ārštata darbiniekiem paredzētā maksimālā summa, ko finansē no darbības apropriācijām (kādreizējām “BA” pozīcijām).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8415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AC163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34AD0D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4146C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6478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D850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F902698"/>
    <w:lvl w:ilvl="0">
      <w:start w:val="1"/>
      <w:numFmt w:val="decimal"/>
      <w:pStyle w:val="ListNumber"/>
      <w:lvlText w:val="%1."/>
      <w:lvlJc w:val="left"/>
      <w:pPr>
        <w:tabs>
          <w:tab w:val="num" w:pos="360"/>
        </w:tabs>
        <w:ind w:left="360" w:hanging="360"/>
      </w:pPr>
    </w:lvl>
  </w:abstractNum>
  <w:abstractNum w:abstractNumId="7">
    <w:nsid w:val="FFFFFF89"/>
    <w:multiLevelType w:val="singleLevel"/>
    <w:tmpl w:val="70AE55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21"/>
  </w:num>
  <w:num w:numId="12">
    <w:abstractNumId w:val="20"/>
  </w:num>
  <w:num w:numId="13">
    <w:abstractNumId w:val="1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1"/>
  </w:num>
  <w:num w:numId="18">
    <w:abstractNumId w:val="11"/>
  </w:num>
  <w:num w:numId="19">
    <w:abstractNumId w:val="13"/>
  </w:num>
  <w:num w:numId="20">
    <w:abstractNumId w:val="9"/>
  </w:num>
  <w:num w:numId="21">
    <w:abstractNumId w:val="20"/>
  </w:num>
  <w:num w:numId="22">
    <w:abstractNumId w:val="8"/>
  </w:num>
  <w:num w:numId="23">
    <w:abstractNumId w:val="14"/>
  </w:num>
  <w:num w:numId="24">
    <w:abstractNumId w:val="17"/>
  </w:num>
  <w:num w:numId="25">
    <w:abstractNumId w:val="18"/>
  </w:num>
  <w:num w:numId="26">
    <w:abstractNumId w:val="10"/>
  </w:num>
  <w:num w:numId="27">
    <w:abstractNumId w:val="16"/>
  </w:num>
  <w:num w:numId="28">
    <w:abstractNumId w:val="22"/>
  </w:num>
  <w:num w:numId="29">
    <w:abstractNumId w:val="19"/>
  </w:num>
  <w:num w:numId="30">
    <w:abstractNumId w:val="12"/>
  </w:num>
  <w:num w:numId="31">
    <w:abstractNumId w:val="21"/>
  </w:num>
  <w:num w:numId="32">
    <w:abstractNumId w:val="11"/>
  </w:num>
  <w:num w:numId="33">
    <w:abstractNumId w:val="13"/>
  </w:num>
  <w:num w:numId="34">
    <w:abstractNumId w:val="9"/>
  </w:num>
  <w:num w:numId="35">
    <w:abstractNumId w:val="20"/>
  </w:num>
  <w:num w:numId="36">
    <w:abstractNumId w:val="8"/>
  </w:num>
  <w:num w:numId="37">
    <w:abstractNumId w:val="14"/>
  </w:num>
  <w:num w:numId="38">
    <w:abstractNumId w:val="17"/>
  </w:num>
  <w:num w:numId="39">
    <w:abstractNumId w:val="18"/>
  </w:num>
  <w:num w:numId="40">
    <w:abstractNumId w:val="10"/>
  </w:num>
  <w:num w:numId="41">
    <w:abstractNumId w:val="16"/>
  </w:num>
  <w:num w:numId="4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7:45: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198350C-A4B6-45E5-9622-BB0A35ADB677"/>
    <w:docVar w:name="LW_COVERPAGE_TYPE" w:val="1"/>
    <w:docVar w:name="LW_CROSSREFERENCE" w:val="&lt;UNUSED&gt;"/>
    <w:docVar w:name="LW_DocType" w:val="COM"/>
    <w:docVar w:name="LW_EMISSION" w:val="28.5.2020"/>
    <w:docVar w:name="LW_EMISSION_ISODATE" w:val="2020-05-28"/>
    <w:docVar w:name="LW_EMISSION_LOCATION" w:val="BRX"/>
    <w:docVar w:name="LW_EMISSION_PREFIX" w:val="Briselē, "/>
    <w:docVar w:name="LW_EMISSION_SUFFIX" w:val="."/>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006"/>
    <w:docVar w:name="LW_REF.II.NEW.CP_YEAR" w:val="2020"/>
    <w:docVar w:name="LW_REF.INST.NEW" w:val="COM"/>
    <w:docVar w:name="LW_REF.INST.NEW_ADOPTED" w:val="final"/>
    <w:docVar w:name="LW_REF.INST.NEW_TEXT" w:val="(2020) 4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Groz\u299?ts priek\u353?likums"/>
    <w:docVar w:name="LW_SUPERTITRE" w:val="&lt;UNUSED&gt;"/>
    <w:docVar w:name="LW_TITRE.OBJ.CP" w:val="ar ko izveido Taisn\u299?gas p\u257?rk\u257?rto\u353?an\u257?s fondu"/>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v-LV"/>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2letter0">
    <w:name w:val="Point 2 letter"/>
    <w:basedOn w:val="Point2"/>
    <w:rPr>
      <w:noProof/>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szCs w:val="24"/>
      <w:lang w:eastAsia="nl-BE"/>
    </w:rPr>
  </w:style>
  <w:style w:type="paragraph" w:customStyle="1" w:styleId="Point1letter0">
    <w:name w:val="Point1 (letter)"/>
    <w:basedOn w:val="Point0letter"/>
  </w:style>
  <w:style w:type="paragraph" w:styleId="ListNumber4">
    <w:name w:val="List Number 4"/>
    <w:basedOn w:val="Normal"/>
    <w:uiPriority w:val="99"/>
    <w:semiHidden/>
    <w:unhideWhenUsed/>
    <w:pPr>
      <w:numPr>
        <w:numId w:val="5"/>
      </w:numPr>
      <w:contextualSpacing/>
    </w:pPr>
  </w:style>
  <w:style w:type="paragraph" w:customStyle="1" w:styleId="Point1letter1">
    <w:name w:val="Point 1  (letter)"/>
    <w:basedOn w:val="Point0letter"/>
  </w:style>
  <w:style w:type="character" w:customStyle="1" w:styleId="conf-macro">
    <w:name w:val="conf-macro"/>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nnexetitreChar">
    <w:name w:val="Annexe titre Char"/>
    <w:basedOn w:val="DefaultParagraphFont"/>
    <w:rPr>
      <w:rFonts w:ascii="Times New Roman" w:hAnsi="Times New Roman" w:cs="Times New Roman"/>
      <w:b/>
      <w:sz w:val="24"/>
      <w:u w:val="single"/>
      <w:lang w:val="lv-LV"/>
    </w:rPr>
  </w:style>
  <w:style w:type="paragraph" w:customStyle="1" w:styleId="ListDash2">
    <w:name w:val="List Dash 2"/>
    <w:basedOn w:val="Normal"/>
    <w:pPr>
      <w:numPr>
        <w:numId w:val="13"/>
      </w:numPr>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rFonts w:eastAsia="Times New Roman"/>
      <w:b/>
      <w:szCs w:val="24"/>
    </w:rPr>
  </w:style>
  <w:style w:type="character" w:styleId="CommentReference">
    <w:name w:val="annotation reference"/>
    <w:rPr>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lv-LV"/>
    </w:rPr>
  </w:style>
  <w:style w:type="character" w:styleId="Emphasis">
    <w:name w:val="Emphasis"/>
    <w:uiPriority w:val="20"/>
    <w:qFormat/>
    <w:rPr>
      <w:b/>
      <w:bCs/>
      <w:i w:val="0"/>
      <w:iCs w:val="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Point2letter0">
    <w:name w:val="Point 2 letter"/>
    <w:basedOn w:val="Point2"/>
    <w:rPr>
      <w:noProof/>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v-LV"/>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spacing w:before="0" w:after="0"/>
      <w:ind w:left="720"/>
      <w:jc w:val="left"/>
    </w:pPr>
    <w:rPr>
      <w:szCs w:val="24"/>
      <w:lang w:eastAsia="nl-BE"/>
    </w:rPr>
  </w:style>
  <w:style w:type="paragraph" w:customStyle="1" w:styleId="Point1letter0">
    <w:name w:val="Point1 (letter)"/>
    <w:basedOn w:val="Point0letter"/>
  </w:style>
  <w:style w:type="paragraph" w:styleId="ListNumber4">
    <w:name w:val="List Number 4"/>
    <w:basedOn w:val="Normal"/>
    <w:uiPriority w:val="99"/>
    <w:semiHidden/>
    <w:unhideWhenUsed/>
    <w:pPr>
      <w:numPr>
        <w:numId w:val="5"/>
      </w:numPr>
      <w:contextualSpacing/>
    </w:pPr>
  </w:style>
  <w:style w:type="paragraph" w:customStyle="1" w:styleId="Point1letter1">
    <w:name w:val="Point 1  (letter)"/>
    <w:basedOn w:val="Point0letter"/>
  </w:style>
  <w:style w:type="character" w:customStyle="1" w:styleId="conf-macro">
    <w:name w:val="conf-macro"/>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AnnexetitreChar">
    <w:name w:val="Annexe titre Char"/>
    <w:basedOn w:val="DefaultParagraphFont"/>
    <w:rPr>
      <w:rFonts w:ascii="Times New Roman" w:hAnsi="Times New Roman" w:cs="Times New Roman"/>
      <w:b/>
      <w:sz w:val="24"/>
      <w:u w:val="single"/>
      <w:lang w:val="lv-LV"/>
    </w:rPr>
  </w:style>
  <w:style w:type="paragraph" w:customStyle="1" w:styleId="ListDash2">
    <w:name w:val="List Dash 2"/>
    <w:basedOn w:val="Normal"/>
    <w:pPr>
      <w:numPr>
        <w:numId w:val="13"/>
      </w:numPr>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0632">
      <w:bodyDiv w:val="1"/>
      <w:marLeft w:val="0"/>
      <w:marRight w:val="0"/>
      <w:marTop w:val="0"/>
      <w:marBottom w:val="0"/>
      <w:divBdr>
        <w:top w:val="none" w:sz="0" w:space="0" w:color="auto"/>
        <w:left w:val="none" w:sz="0" w:space="0" w:color="auto"/>
        <w:bottom w:val="none" w:sz="0" w:space="0" w:color="auto"/>
        <w:right w:val="none" w:sz="0" w:space="0" w:color="auto"/>
      </w:divBdr>
    </w:div>
    <w:div w:id="470100803">
      <w:bodyDiv w:val="1"/>
      <w:marLeft w:val="0"/>
      <w:marRight w:val="0"/>
      <w:marTop w:val="0"/>
      <w:marBottom w:val="0"/>
      <w:divBdr>
        <w:top w:val="none" w:sz="0" w:space="0" w:color="auto"/>
        <w:left w:val="none" w:sz="0" w:space="0" w:color="auto"/>
        <w:bottom w:val="none" w:sz="0" w:space="0" w:color="auto"/>
        <w:right w:val="none" w:sz="0" w:space="0" w:color="auto"/>
      </w:divBdr>
    </w:div>
    <w:div w:id="711465380">
      <w:bodyDiv w:val="1"/>
      <w:marLeft w:val="0"/>
      <w:marRight w:val="0"/>
      <w:marTop w:val="0"/>
      <w:marBottom w:val="0"/>
      <w:divBdr>
        <w:top w:val="none" w:sz="0" w:space="0" w:color="auto"/>
        <w:left w:val="none" w:sz="0" w:space="0" w:color="auto"/>
        <w:bottom w:val="none" w:sz="0" w:space="0" w:color="auto"/>
        <w:right w:val="none" w:sz="0" w:space="0" w:color="auto"/>
      </w:divBdr>
    </w:div>
    <w:div w:id="999120895">
      <w:bodyDiv w:val="1"/>
      <w:marLeft w:val="0"/>
      <w:marRight w:val="0"/>
      <w:marTop w:val="0"/>
      <w:marBottom w:val="0"/>
      <w:divBdr>
        <w:top w:val="none" w:sz="0" w:space="0" w:color="auto"/>
        <w:left w:val="none" w:sz="0" w:space="0" w:color="auto"/>
        <w:bottom w:val="none" w:sz="0" w:space="0" w:color="auto"/>
        <w:right w:val="none" w:sz="0" w:space="0" w:color="auto"/>
      </w:divBdr>
    </w:div>
    <w:div w:id="1335910665">
      <w:bodyDiv w:val="1"/>
      <w:marLeft w:val="0"/>
      <w:marRight w:val="0"/>
      <w:marTop w:val="0"/>
      <w:marBottom w:val="0"/>
      <w:divBdr>
        <w:top w:val="none" w:sz="0" w:space="0" w:color="auto"/>
        <w:left w:val="none" w:sz="0" w:space="0" w:color="auto"/>
        <w:bottom w:val="none" w:sz="0" w:space="0" w:color="auto"/>
        <w:right w:val="none" w:sz="0" w:space="0" w:color="auto"/>
      </w:divBdr>
    </w:div>
    <w:div w:id="1646007962">
      <w:bodyDiv w:val="1"/>
      <w:marLeft w:val="0"/>
      <w:marRight w:val="0"/>
      <w:marTop w:val="0"/>
      <w:marBottom w:val="0"/>
      <w:divBdr>
        <w:top w:val="none" w:sz="0" w:space="0" w:color="auto"/>
        <w:left w:val="none" w:sz="0" w:space="0" w:color="auto"/>
        <w:bottom w:val="none" w:sz="0" w:space="0" w:color="auto"/>
        <w:right w:val="none" w:sz="0" w:space="0" w:color="auto"/>
      </w:divBdr>
    </w:div>
    <w:div w:id="20043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6F53-70F1-4BB2-A663-64FE5DA4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17</Pages>
  <Words>3916</Words>
  <Characters>26163</Characters>
  <Application>Microsoft Office Word</Application>
  <DocSecurity>0</DocSecurity>
  <Lines>934</Lines>
  <Paragraphs>527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2019-11-15T15:58:00Z</cp:lastPrinted>
  <dcterms:created xsi:type="dcterms:W3CDTF">2020-06-02T05:55:00Z</dcterms:created>
  <dcterms:modified xsi:type="dcterms:W3CDTF">2020-06-02T15:45:00Z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