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FB54EC97-5BD8-4B84-932A-C78CB310B10C" style="width:450.75pt;height:338.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rPr>
          <w:noProof/>
        </w:rPr>
      </w:pPr>
    </w:p>
    <w:p>
      <w:pPr>
        <w:pStyle w:val="ManualHeading1"/>
        <w:rPr>
          <w:noProof/>
        </w:rPr>
      </w:pPr>
      <w:r>
        <w:rPr>
          <w:noProof/>
        </w:rPr>
        <w:t>1.</w:t>
      </w:r>
      <w:r>
        <w:rPr>
          <w:noProof/>
        </w:rPr>
        <w:tab/>
        <w:t>OZADJE PREDLOGA</w:t>
      </w:r>
    </w:p>
    <w:p>
      <w:pPr>
        <w:pStyle w:val="ManualHeading2"/>
        <w:rPr>
          <w:rFonts w:eastAsia="Arial Unicode MS"/>
          <w:noProof/>
        </w:rPr>
      </w:pPr>
      <w:r>
        <w:rPr>
          <w:noProof/>
          <w:u w:color="000000"/>
          <w:bdr w:val="nil"/>
        </w:rPr>
        <w:t>•</w:t>
      </w:r>
      <w:r>
        <w:rPr>
          <w:noProof/>
        </w:rPr>
        <w:tab/>
        <w:t>Razlogi za predlog in njegovi cilji</w:t>
      </w:r>
    </w:p>
    <w:p>
      <w:pPr>
        <w:rPr>
          <w:noProof/>
        </w:rPr>
      </w:pPr>
      <w:r>
        <w:rPr>
          <w:noProof/>
        </w:rPr>
        <w:t>Evropska komisija je 14. januarja 2020 sprejela zakonodajni predlog</w:t>
      </w:r>
      <w:r>
        <w:rPr>
          <w:rStyle w:val="FootnoteReference"/>
          <w:rFonts w:eastAsia="Arial Unicode MS"/>
          <w:noProof/>
        </w:rPr>
        <w:footnoteReference w:id="2"/>
      </w:r>
      <w:r>
        <w:rPr>
          <w:noProof/>
        </w:rPr>
        <w:t xml:space="preserve"> o ustanovitvi Sklada za pravični prehod, skupaj s predlogom</w:t>
      </w:r>
      <w:r>
        <w:rPr>
          <w:rStyle w:val="FootnoteReference"/>
          <w:rFonts w:eastAsia="Arial Unicode MS"/>
          <w:noProof/>
        </w:rPr>
        <w:footnoteReference w:id="3"/>
      </w:r>
      <w:r>
        <w:rPr>
          <w:noProof/>
        </w:rPr>
        <w:t xml:space="preserve"> za spremembo zakonodajnega predloga uredbe o določitvi skupnih določb.</w:t>
      </w:r>
    </w:p>
    <w:p>
      <w:pPr>
        <w:rPr>
          <w:noProof/>
        </w:rPr>
      </w:pPr>
      <w:r>
        <w:rPr>
          <w:noProof/>
        </w:rPr>
        <w:t>Sklad za pravični prehod si v skladu s ciljem doseganja podnebne nevtralnosti EU do leta 2050 na učinkovit in pošten način prizadeva za zmanjšanje gospodarskih, okoljskih in socialnih stroškov prehoda na podnebno nevtralno gospodarstvo v korist tistih ozemelj, ki čutijo najbolj negativne vplive prehoda. Podpora sklada je osredotočena na ukrepe za preusmeritev gospodarstva, prekvalificiranje prizadetih delavcev in pomoč pri iskanju zaposlitve.</w:t>
      </w:r>
    </w:p>
    <w:p>
      <w:pPr>
        <w:rPr>
          <w:noProof/>
        </w:rPr>
      </w:pPr>
      <w:r>
        <w:rPr>
          <w:noProof/>
        </w:rPr>
        <w:t>Zaradi izbruha koronavirusne bolezni 19 (v nadaljnjem besedilu: COVID-19) so bile številne vlade primorane uvesti ukrepe brez primere za zajezitev pandemije. To je privedlo do strmega padca ravni proizvodnje v številnih gospodarstvih s hudimi socialnimi posledicami in bo predstavljalo velike izzive za javne finance in upravljanje dolga v prihodnjih letih, kar lahko omeji javne naložbe, ki so potrebne za gospodarsko okrevanje.</w:t>
      </w:r>
    </w:p>
    <w:p>
      <w:pPr>
        <w:rPr>
          <w:noProof/>
        </w:rPr>
      </w:pPr>
      <w:r>
        <w:rPr>
          <w:noProof/>
        </w:rPr>
        <w:t>Poleg tega se nacionalne in regionalne zmogljivosti za obravnavanje učinkov krize med državami članicami in regijami razlikujejo zaradi različnih gospodarskih struktur in fiskalnih položajev. Brez obravnave teh razlik bi lahko bilo okrevanje asimetrično in bi se regionalne razlike še povečale, kar bi lahko ogrozilo notranji trg ter finančno stabilnost euroobmočja in Unije kot celote.</w:t>
      </w:r>
    </w:p>
    <w:p>
      <w:pPr>
        <w:rPr>
          <w:noProof/>
        </w:rPr>
      </w:pPr>
      <w:r>
        <w:rPr>
          <w:noProof/>
        </w:rPr>
        <w:t>Da bi preprečili večanje razlik in se izognili neenakomernemu okrevanju, je treba državam članicam in regijam kratkoročno in srednjeročno zagotoviti dodatno podporo, ki bo njihovim gospodarstvom in družbam pomagala prebroditi trenutne razmere ter omogočila hitro in trajnostno okrevanje njihovih gospodarstev.</w:t>
      </w:r>
    </w:p>
    <w:p>
      <w:pPr>
        <w:rPr>
          <w:noProof/>
        </w:rPr>
      </w:pPr>
      <w:r>
        <w:rPr>
          <w:noProof/>
        </w:rPr>
        <w:t xml:space="preserve">V ta namen je treba pospešiti naložbe v zeleni prehod, da bi ustvarili pogoje za dolgoročno rast Evrope in odpornost evropskega gospodarstva na prihodnje pretrese. To bi se moralo v celoti odražati v prihodnjih programih in prednostnih naložbah. Pospešeno ukinjanje pridobivanja fosilnih goriv in ogljično intenzivnih dejavnosti s ciljno usmerjeno podporo za gospodarsko diverzifikacijo ter ustvarjanje novih gospodarskih priložnosti in delovnih mest ima ogromen potencial za spodbuditev rasti evropskega gospodarstva. V ospredju naših prizadevanj mora biti to, da regijam in državljanom omogočimo, da se uspešno spopadejo s prehodom na podnebno nevtralno gospodarstvo. </w:t>
      </w:r>
    </w:p>
    <w:p>
      <w:pPr>
        <w:rPr>
          <w:noProof/>
        </w:rPr>
      </w:pPr>
      <w:r>
        <w:rPr>
          <w:noProof/>
        </w:rPr>
        <w:t>Zato se predlaga, da se Skladu za pravični prehod dajo na voljo dodatna sredstva v višini 35 613 048 000 EUR (v tekočih cenah). Od teh dodatnih sredstev bi se moralo 2 810 048 000 EUR črpati iz proračunskih sredstev, s čimer bi se skupna sredstva v naslednjem večletnem finančnem okviru povišala na 11 270 459 000 EUR; ta sredstva bi bilo treba razporediti tekom tekočih pogajanj na ravni Evropskega sveta. Preostala dodatna sredstva v višini 32 803 000 000 EUR bodo namenjena za obdobje od leta 2021 do leta 2024 in se štejejo za zunanje namenske prejemke, ki izhajajo iz evropskega instrumenta za okrevanje.</w:t>
      </w:r>
    </w:p>
    <w:p>
      <w:pPr>
        <w:rPr>
          <w:noProof/>
        </w:rPr>
      </w:pPr>
      <w:r>
        <w:rPr>
          <w:noProof/>
        </w:rPr>
        <w:lastRenderedPageBreak/>
        <w:t xml:space="preserve">Zneski bodo razdeljeni med države članice glede na njihovo sposobnost financiranja naložb, potrebnih za omogočanje prehoda na podnebno nevtralnost, in sicer v skladu z metodologijo iz Priloge I k predlogu uredbe o Skladu za pravični prehod. </w:t>
      </w:r>
    </w:p>
    <w:p>
      <w:pPr>
        <w:rPr>
          <w:noProof/>
        </w:rPr>
      </w:pPr>
      <w:r>
        <w:rPr>
          <w:noProof/>
        </w:rPr>
        <w:t>Z odstopanjem od pravil, določenih v finančni uredbi, ki se uporabljajo za zunanje namenske prejemke,  se bodo za te dodatna sredstva uporabljala pravila, določena v uredbi o skupnih določbah, ko bodo dodeljeni programom, vključno s pravili iz uredbe o skupnih določbah o prevzemanju in sprostitvi obveznosti.</w:t>
      </w:r>
    </w:p>
    <w:p>
      <w:pPr>
        <w:rPr>
          <w:noProof/>
        </w:rPr>
      </w:pPr>
      <w:r>
        <w:rPr>
          <w:noProof/>
        </w:rPr>
        <w:t>Da bi ohranili sposobnost držav članic in regij, da uporabijo njim namenjena sredstva kohezijske politike za podporo ekonomski, socialni in teritorialni koheziji, dodatnih sredstev iz evropskega instrumenta za okrevanje ne bo treba prerazporediti iz nacionalnih dodelitev v okviru Evropskega sklada za regionalni razvoj in Evropskega socialnega sklada plus.</w:t>
      </w:r>
    </w:p>
    <w:p>
      <w:pPr>
        <w:pStyle w:val="ManualHeading2"/>
        <w:rPr>
          <w:rFonts w:eastAsia="Arial Unicode MS"/>
          <w:noProof/>
        </w:rPr>
      </w:pPr>
      <w:r>
        <w:rPr>
          <w:noProof/>
          <w:u w:color="000000"/>
          <w:bdr w:val="nil"/>
        </w:rPr>
        <w:t>•</w:t>
      </w:r>
      <w:r>
        <w:rPr>
          <w:noProof/>
        </w:rPr>
        <w:tab/>
        <w:t>Skladnost z drugimi instrumenti Unije</w:t>
      </w:r>
    </w:p>
    <w:p>
      <w:pPr>
        <w:pBdr>
          <w:top w:val="nil"/>
          <w:left w:val="nil"/>
          <w:bottom w:val="nil"/>
          <w:right w:val="nil"/>
          <w:between w:val="nil"/>
          <w:bar w:val="nil"/>
        </w:pBdr>
        <w:rPr>
          <w:noProof/>
        </w:rPr>
      </w:pPr>
      <w:r>
        <w:rPr>
          <w:noProof/>
        </w:rPr>
        <w:t xml:space="preserve">Podpora iz Sklada za pravični prehod bo dopolnjena z namenskim programom za pravični prehod v okviru InvestEU. Ta bo podpiral širši spekter naložb, zlasti s prispevanjem k prehodu z zagotavljanjem podpore za dejavnosti z nizkimi emisijami ogljika in dejavnosti, ki so odporne na podnebne spremembe, kot so naložbe v obnovljive vire in programi energijske učinkovitosti. Program bo lahko financiral tudi energetsko in prometno infrastrukturo, vključno s plinsko infrastrukturo in daljinskim ogrevanjem, pa tudi projekte za razogljičenje, gospodarsko diverzifikacijo regij in socialno infrastrukturo. </w:t>
      </w:r>
    </w:p>
    <w:p>
      <w:pPr>
        <w:pBdr>
          <w:top w:val="nil"/>
          <w:left w:val="nil"/>
          <w:bottom w:val="nil"/>
          <w:right w:val="nil"/>
          <w:between w:val="nil"/>
          <w:bar w:val="nil"/>
        </w:pBdr>
        <w:rPr>
          <w:noProof/>
        </w:rPr>
      </w:pPr>
      <w:r>
        <w:rPr>
          <w:noProof/>
        </w:rPr>
        <w:t>Poleg tega bo nov instrument za posojila v javnem sektorju, ki se bo izvajal z EIB, zagotavljal podporo za združevanje nepovratnih sredstev EU s posojili EIB za javne subjekte, da bi od tega imela korist najbolj prizadeta območja, opredeljena v območnih načrtih za pravični prehod.</w:t>
      </w:r>
    </w:p>
    <w:p>
      <w:pPr>
        <w:pBdr>
          <w:top w:val="nil"/>
          <w:left w:val="nil"/>
          <w:bottom w:val="nil"/>
          <w:right w:val="nil"/>
          <w:between w:val="nil"/>
          <w:bar w:val="nil"/>
        </w:pBdr>
        <w:rPr>
          <w:noProof/>
        </w:rPr>
      </w:pPr>
      <w:r>
        <w:rPr>
          <w:noProof/>
        </w:rPr>
        <w:t xml:space="preserve">Sinergije in dopolnjevanja med tremi stebri se bodo zagotovila z območnimi načrti za pravični prehod, v katerih bodo opredeljene razvojne potrebe najbolj prizadetih območij, ki izhajajo iz podnebnega prehoda. </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u w:color="000000"/>
          <w:bdr w:val="nil"/>
        </w:rPr>
        <w:t>•</w:t>
      </w:r>
      <w:r>
        <w:rPr>
          <w:noProof/>
        </w:rPr>
        <w:tab/>
      </w:r>
      <w:r>
        <w:rPr>
          <w:noProof/>
          <w:u w:color="000000"/>
          <w:bdr w:val="nil"/>
        </w:rPr>
        <w:t>Pravna podlaga</w:t>
      </w:r>
    </w:p>
    <w:p>
      <w:pPr>
        <w:rPr>
          <w:noProof/>
        </w:rPr>
      </w:pPr>
      <w:r>
        <w:rPr>
          <w:noProof/>
        </w:rPr>
        <w:t xml:space="preserve">Ukrepanje EU je upravičeno na podlagi odstavka 1 člena 174 PDEU: „[...] Unija [...] razvija in izvaja tiste svoje dejavnosti, ki vodijo h krepitvi njene ekonomske, socialne in teritorialne kohezije. Unija si še posebno prizadeva zmanjšati neskladje med stopnjami razvitosti različnih regij in zaostalost regij z najbolj omejenimi možnostmi.“ </w:t>
      </w:r>
    </w:p>
    <w:p>
      <w:pPr>
        <w:rPr>
          <w:noProof/>
        </w:rPr>
      </w:pPr>
      <w:r>
        <w:rPr>
          <w:noProof/>
        </w:rPr>
        <w:t>Za ustanovitev Sklada za pravični prehod je treba predlog utemeljiti na členu 175 PDEU, ki izrecno poziva Unijo k podpiranju uresničevanja ciljev iz člena 174 z delovanjem v okviru strukturnih skladov, EIB in drugih obstoječih finančnih instrumentov.</w:t>
      </w:r>
    </w:p>
    <w:p>
      <w:pPr>
        <w:rPr>
          <w:noProof/>
        </w:rPr>
      </w:pPr>
      <w:r>
        <w:rPr>
          <w:noProof/>
        </w:rPr>
        <w:t>Odstavek 3 člena 175 PDEU tudi določa, da „[č]e se izkaže, da so potrebne posebne dejavnosti zunaj skladov, in ne da bi posegali v ukrepe, sprejete v okviru drugih politik Unije, lahko Evropski parlament in Svet o teh dejavnostih odločata po rednem zakonodajnem postopku ter po posvetovanju z Ekonomsko-socialnim odborom in Odborom regij.“</w:t>
      </w:r>
    </w:p>
    <w:p>
      <w:pPr>
        <w:rPr>
          <w:noProof/>
        </w:rPr>
      </w:pPr>
      <w:r>
        <w:rPr>
          <w:noProof/>
        </w:rPr>
        <w:t>Predlog mora temeljiti tudi na členu 322(1)(a) PDEU, da se omogočijo ciljno usmerjena odstopanja od finančne uredbe.</w:t>
      </w:r>
    </w:p>
    <w:p>
      <w:pPr>
        <w:pStyle w:val="ManualHeading2"/>
        <w:rPr>
          <w:rFonts w:eastAsia="Arial Unicode MS"/>
          <w:noProof/>
          <w:u w:color="000000"/>
          <w:bdr w:val="nil"/>
        </w:rPr>
      </w:pPr>
      <w:r>
        <w:rPr>
          <w:noProof/>
          <w:u w:color="000000"/>
          <w:bdr w:val="nil"/>
        </w:rPr>
        <w:t>•</w:t>
      </w:r>
      <w:r>
        <w:rPr>
          <w:noProof/>
        </w:rPr>
        <w:tab/>
      </w:r>
      <w:r>
        <w:rPr>
          <w:noProof/>
          <w:u w:color="000000"/>
          <w:bdr w:val="nil"/>
        </w:rPr>
        <w:t>Subsidiarnost in sorazmernost</w:t>
      </w:r>
    </w:p>
    <w:p>
      <w:pPr>
        <w:rPr>
          <w:noProof/>
        </w:rPr>
      </w:pPr>
      <w:r>
        <w:rPr>
          <w:noProof/>
        </w:rPr>
        <w:t xml:space="preserve">V skladu s členom 4(2) PDEU si Unija z državami članicami deli pristojnost na področju ekonomske, socialne in teritorialne kohezije ter nekaterih vidikov socialne politike. Poleg tega </w:t>
      </w:r>
      <w:r>
        <w:rPr>
          <w:noProof/>
        </w:rPr>
        <w:lastRenderedPageBreak/>
        <w:t xml:space="preserve">je pristojna tudi za izvajanje ukrepov za podporo, uskladitev ali dopolnitev ukrepov držav članic na področju izobraževanja in poklicnega usposabljanja ter industrije (člen 6 PDEU). </w:t>
      </w:r>
    </w:p>
    <w:p>
      <w:pPr>
        <w:rPr>
          <w:noProof/>
        </w:rPr>
      </w:pPr>
      <w:r>
        <w:rPr>
          <w:noProof/>
        </w:rPr>
        <w:t xml:space="preserve">Izvajanje Sklada za pravični prehod v okviru deljenega upravljanja temelji na načelu subsidiarnosti. V okviru deljenega upravljanja Komisija naloge strateškega načrtovanja in izvajanja programov prenese na države članice in regije. Tako je ukrepanje Unije omejeno na to, kar je potrebno za doseganje ciljev Unije iz Pogodb. </w:t>
      </w:r>
    </w:p>
    <w:p>
      <w:pPr>
        <w:rPr>
          <w:noProof/>
        </w:rPr>
      </w:pPr>
      <w:r>
        <w:rPr>
          <w:noProof/>
        </w:rPr>
        <w:t>Namen deljenega upravljanja je zagotoviti, da se odločitve sprejemajo čim bliže državljanom ter da je ukrepanje na ravni EU upravičeno glede na možnosti in posebnosti na nacionalni, regionalni ali lokalni ravni. Deljeno upravljanje Evropo približuje državljanom in lokalne potrebe povezuje z evropskimi cilji. Poleg tega krepi odgovornost za cilje EU, saj si države članice in Komisija delijo pristojnost za odločanje ter skupaj sofinancirajo programe.</w:t>
      </w:r>
    </w:p>
    <w:p>
      <w:pPr>
        <w:pStyle w:val="ManualHeading2"/>
        <w:rPr>
          <w:rFonts w:eastAsia="Arial Unicode MS"/>
          <w:noProof/>
          <w:u w:color="000000"/>
          <w:bdr w:val="nil"/>
        </w:rPr>
      </w:pPr>
      <w:r>
        <w:rPr>
          <w:noProof/>
          <w:u w:color="000000"/>
          <w:bdr w:val="nil"/>
        </w:rPr>
        <w:t>•</w:t>
      </w:r>
      <w:r>
        <w:rPr>
          <w:noProof/>
        </w:rPr>
        <w:tab/>
      </w:r>
      <w:r>
        <w:rPr>
          <w:noProof/>
          <w:u w:color="000000"/>
          <w:bdr w:val="nil"/>
        </w:rPr>
        <w:t>Izbira instrumenta</w:t>
      </w:r>
    </w:p>
    <w:p>
      <w:pPr>
        <w:rPr>
          <w:noProof/>
        </w:rPr>
      </w:pPr>
      <w:r>
        <w:rPr>
          <w:noProof/>
        </w:rPr>
        <w:t>Ustrezen okvir za sklad za pravični prehod je kohezijska politika, saj je to glavna politika EU za obravnavanje strukturnih sprememb v evropskih regijah. Zagotavlja finančno podporo za naložbe na številnih področjih, ki prispevajo k ustvarjanju delovnih mest in k rasti, pri tem pa deluje v partnerstvu z akterji na terenu.</w:t>
      </w:r>
    </w:p>
    <w:p>
      <w:pPr>
        <w:rPr>
          <w:noProof/>
        </w:rPr>
      </w:pPr>
      <w:r>
        <w:rPr>
          <w:noProof/>
        </w:rPr>
        <w:t xml:space="preserve">Uporablja tudi celosten lokalni pristop, ki zagotavlja sinergije in skladnost med naložbami, ki se podpirajo v okviru Sklada za pravični prehod, in naložbami, ki se podpirajo v okviru glavnih programov kohezijske politike. To bo pospešilo gospodarski razvoj in preusmeritev zadevnih regij. </w:t>
      </w:r>
    </w:p>
    <w:p>
      <w:pPr>
        <w:rPr>
          <w:noProof/>
        </w:rPr>
      </w:pPr>
      <w:r>
        <w:rPr>
          <w:noProof/>
        </w:rPr>
        <w:t xml:space="preserve">Poleg tega zagotavlja odgovornost držav članic in regij. To je ključnega pomena za Sklad za pravični prehod, ki mora temeljiti na prilagojenih strategijah teritorialnega prehoda, s katerimi se bodo na celovit način obravnavali številni socialni, okoljski in gospodarski izzivi, ki jih prinaša prehod. </w:t>
      </w:r>
    </w:p>
    <w:p>
      <w:pPr>
        <w:rPr>
          <w:noProof/>
        </w:rPr>
      </w:pPr>
      <w:r>
        <w:rPr>
          <w:noProof/>
        </w:rPr>
        <w:t xml:space="preserve">Pri kohezijski politiki je izbira instrumenta uredba Evropskega parlamenta in Sveta v skladu z rednim zakonodajnim postopkom iz odstavka 3 člena 175 Pogodbe. </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u w:color="000000"/>
          <w:bdr w:val="nil"/>
        </w:rPr>
        <w:t>•</w:t>
      </w:r>
      <w:r>
        <w:rPr>
          <w:noProof/>
        </w:rPr>
        <w:tab/>
      </w:r>
      <w:r>
        <w:rPr>
          <w:noProof/>
          <w:u w:color="000000"/>
          <w:bdr w:val="nil"/>
        </w:rPr>
        <w:t>Naknadne ocene/preverjanja ustreznosti obstoječe zakonodaje</w:t>
      </w:r>
    </w:p>
    <w:p>
      <w:pPr>
        <w:rPr>
          <w:noProof/>
        </w:rPr>
      </w:pPr>
      <w:r>
        <w:rPr>
          <w:noProof/>
        </w:rPr>
        <w:t>n.r.</w:t>
      </w:r>
    </w:p>
    <w:p>
      <w:pPr>
        <w:pStyle w:val="ManualHeading2"/>
        <w:rPr>
          <w:rFonts w:eastAsia="Arial Unicode MS"/>
          <w:noProof/>
          <w:u w:color="000000"/>
          <w:bdr w:val="nil"/>
        </w:rPr>
      </w:pPr>
      <w:r>
        <w:rPr>
          <w:noProof/>
          <w:u w:color="000000"/>
          <w:bdr w:val="nil"/>
        </w:rPr>
        <w:t>•</w:t>
      </w:r>
      <w:r>
        <w:rPr>
          <w:noProof/>
        </w:rPr>
        <w:tab/>
      </w:r>
      <w:r>
        <w:rPr>
          <w:noProof/>
          <w:u w:color="000000"/>
          <w:bdr w:val="nil"/>
        </w:rPr>
        <w:t>Posvetovanja z zainteresiranimi stranmi</w:t>
      </w:r>
    </w:p>
    <w:p>
      <w:pPr>
        <w:rPr>
          <w:noProof/>
        </w:rPr>
      </w:pPr>
      <w:r>
        <w:rPr>
          <w:noProof/>
        </w:rPr>
        <w:t>Posvetovanja z zunanjimi zainteresiranimi stranmi ni bilo. Vendar pa predlog odraža razprave z državami članicami in Evropskim parlamentom, ki so potekale v zadnjih tednih v okviru pogajanj o predlogu o ustanovitvi Sklada za pravični prehod.</w:t>
      </w:r>
    </w:p>
    <w:p>
      <w:pPr>
        <w:rPr>
          <w:noProof/>
        </w:rPr>
      </w:pPr>
      <w:r>
        <w:rPr>
          <w:noProof/>
        </w:rPr>
        <w:t>Tako osnutek poročila poročevalca odbora za regionalni razvoj kot mnenje odbora za proračun sta predlagala znatno povečanje proračuna Sklada za pravični prehod.</w:t>
      </w:r>
    </w:p>
    <w:p>
      <w:pPr>
        <w:pStyle w:val="ManualHeading2"/>
        <w:rPr>
          <w:rFonts w:eastAsia="Arial Unicode MS"/>
          <w:noProof/>
          <w:u w:color="000000"/>
          <w:bdr w:val="nil"/>
        </w:rPr>
      </w:pPr>
      <w:r>
        <w:rPr>
          <w:noProof/>
          <w:u w:color="000000"/>
          <w:bdr w:val="nil"/>
        </w:rPr>
        <w:t>•</w:t>
      </w:r>
      <w:r>
        <w:rPr>
          <w:noProof/>
        </w:rPr>
        <w:tab/>
      </w:r>
      <w:r>
        <w:rPr>
          <w:noProof/>
          <w:u w:color="000000"/>
          <w:bdr w:val="nil"/>
        </w:rPr>
        <w:t>Zbiranje in uporaba strokovnih mnenj</w:t>
      </w:r>
    </w:p>
    <w:p>
      <w:pPr>
        <w:rPr>
          <w:noProof/>
        </w:rPr>
      </w:pPr>
      <w:r>
        <w:rPr>
          <w:noProof/>
        </w:rPr>
        <w:t>n.r.</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Ocena učinka</w:t>
      </w:r>
    </w:p>
    <w:p>
      <w:pPr>
        <w:rPr>
          <w:noProof/>
        </w:rPr>
      </w:pPr>
      <w:r>
        <w:rPr>
          <w:noProof/>
        </w:rPr>
        <w:t>Ocena učinka</w:t>
      </w:r>
      <w:r>
        <w:rPr>
          <w:rStyle w:val="FootnoteReference"/>
          <w:rFonts w:eastAsia="Arial Unicode MS"/>
          <w:noProof/>
        </w:rPr>
        <w:footnoteReference w:id="4"/>
      </w:r>
      <w:r>
        <w:rPr>
          <w:noProof/>
        </w:rPr>
        <w:t>, opravljena za pripravo predloga uredbe Evropskega parlamenta in Sveta o Evropskem skladu za regionalni razvoj in Kohezijskem skladu</w:t>
      </w:r>
      <w:r>
        <w:rPr>
          <w:rStyle w:val="FootnoteReference"/>
          <w:rFonts w:eastAsia="Arial Unicode MS"/>
          <w:noProof/>
        </w:rPr>
        <w:footnoteReference w:id="5"/>
      </w:r>
      <w:r>
        <w:rPr>
          <w:noProof/>
        </w:rPr>
        <w:t xml:space="preserve">, je podprla cilje in glavne značilnosti Sklada za pravični prehod. </w:t>
      </w:r>
    </w:p>
    <w:p>
      <w:pPr>
        <w:rPr>
          <w:noProof/>
        </w:rPr>
      </w:pPr>
      <w:r>
        <w:rPr>
          <w:noProof/>
        </w:rPr>
        <w:t xml:space="preserve">Predlagane spremembe predloga o Skladu za pravični prehod upoštevajo vse večje izzive, s katerimi se območja soočajo zaradi nedavne pandemije COVID-19. Razen povišanja sredstev so spremembe omejene in ne spreminjajo strukture in temeljev prvotnega predloga. Zato ni bila opravljena samostojna ocena učinka. </w:t>
      </w:r>
    </w:p>
    <w:p>
      <w:pPr>
        <w:pStyle w:val="ManualHeading2"/>
        <w:rPr>
          <w:rFonts w:eastAsia="Arial Unicode MS"/>
          <w:noProof/>
          <w:u w:color="000000"/>
          <w:bdr w:val="nil"/>
        </w:rPr>
      </w:pPr>
      <w:r>
        <w:rPr>
          <w:noProof/>
          <w:u w:color="000000"/>
          <w:bdr w:val="nil"/>
        </w:rPr>
        <w:t>•</w:t>
      </w:r>
      <w:r>
        <w:rPr>
          <w:noProof/>
        </w:rPr>
        <w:tab/>
      </w:r>
      <w:r>
        <w:rPr>
          <w:noProof/>
          <w:u w:color="000000"/>
          <w:bdr w:val="nil"/>
        </w:rPr>
        <w:t>Ustreznost in poenostavitev ureditve</w:t>
      </w:r>
    </w:p>
    <w:p>
      <w:pPr>
        <w:rPr>
          <w:noProof/>
        </w:rPr>
      </w:pPr>
      <w:r>
        <w:rPr>
          <w:noProof/>
        </w:rPr>
        <w:t>n.r.</w:t>
      </w:r>
    </w:p>
    <w:p>
      <w:pPr>
        <w:pStyle w:val="ManualHeading2"/>
        <w:rPr>
          <w:rFonts w:eastAsia="Arial Unicode MS"/>
          <w:noProof/>
          <w:u w:color="000000"/>
          <w:bdr w:val="nil"/>
        </w:rPr>
      </w:pPr>
      <w:r>
        <w:rPr>
          <w:noProof/>
          <w:u w:color="000000"/>
          <w:bdr w:val="nil"/>
        </w:rPr>
        <w:t>•</w:t>
      </w:r>
      <w:r>
        <w:rPr>
          <w:noProof/>
        </w:rPr>
        <w:tab/>
      </w:r>
      <w:r>
        <w:rPr>
          <w:noProof/>
          <w:u w:color="000000"/>
          <w:bdr w:val="nil"/>
        </w:rPr>
        <w:t>Temeljne pravice</w:t>
      </w:r>
    </w:p>
    <w:p>
      <w:pPr>
        <w:rPr>
          <w:noProof/>
        </w:rPr>
      </w:pPr>
      <w:r>
        <w:rPr>
          <w:noProof/>
        </w:rPr>
        <w:t>n.r.</w:t>
      </w:r>
    </w:p>
    <w:p>
      <w:pPr>
        <w:pStyle w:val="ManualHeading1"/>
        <w:rPr>
          <w:noProof/>
        </w:rPr>
      </w:pPr>
      <w:r>
        <w:rPr>
          <w:noProof/>
        </w:rPr>
        <w:t>4.</w:t>
      </w:r>
      <w:r>
        <w:rPr>
          <w:noProof/>
        </w:rPr>
        <w:tab/>
        <w:t>PRORAČUNSKE POSLEDICE</w:t>
      </w:r>
    </w:p>
    <w:p>
      <w:pPr>
        <w:rPr>
          <w:noProof/>
        </w:rPr>
      </w:pPr>
      <w:r>
        <w:rPr>
          <w:noProof/>
        </w:rPr>
        <w:t>Dodatna sredstva iz proračunskih odobritev v okviru večletnega finančnega okvira za obdobje 2021–2027 bodo omogočila dodatne obveznosti v letih 2021–2027 in plačila v letih 2022–2027 in po letu 2027.</w:t>
      </w:r>
    </w:p>
    <w:p>
      <w:pPr>
        <w:rPr>
          <w:noProof/>
        </w:rPr>
      </w:pPr>
      <w:r>
        <w:rPr>
          <w:noProof/>
        </w:rPr>
        <w:t>Dodatna sredstva, ki se bodo financirala v okviru predloga o evropskem instrumentu za okrevanje, bodo omogočila dodatne obveznosti v letih 2021, 2022, 2023 in 2024 ter plačila v letih od 2021 do 2027, ki bodo temeljila na zunanjih namenskih prejemkih.</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u w:color="000000"/>
          <w:bdr w:val="nil"/>
        </w:rPr>
        <w:t>•</w:t>
      </w:r>
      <w:r>
        <w:rPr>
          <w:noProof/>
        </w:rPr>
        <w:tab/>
      </w:r>
      <w:r>
        <w:rPr>
          <w:noProof/>
          <w:u w:color="000000"/>
          <w:bdr w:val="nil"/>
        </w:rPr>
        <w:t>Natančnejša pojasnitev posameznih določb predloga</w:t>
      </w:r>
    </w:p>
    <w:p>
      <w:pPr>
        <w:spacing w:before="0" w:after="240"/>
        <w:rPr>
          <w:rFonts w:eastAsia="Arial Unicode MS"/>
          <w:noProof/>
        </w:rPr>
      </w:pPr>
      <w:r>
        <w:rPr>
          <w:noProof/>
        </w:rPr>
        <w:t>Predlagane spremembe predloga o Skladu za pravični prehod so osredotočene na naslednje elemente:</w:t>
      </w:r>
    </w:p>
    <w:p>
      <w:pPr>
        <w:pStyle w:val="Bullet0"/>
        <w:numPr>
          <w:ilvl w:val="0"/>
          <w:numId w:val="10"/>
        </w:numPr>
        <w:rPr>
          <w:noProof/>
        </w:rPr>
      </w:pPr>
      <w:r>
        <w:rPr>
          <w:noProof/>
        </w:rPr>
        <w:t>povečanje sredstev z dodatnimi proračunskimi sredstvi in zunanjimi namenskimi prejemki,</w:t>
      </w:r>
    </w:p>
    <w:p>
      <w:pPr>
        <w:pStyle w:val="Bullet0"/>
        <w:rPr>
          <w:noProof/>
        </w:rPr>
      </w:pPr>
      <w:r>
        <w:rPr>
          <w:noProof/>
        </w:rPr>
        <w:t>brez obveznosti za dopolnitev teh dodatnih sredstev, financiranih v okviru evropskega instrumenta za okrevanje, s prerazporeditvami iz ESRR in ESS +,</w:t>
      </w:r>
    </w:p>
    <w:p>
      <w:pPr>
        <w:pStyle w:val="Bullet0"/>
        <w:rPr>
          <w:noProof/>
        </w:rPr>
      </w:pPr>
      <w:r>
        <w:rPr>
          <w:noProof/>
        </w:rPr>
        <w:t>sprememba Priloge I, da se ta prilagodi višji ravni predlaganih sredstev.</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2020/0006 (COD)</w:t>
      </w:r>
    </w:p>
    <w:p>
      <w:pPr>
        <w:pStyle w:val="Statut"/>
        <w:rPr>
          <w:noProof/>
        </w:rPr>
      </w:pPr>
      <w:r>
        <w:rPr>
          <w:noProof/>
        </w:rPr>
        <w:t>Spremenjeni predlog</w:t>
      </w:r>
    </w:p>
    <w:p>
      <w:pPr>
        <w:pStyle w:val="Typedudocument"/>
        <w:rPr>
          <w:noProof/>
        </w:rPr>
      </w:pPr>
      <w:r>
        <w:rPr>
          <w:noProof/>
        </w:rPr>
        <w:t>UREDBA EVROPSKEGA PARLAMENTA IN SVETA</w:t>
      </w:r>
    </w:p>
    <w:p>
      <w:pPr>
        <w:pStyle w:val="Titreobjet"/>
        <w:rPr>
          <w:noProof/>
        </w:rPr>
      </w:pPr>
      <w:r>
        <w:rPr>
          <w:noProof/>
        </w:rPr>
        <w:t>o ustanovitvi Sklada za pravični prehod</w:t>
      </w:r>
    </w:p>
    <w:p>
      <w:pPr>
        <w:rPr>
          <w:noProof/>
        </w:rPr>
      </w:pPr>
      <w:r>
        <w:rPr>
          <w:noProof/>
        </w:rPr>
        <w:t>Predlog Komisije COM(2020) 22 se spremeni:</w:t>
      </w:r>
    </w:p>
    <w:p>
      <w:pPr>
        <w:pStyle w:val="ManualNumPar1"/>
        <w:rPr>
          <w:noProof/>
        </w:rPr>
      </w:pPr>
      <w:r>
        <w:rPr>
          <w:noProof/>
        </w:rPr>
        <w:t>1.</w:t>
      </w:r>
      <w:r>
        <w:rPr>
          <w:noProof/>
        </w:rPr>
        <w:tab/>
        <w:t xml:space="preserve">preambula se spremeni: </w:t>
      </w:r>
    </w:p>
    <w:p>
      <w:pPr>
        <w:pStyle w:val="Point1"/>
        <w:rPr>
          <w:noProof/>
        </w:rPr>
      </w:pPr>
      <w:r>
        <w:rPr>
          <w:noProof/>
        </w:rPr>
        <w:t>(a)</w:t>
      </w:r>
      <w:r>
        <w:rPr>
          <w:noProof/>
        </w:rPr>
        <w:tab/>
        <w:t xml:space="preserve">prvi odstavek se nadomesti z naslednjim: </w:t>
      </w:r>
    </w:p>
    <w:p>
      <w:pPr>
        <w:pStyle w:val="Text2"/>
        <w:rPr>
          <w:noProof/>
        </w:rPr>
      </w:pPr>
      <w:r>
        <w:rPr>
          <w:noProof/>
        </w:rPr>
        <w:t>„ob upoštevanju Pogodbe o delovanju Evropske unije ter zlasti tretjega odstavka člena 175 in člena 322(1)(a) Pogodbe,“;</w:t>
      </w:r>
    </w:p>
    <w:p>
      <w:pPr>
        <w:pStyle w:val="Point1"/>
        <w:rPr>
          <w:noProof/>
        </w:rPr>
      </w:pPr>
      <w:r>
        <w:rPr>
          <w:noProof/>
        </w:rPr>
        <w:t>(b)</w:t>
      </w:r>
      <w:r>
        <w:rPr>
          <w:noProof/>
        </w:rPr>
        <w:tab/>
        <w:t xml:space="preserve">vstavi se nov šesti odstavek: </w:t>
      </w:r>
    </w:p>
    <w:p>
      <w:pPr>
        <w:pStyle w:val="Text2"/>
        <w:rPr>
          <w:noProof/>
        </w:rPr>
      </w:pPr>
      <w:r>
        <w:rPr>
          <w:noProof/>
        </w:rPr>
        <w:t>„ob upoštevanju mnenja Računskega sodišča</w:t>
      </w:r>
      <w:r>
        <w:rPr>
          <w:rStyle w:val="FootnoteReference"/>
          <w:noProof/>
        </w:rPr>
        <w:footnoteReference w:id="6"/>
      </w:r>
      <w:r>
        <w:rPr>
          <w:noProof/>
        </w:rPr>
        <w:t>,“;</w:t>
      </w:r>
    </w:p>
    <w:p>
      <w:pPr>
        <w:pStyle w:val="ManualNumPar1"/>
        <w:rPr>
          <w:noProof/>
        </w:rPr>
      </w:pPr>
      <w:r>
        <w:rPr>
          <w:noProof/>
        </w:rPr>
        <w:t>2.</w:t>
      </w:r>
      <w:r>
        <w:rPr>
          <w:noProof/>
        </w:rPr>
        <w:tab/>
        <w:t>vstavi se naslednja uvodna izjava (8 a):</w:t>
      </w:r>
    </w:p>
    <w:p>
      <w:pPr>
        <w:pStyle w:val="Text1"/>
        <w:rPr>
          <w:noProof/>
        </w:rPr>
      </w:pPr>
      <w:r>
        <w:rPr>
          <w:noProof/>
        </w:rPr>
        <w:t>„(8a) Za to uredbo se uporabljajo horizontalna finančna pravila, ki sta jih sprejela Evropski parlament in Svet na podlagi člena 322 Pogodbe o delovanju Evropske unije. Ta pravila so določena v finančni uredbi, pri čemer določajo zlasti postopek za pripravo in izvrševanje proračuna prek nepovratnih sredstev, javnih naročil, nagrad in posrednega izvrševanja ter urejajo nadzor odgovornosti finančnih udeležencev. Pravila, sprejeta na podlagi člena 322 PDEU, se nanašajo tudi na zaščito proračuna Unije v primeru splošnih pomanjkljivosti v zvezi z načelom pravne države v državah članicah, saj je spoštovanje tega načela bistven predpogoj za dobro finančno poslovodenje in učinkovito financiranje EU.“;</w:t>
      </w:r>
    </w:p>
    <w:p>
      <w:pPr>
        <w:pStyle w:val="ManualNumPar1"/>
        <w:rPr>
          <w:noProof/>
        </w:rPr>
      </w:pPr>
      <w:r>
        <w:rPr>
          <w:noProof/>
        </w:rPr>
        <w:t>3.</w:t>
      </w:r>
      <w:r>
        <w:rPr>
          <w:noProof/>
        </w:rPr>
        <w:tab/>
        <w:t>vstavi se naslednja uvodna izjava (9a):</w:t>
      </w:r>
    </w:p>
    <w:p>
      <w:pPr>
        <w:pStyle w:val="Text1"/>
        <w:rPr>
          <w:noProof/>
        </w:rPr>
      </w:pPr>
      <w:r>
        <w:rPr>
          <w:noProof/>
        </w:rPr>
        <w:t>„(9a) V skladu z uredbo [o evropskem instrumentu za okrevanje, v nadaljnjem besedilu: ERI] in v mejah sredstev, dodeljenih z uredbo, bi bilo treba izvesti ukrepe za okrevanje in odpornost v okviru Sklada za pravični prehod, da se obravnavajo neprimerljive posledice krize zaradi COVID-19.  Takšna dodatna sredstva je treba uporabiti tako, da se zagotovi skladnost z roki iz uredbe [ERI].“;</w:t>
      </w:r>
    </w:p>
    <w:p>
      <w:pPr>
        <w:pStyle w:val="ManualNumPar1"/>
        <w:rPr>
          <w:noProof/>
        </w:rPr>
      </w:pPr>
      <w:r>
        <w:rPr>
          <w:noProof/>
        </w:rPr>
        <w:t>4.</w:t>
      </w:r>
      <w:r>
        <w:rPr>
          <w:noProof/>
        </w:rPr>
        <w:tab/>
        <w:t>člen 3(2) se nadomesti z naslednjim:</w:t>
      </w:r>
    </w:p>
    <w:p>
      <w:pPr>
        <w:pStyle w:val="Text1"/>
        <w:rPr>
          <w:noProof/>
        </w:rPr>
      </w:pPr>
      <w:r>
        <w:rPr>
          <w:noProof/>
        </w:rPr>
        <w:t>„2.</w:t>
      </w:r>
      <w:r>
        <w:rPr>
          <w:noProof/>
        </w:rPr>
        <w:tab/>
        <w:t>Sredstva Sklada za pravični prehod v okviru cilja „naložbe za delovna mesta in rast“, ki so na voljo za proračunske obveznosti za obdobje 2021–2027, znašajo 11 270 459 000 EUR v tekočih cenah ter se lahko v določenih primerih povečajo z dodatnimi sredstvi, dodeljenimi v proračunu Unije, in iz drugih virov v skladu z veljavnim temeljnim aktom.</w:t>
      </w:r>
    </w:p>
    <w:p>
      <w:pPr>
        <w:pStyle w:val="Text1"/>
        <w:rPr>
          <w:noProof/>
        </w:rPr>
      </w:pPr>
      <w:r>
        <w:rPr>
          <w:noProof/>
        </w:rPr>
        <w:t>0,35 % zneska iz prvega pododstavka se na pobudo Komisije dodeli za tehnično pomoč.“;</w:t>
      </w:r>
    </w:p>
    <w:p>
      <w:pPr>
        <w:pStyle w:val="ManualNumPar1"/>
        <w:rPr>
          <w:noProof/>
        </w:rPr>
      </w:pPr>
      <w:r>
        <w:rPr>
          <w:noProof/>
        </w:rPr>
        <w:t>5.</w:t>
      </w:r>
      <w:r>
        <w:rPr>
          <w:noProof/>
        </w:rPr>
        <w:tab/>
        <w:t>vstavi se naslednji člen 3a:</w:t>
      </w:r>
    </w:p>
    <w:p>
      <w:pPr>
        <w:pStyle w:val="Text1"/>
        <w:jc w:val="center"/>
        <w:rPr>
          <w:i/>
          <w:noProof/>
        </w:rPr>
      </w:pPr>
      <w:r>
        <w:rPr>
          <w:i/>
          <w:noProof/>
        </w:rPr>
        <w:lastRenderedPageBreak/>
        <w:t>„Člen 3a</w:t>
      </w:r>
    </w:p>
    <w:p>
      <w:pPr>
        <w:pStyle w:val="Text1"/>
        <w:jc w:val="center"/>
        <w:rPr>
          <w:b/>
          <w:noProof/>
        </w:rPr>
      </w:pPr>
      <w:r>
        <w:rPr>
          <w:b/>
          <w:noProof/>
        </w:rPr>
        <w:t>Sredstva iz instrumenta Evropske unije za okrevanje</w:t>
      </w:r>
    </w:p>
    <w:p>
      <w:pPr>
        <w:pStyle w:val="Point1"/>
        <w:rPr>
          <w:noProof/>
        </w:rPr>
      </w:pPr>
      <w:r>
        <w:rPr>
          <w:noProof/>
        </w:rPr>
        <w:t>1.</w:t>
      </w:r>
      <w:r>
        <w:rPr>
          <w:noProof/>
        </w:rPr>
        <w:tab/>
        <w:t>Ukrepi iz člena 2 uredbe [ERI] se izvajajo v okviru Sklada za pravični prehod v višini 32 803 000 000 EUR v tekočih cenah zneska iz točke (vi) člena 3(2)(a) navedene uredbe in ob upoštevanju člena 4(3), (4) in (8) navedene uredbe.</w:t>
      </w:r>
    </w:p>
    <w:p>
      <w:pPr>
        <w:pStyle w:val="Text2"/>
        <w:rPr>
          <w:noProof/>
        </w:rPr>
      </w:pPr>
      <w:r>
        <w:rPr>
          <w:noProof/>
        </w:rPr>
        <w:t xml:space="preserve">Ta znesek se šteje za druge vire iz člena 3(2) in pomeni zunanje namenske prejemke v skladu s členom 21(5) Uredbe (EU, Euratom) 2018/1046. </w:t>
      </w:r>
    </w:p>
    <w:p>
      <w:pPr>
        <w:pStyle w:val="Text2"/>
        <w:rPr>
          <w:noProof/>
        </w:rPr>
      </w:pPr>
      <w:r>
        <w:rPr>
          <w:noProof/>
        </w:rPr>
        <w:t>Ti viri se poleg skupnih sredstev iz člena 3 dajo na voljo za proračunske obveznosti v okviru cilja „naložbe za delovna mesta in rast“ za leta od 2021 do 2024, kot sledi:</w:t>
      </w:r>
    </w:p>
    <w:p>
      <w:pPr>
        <w:pStyle w:val="Tiret2"/>
        <w:numPr>
          <w:ilvl w:val="0"/>
          <w:numId w:val="6"/>
        </w:numPr>
        <w:rPr>
          <w:rStyle w:val="conf-macro"/>
          <w:noProof/>
        </w:rPr>
      </w:pPr>
      <w:r>
        <w:rPr>
          <w:rStyle w:val="conf-macro"/>
          <w:noProof/>
        </w:rPr>
        <w:t>2021: 7 954 600 000 EUR;</w:t>
      </w:r>
    </w:p>
    <w:p>
      <w:pPr>
        <w:pStyle w:val="Tiret2"/>
        <w:rPr>
          <w:rStyle w:val="conf-macro"/>
          <w:noProof/>
        </w:rPr>
      </w:pPr>
      <w:r>
        <w:rPr>
          <w:rStyle w:val="conf-macro"/>
          <w:noProof/>
        </w:rPr>
        <w:t>2022: 8 114 600 000 EUR;</w:t>
      </w:r>
    </w:p>
    <w:p>
      <w:pPr>
        <w:pStyle w:val="Tiret2"/>
        <w:rPr>
          <w:rStyle w:val="conf-macro"/>
          <w:noProof/>
        </w:rPr>
      </w:pPr>
      <w:r>
        <w:rPr>
          <w:rStyle w:val="conf-macro"/>
          <w:noProof/>
        </w:rPr>
        <w:t>2023: 8 276 600 000 EUR;</w:t>
      </w:r>
    </w:p>
    <w:p>
      <w:pPr>
        <w:pStyle w:val="Tiret2"/>
        <w:rPr>
          <w:rStyle w:val="conf-macro"/>
          <w:noProof/>
        </w:rPr>
      </w:pPr>
      <w:r>
        <w:rPr>
          <w:rStyle w:val="conf-macro"/>
          <w:noProof/>
        </w:rPr>
        <w:t>2024: 8 441 600 000 EUR.</w:t>
      </w:r>
    </w:p>
    <w:p>
      <w:pPr>
        <w:pStyle w:val="Text2"/>
        <w:rPr>
          <w:noProof/>
        </w:rPr>
      </w:pPr>
      <w:r>
        <w:rPr>
          <w:noProof/>
        </w:rPr>
        <w:t xml:space="preserve">Poleg tega se 15 600 000 EUR v tekočih cenah sredstev iz prvega pododstavka da na razpolago za upravne odhodke. </w:t>
      </w:r>
    </w:p>
    <w:p>
      <w:pPr>
        <w:pStyle w:val="Point1"/>
        <w:rPr>
          <w:noProof/>
        </w:rPr>
      </w:pPr>
      <w:r>
        <w:rPr>
          <w:noProof/>
        </w:rPr>
        <w:t>2.</w:t>
      </w:r>
      <w:r>
        <w:rPr>
          <w:noProof/>
        </w:rPr>
        <w:tab/>
        <w:t>0,35 % zneska iz prvega pododstavka odstavka 1 se na pobudo Komisije dodeli za tehnično pomoč.</w:t>
      </w:r>
    </w:p>
    <w:p>
      <w:pPr>
        <w:pStyle w:val="Point1"/>
        <w:rPr>
          <w:noProof/>
        </w:rPr>
      </w:pPr>
      <w:r>
        <w:rPr>
          <w:noProof/>
        </w:rPr>
        <w:t>3.</w:t>
      </w:r>
      <w:r>
        <w:rPr>
          <w:noProof/>
        </w:rPr>
        <w:tab/>
        <w:t>Letna razčlenitev zneska iz odstavka 1 po državah članicah v skladu z metodologijo iz Priloge I se vključi v sklep Komisije iz člena 3(3).</w:t>
      </w:r>
    </w:p>
    <w:p>
      <w:pPr>
        <w:pStyle w:val="Point1"/>
        <w:rPr>
          <w:noProof/>
        </w:rPr>
      </w:pPr>
      <w:r>
        <w:rPr>
          <w:noProof/>
        </w:rPr>
        <w:t>4.</w:t>
      </w:r>
      <w:r>
        <w:rPr>
          <w:noProof/>
        </w:rPr>
        <w:tab/>
        <w:t xml:space="preserve">Z odstopanjem od člena [21a] Uredbe (EU) št. [nova uredba o skupnih določbah] znesek iz odstavka 1 ne zahteva dopolnilne podpore iz ESRR ali ESS +. </w:t>
      </w:r>
    </w:p>
    <w:p>
      <w:pPr>
        <w:pStyle w:val="Point1"/>
        <w:rPr>
          <w:noProof/>
        </w:rPr>
      </w:pPr>
      <w:r>
        <w:rPr>
          <w:noProof/>
        </w:rPr>
        <w:t>5.</w:t>
      </w:r>
      <w:r>
        <w:rPr>
          <w:noProof/>
        </w:rPr>
        <w:tab/>
        <w:t>Z odstopanjem od člena 14(3) finančne uredbe se pravila o sprostitvi obveznosti iz poglavja IV naslova VII Uredbe (EU) [nova uredba o skupnih določbah] uporabljajo za proračunske obveznosti, ki temeljijo na sredstvih iz odstavka 1. Z odstopanjem od člena 12(4)(c) finančne uredbe se ta sredstva ne uporabijo za naslednika zadevnega programa ali ukrepa.“;</w:t>
      </w:r>
    </w:p>
    <w:p>
      <w:pPr>
        <w:pStyle w:val="ManualNumPar1"/>
        <w:rPr>
          <w:noProof/>
        </w:rPr>
      </w:pPr>
      <w:r>
        <w:rPr>
          <w:noProof/>
        </w:rPr>
        <w:t>6.</w:t>
      </w:r>
      <w:r>
        <w:rPr>
          <w:noProof/>
        </w:rPr>
        <w:tab/>
        <w:t>člen 6(2) se nadomesti z naslednjim:</w:t>
      </w:r>
    </w:p>
    <w:p>
      <w:pPr>
        <w:pStyle w:val="Text1"/>
        <w:rPr>
          <w:noProof/>
        </w:rPr>
      </w:pPr>
      <w:r>
        <w:rPr>
          <w:noProof/>
        </w:rPr>
        <w:t>„2. Prednostna naloga ali prednostne naloge Sklada za pravični prehod zajemajo sredstva Sklada za pravični prehod, ki predstavljajo celoto ali del dodelitev iz navedenega sklada za države članice, ter sredstva, prerazporejena v skladu s členom [21a] Uredbe (EU) [nova uredba o skupnih določbah]. Skupni znesek sredstev ESRR in ESS+, prerazporejen na Sklad za pravični prehod, je najmanj enak enainpolkratniku zneska podpore iz Sklada za pravični prehod za to prednostno nalogo, brez sredstev iz odstavka 1 člena 3a, vendar ne presega trikratnika navedenega zneska.“;</w:t>
      </w:r>
    </w:p>
    <w:p>
      <w:pPr>
        <w:pStyle w:val="ManualNumPar1"/>
        <w:keepNext/>
        <w:keepLines/>
        <w:rPr>
          <w:noProof/>
        </w:rPr>
      </w:pPr>
      <w:r>
        <w:rPr>
          <w:noProof/>
        </w:rPr>
        <w:lastRenderedPageBreak/>
        <w:t>7.</w:t>
      </w:r>
      <w:r>
        <w:rPr>
          <w:noProof/>
        </w:rPr>
        <w:tab/>
        <w:t>Priloga I se spremeni v skladu s Prilogo k temu predlogu.</w:t>
      </w:r>
      <w:r>
        <w:rPr>
          <w:noProof/>
        </w:rPr>
        <w:tab/>
        <w:t xml:space="preserve"> </w:t>
      </w:r>
      <w:r>
        <w:rPr>
          <w:noProof/>
        </w:rPr>
        <w:br/>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p>
      <w:pPr>
        <w:rPr>
          <w:noProof/>
        </w:rPr>
        <w:sectPr>
          <w:pgSz w:w="11907" w:h="16840" w:code="9"/>
          <w:pgMar w:top="1134" w:right="1418" w:bottom="1134" w:left="1418" w:header="709" w:footer="709" w:gutter="0"/>
          <w:cols w:space="708"/>
          <w:docGrid w:linePitch="360"/>
        </w:sectPr>
      </w:pPr>
    </w:p>
    <w:p>
      <w:pPr>
        <w:pStyle w:val="Fichefinanciretitre"/>
        <w:rPr>
          <w:noProof/>
        </w:rPr>
      </w:pPr>
      <w:bookmarkStart w:id="1" w:name="_Toc514941970"/>
      <w:r>
        <w:rPr>
          <w:noProof/>
        </w:rPr>
        <w:lastRenderedPageBreak/>
        <w:t>OCENA FINANČNIH POSLEDIC ZAKONODAJNEGA PREDLOGA</w:t>
      </w:r>
      <w:bookmarkEnd w:id="1"/>
    </w:p>
    <w:p>
      <w:pPr>
        <w:pStyle w:val="ManualHeading1"/>
        <w:rPr>
          <w:noProof/>
        </w:rPr>
      </w:pPr>
      <w:bookmarkStart w:id="2" w:name="_Toc514941971"/>
      <w:bookmarkStart w:id="3" w:name="_Toc39839391"/>
      <w:r>
        <w:t>1.</w:t>
      </w:r>
      <w:r>
        <w:tab/>
      </w:r>
      <w:r>
        <w:rPr>
          <w:noProof/>
        </w:rPr>
        <w:t>OKVIR PREDLOGA/POBUDE</w:t>
      </w:r>
      <w:bookmarkEnd w:id="2"/>
      <w:bookmarkEnd w:id="3"/>
      <w:r>
        <w:rPr>
          <w:noProof/>
        </w:rPr>
        <w:t xml:space="preserve"> </w:t>
      </w:r>
    </w:p>
    <w:p>
      <w:pPr>
        <w:pStyle w:val="ManualHeading2"/>
        <w:rPr>
          <w:noProof/>
        </w:rPr>
      </w:pPr>
      <w:bookmarkStart w:id="4" w:name="_Toc514941972"/>
      <w:bookmarkStart w:id="5" w:name="_Toc39839392"/>
      <w:r>
        <w:t>1.1.</w:t>
      </w:r>
      <w:r>
        <w:tab/>
      </w:r>
      <w:r>
        <w:rPr>
          <w:noProof/>
        </w:rPr>
        <w:t>Naslov predloga/pobude</w:t>
      </w:r>
      <w:bookmarkEnd w:id="4"/>
      <w:bookmarkEnd w:id="5"/>
      <w:r>
        <w:rPr>
          <w:noProof/>
        </w:rPr>
        <w:t xml:space="preserve"> </w:t>
      </w:r>
    </w:p>
    <w:p>
      <w:pPr>
        <w:pBdr>
          <w:top w:val="single" w:sz="4" w:space="1" w:color="auto"/>
          <w:left w:val="single" w:sz="4" w:space="4" w:color="auto"/>
          <w:bottom w:val="single" w:sz="4" w:space="1" w:color="auto"/>
          <w:right w:val="single" w:sz="4" w:space="4" w:color="auto"/>
        </w:pBdr>
        <w:ind w:left="850"/>
        <w:rPr>
          <w:noProof/>
        </w:rPr>
      </w:pPr>
      <w:bookmarkStart w:id="6" w:name="_Toc514941973"/>
      <w:bookmarkStart w:id="7" w:name="_Toc39839393"/>
      <w:r>
        <w:rPr>
          <w:noProof/>
        </w:rPr>
        <w:t>Spremenjeni predlog uredbe Evropskega parlamenta in Sveta o ustanovitvi Sklada za pravični prehod</w:t>
      </w:r>
    </w:p>
    <w:p>
      <w:pPr>
        <w:pStyle w:val="ManualHeading2"/>
        <w:rPr>
          <w:noProof/>
        </w:rPr>
      </w:pPr>
      <w:r>
        <w:t>1.2.</w:t>
      </w:r>
      <w:r>
        <w:tab/>
      </w:r>
      <w:r>
        <w:rPr>
          <w:noProof/>
        </w:rPr>
        <w:t xml:space="preserve">Zadevna področja </w:t>
      </w:r>
      <w:r>
        <w:rPr>
          <w:i/>
          <w:noProof/>
        </w:rPr>
        <w:t>(programski sklop)</w:t>
      </w:r>
      <w:bookmarkEnd w:id="6"/>
      <w:bookmarkEnd w:id="7"/>
    </w:p>
    <w:p>
      <w:pPr>
        <w:pBdr>
          <w:top w:val="single" w:sz="4" w:space="1" w:color="auto"/>
          <w:left w:val="single" w:sz="4" w:space="4" w:color="auto"/>
          <w:bottom w:val="single" w:sz="4" w:space="1" w:color="auto"/>
          <w:right w:val="single" w:sz="4" w:space="4" w:color="auto"/>
        </w:pBdr>
        <w:ind w:left="850"/>
        <w:rPr>
          <w:noProof/>
        </w:rPr>
      </w:pPr>
      <w:bookmarkStart w:id="8" w:name="_Toc514941974"/>
      <w:r>
        <w:rPr>
          <w:noProof/>
        </w:rPr>
        <w:t>9 Okolje in podnebni ukrepi (2021–2027)</w:t>
      </w:r>
    </w:p>
    <w:p>
      <w:pPr>
        <w:pBdr>
          <w:top w:val="single" w:sz="4" w:space="1" w:color="auto"/>
          <w:left w:val="single" w:sz="4" w:space="4" w:color="auto"/>
          <w:bottom w:val="single" w:sz="4" w:space="1" w:color="auto"/>
          <w:right w:val="single" w:sz="4" w:space="4" w:color="auto"/>
        </w:pBdr>
        <w:ind w:left="850"/>
        <w:rPr>
          <w:noProof/>
        </w:rPr>
      </w:pPr>
    </w:p>
    <w:p>
      <w:pPr>
        <w:pStyle w:val="ManualHeading2"/>
        <w:rPr>
          <w:noProof/>
          <w:szCs w:val="24"/>
        </w:rPr>
      </w:pPr>
      <w:bookmarkStart w:id="9" w:name="_Toc39839394"/>
      <w:r>
        <w:t>1.3.</w:t>
      </w:r>
      <w:r>
        <w:tab/>
      </w:r>
      <w:r>
        <w:rPr>
          <w:noProof/>
        </w:rPr>
        <w:t>Ukrep, na katerega se predlog/pobuda nanaša</w:t>
      </w:r>
      <w:bookmarkEnd w:id="8"/>
      <w:bookmarkEnd w:id="9"/>
      <w:r>
        <w:rPr>
          <w:noProof/>
        </w:rPr>
        <w:t xml:space="preserve"> </w:t>
      </w:r>
    </w:p>
    <w:p>
      <w:pPr>
        <w:ind w:left="850"/>
        <w:rPr>
          <w:b/>
          <w:noProof/>
          <w:sz w:val="22"/>
        </w:rPr>
      </w:pPr>
      <w:r>
        <w:rPr>
          <w:noProof/>
          <w:sz w:val="22"/>
        </w:rPr>
        <w:sym w:font="Wingdings" w:char="F0A8"/>
      </w:r>
      <w:r>
        <w:rPr>
          <w:b/>
          <w:i/>
          <w:noProof/>
          <w:sz w:val="22"/>
        </w:rPr>
        <w:t xml:space="preserve"> </w:t>
      </w:r>
      <w:r>
        <w:rPr>
          <w:b/>
          <w:noProof/>
        </w:rPr>
        <w:t>Nov ukrep</w:t>
      </w:r>
      <w:r>
        <w:rPr>
          <w:b/>
          <w:noProof/>
          <w:sz w:val="22"/>
        </w:rPr>
        <w:t xml:space="preserve"> </w:t>
      </w:r>
    </w:p>
    <w:p>
      <w:pPr>
        <w:ind w:left="850"/>
        <w:rPr>
          <w:noProof/>
          <w:sz w:val="22"/>
        </w:rPr>
      </w:pPr>
      <w:r>
        <w:rPr>
          <w:noProof/>
          <w:sz w:val="22"/>
        </w:rPr>
        <w:sym w:font="Wingdings" w:char="F0A8"/>
      </w:r>
      <w:r>
        <w:rPr>
          <w:i/>
          <w:noProof/>
          <w:sz w:val="22"/>
        </w:rPr>
        <w:t xml:space="preserve"> </w:t>
      </w:r>
      <w:r>
        <w:rPr>
          <w:b/>
          <w:noProof/>
        </w:rPr>
        <w:t>Nov ukrep na podlagi pilotnega projekta / pripravljalnega ukrepa</w:t>
      </w:r>
      <w:r>
        <w:rPr>
          <w:rStyle w:val="FootnoteReference"/>
          <w:b/>
          <w:noProof/>
        </w:rPr>
        <w:footnoteReference w:id="7"/>
      </w:r>
      <w:r>
        <w:rPr>
          <w:noProof/>
          <w:sz w:val="22"/>
        </w:rPr>
        <w:t xml:space="preserve"> </w:t>
      </w:r>
    </w:p>
    <w:p>
      <w:pPr>
        <w:ind w:left="850"/>
        <w:rPr>
          <w:noProof/>
          <w:sz w:val="22"/>
        </w:rPr>
      </w:pPr>
      <w:r>
        <w:rPr>
          <w:noProof/>
          <w:sz w:val="22"/>
        </w:rPr>
        <w:t>X</w:t>
      </w:r>
      <w:r>
        <w:rPr>
          <w:noProof/>
        </w:rPr>
        <w:t xml:space="preserve"> </w:t>
      </w:r>
      <w:r>
        <w:rPr>
          <w:b/>
          <w:noProof/>
        </w:rPr>
        <w:t>Podaljšanje obstoječega ukrepa</w:t>
      </w:r>
      <w:r>
        <w:rPr>
          <w:noProof/>
          <w:sz w:val="22"/>
        </w:rPr>
        <w:t xml:space="preserve"> </w:t>
      </w:r>
    </w:p>
    <w:p>
      <w:pPr>
        <w:ind w:left="850"/>
        <w:rPr>
          <w:noProof/>
        </w:rPr>
      </w:pPr>
      <w:r>
        <w:rPr>
          <w:noProof/>
          <w:sz w:val="22"/>
        </w:rPr>
        <w:sym w:font="Wingdings" w:char="F0A8"/>
      </w:r>
      <w:r>
        <w:rPr>
          <w:i/>
          <w:noProof/>
          <w:sz w:val="22"/>
        </w:rPr>
        <w:t xml:space="preserve"> </w:t>
      </w:r>
      <w:r>
        <w:rPr>
          <w:b/>
          <w:noProof/>
        </w:rPr>
        <w:t>Združitev ali preusmeritev enega ali več ukrepov v drug/nov ukrep</w:t>
      </w:r>
      <w:r>
        <w:rPr>
          <w:noProof/>
        </w:rPr>
        <w:t xml:space="preserve"> </w:t>
      </w:r>
    </w:p>
    <w:p>
      <w:pPr>
        <w:pStyle w:val="ManualHeading2"/>
        <w:rPr>
          <w:noProof/>
          <w:szCs w:val="24"/>
        </w:rPr>
      </w:pPr>
      <w:bookmarkStart w:id="10" w:name="_Toc514941975"/>
      <w:bookmarkStart w:id="11" w:name="_Toc39839395"/>
      <w:r>
        <w:t>1.4.</w:t>
      </w:r>
      <w:r>
        <w:tab/>
      </w:r>
      <w:r>
        <w:rPr>
          <w:noProof/>
        </w:rPr>
        <w:t>Utemeljitev predloga/pobude</w:t>
      </w:r>
      <w:bookmarkEnd w:id="10"/>
      <w:r>
        <w:rPr>
          <w:noProof/>
        </w:rPr>
        <w:t xml:space="preserve"> </w:t>
      </w:r>
      <w:bookmarkEnd w:id="11"/>
    </w:p>
    <w:p>
      <w:pPr>
        <w:pStyle w:val="ManualHeading3"/>
        <w:rPr>
          <w:rStyle w:val="Heading3Char"/>
          <w:i/>
          <w:noProof/>
          <w:lang w:val="sl-SI"/>
        </w:rPr>
      </w:pPr>
      <w:bookmarkStart w:id="12" w:name="_Toc514941976"/>
      <w:bookmarkStart w:id="13" w:name="_Toc39839396"/>
      <w:r>
        <w:rPr>
          <w:rStyle w:val="Heading3Char"/>
        </w:rPr>
        <w:t>1.4.1.</w:t>
      </w:r>
      <w:r>
        <w:rPr>
          <w:rStyle w:val="Heading3Char"/>
        </w:rPr>
        <w:tab/>
      </w:r>
      <w:r>
        <w:rPr>
          <w:noProof/>
        </w:rPr>
        <w:t xml:space="preserve">Potrebe, ki jih je treba zadovoljiti kratkoročno ali dolgoročno, vključno s podrobno časovnico za </w:t>
      </w:r>
      <w:r>
        <w:rPr>
          <w:rStyle w:val="Heading3Char"/>
          <w:i/>
          <w:noProof/>
          <w:lang w:val="sl-SI"/>
        </w:rPr>
        <w:t>uvajanje ustreznih ukrepov za izvajanje pobude</w:t>
      </w:r>
      <w:bookmarkEnd w:id="12"/>
      <w:bookmarkEnd w:id="13"/>
    </w:p>
    <w:p>
      <w:pPr>
        <w:pBdr>
          <w:top w:val="single" w:sz="4" w:space="1" w:color="auto"/>
          <w:left w:val="single" w:sz="4" w:space="4" w:color="auto"/>
          <w:bottom w:val="single" w:sz="4" w:space="1" w:color="auto"/>
          <w:right w:val="single" w:sz="4" w:space="4" w:color="auto"/>
        </w:pBdr>
        <w:ind w:left="850"/>
        <w:rPr>
          <w:noProof/>
        </w:rPr>
      </w:pPr>
      <w:r>
        <w:rPr>
          <w:noProof/>
        </w:rPr>
        <w:t>Predlaga se sprememba predloga uredbe o ustanovitvi Sklada za pravični prehod za zagotovitev pospešitve potrebnih naložb v zeleni prehod, da bi ustvarili pogoje za dolgoročno rast Evrope in odpornost evropskega gospodarstva na prihodnje pretrese. Zato se predlaga, da se Skladu za pravični prehod dajo na voljo dodatna sredstva v višini 35 613 048 000 EUR (v tekočih cenah). Od teh dodatnih sredstev bi se moralo 2 810 048 000 EUR v tekočih cenah črpati iz proračunskih sredstev, s čimer bi se skupna sredstva v naslednjem večletnem finančnem okviru povišala na 11 270 459 000 EUR; ta sredstva bi bilo treba razporediti tekom tekočih pogajanj na ravni Evropskega sveta. Preostala dodatna sredstva v višini 32 803 000 000 EUR bodo namenjena za obdobje od leta 2021 do leta 2024 in se štejejo za zunanje namenske prejemke, ki izhajajo iz evropskega instrumenta za okrevanje.</w:t>
      </w:r>
    </w:p>
    <w:p>
      <w:pPr>
        <w:pStyle w:val="ManualHeading3"/>
        <w:rPr>
          <w:noProof/>
        </w:rPr>
      </w:pPr>
      <w:bookmarkStart w:id="14" w:name="_Toc514941977"/>
      <w:bookmarkStart w:id="15" w:name="_Toc39839397"/>
      <w:r>
        <w:t>1.4.2.</w:t>
      </w:r>
      <w:r>
        <w:tab/>
      </w:r>
      <w:r>
        <w:rPr>
          <w:noProof/>
        </w:rPr>
        <w:t>Dodana vrednost ukrepanja Unije (ki je lahko posledica različnih dejavnikov, npr. boljšega usklajevanja, pravne varnosti, večje učinkovitosti ali dopolnjevanja). Za namene te točke je „dodana vrednost ukrepanja Unije“ vrednost, ki izhaja iz ukrepanja Unije in predstavlja dodatno vrednost poleg tiste, ki bi jo sicer ustvarile države članice same.</w:t>
      </w:r>
      <w:bookmarkEnd w:id="14"/>
      <w:bookmarkEnd w:id="15"/>
    </w:p>
    <w:p>
      <w:pPr>
        <w:pBdr>
          <w:top w:val="single" w:sz="4" w:space="1" w:color="auto"/>
          <w:left w:val="single" w:sz="4" w:space="4" w:color="auto"/>
          <w:bottom w:val="single" w:sz="4" w:space="1" w:color="auto"/>
          <w:right w:val="single" w:sz="4" w:space="4" w:color="auto"/>
        </w:pBdr>
        <w:ind w:left="850"/>
        <w:rPr>
          <w:noProof/>
        </w:rPr>
      </w:pPr>
      <w:r>
        <w:rPr>
          <w:noProof/>
        </w:rPr>
        <w:t xml:space="preserve">Sklad za pravični prehod si v skladu s ciljem doseganja podnebne nevtralnosti EU do leta 2050 na učinkovit in pošten način prizadeva za zmanjšanje gospodarskih, okoljskih in socialnih stroškov prehoda na podnebno nevtralno gospodarstvo v korist tistih ozemelj, ki čutijo najbolj negativne vplive prehoda. Podpora sklada je osredotočena na ukrepe za preusmeritev gospodarstva, prekvalificiranje prizadetih delavcev in pomoč pri iskanju zaposlitve. </w:t>
      </w:r>
    </w:p>
    <w:p>
      <w:pPr>
        <w:pBdr>
          <w:top w:val="single" w:sz="4" w:space="1" w:color="auto"/>
          <w:left w:val="single" w:sz="4" w:space="4" w:color="auto"/>
          <w:bottom w:val="single" w:sz="4" w:space="1" w:color="auto"/>
          <w:right w:val="single" w:sz="4" w:space="4" w:color="auto"/>
        </w:pBdr>
        <w:ind w:left="850"/>
        <w:rPr>
          <w:noProof/>
        </w:rPr>
      </w:pPr>
      <w:r>
        <w:rPr>
          <w:noProof/>
        </w:rPr>
        <w:t>Zaradi izbruha koronavirusne bolezni 19 (v nadaljnjem besedilu: COVID-19) so bile številne vlade primorane uvesti ukrepe brez primere za zajezitev pandemije. To je privedlo do strmega padca ravni proizvodnje v številnih gospodarstvih s hudimi socialnimi posledicami in bo predstavljalo velike izzive za javne finance in upravljanje dolga v prihodnjih letih, kar lahko omeji javne naložbe, ki so potrebne za gospodarsko okrevanje.</w:t>
      </w:r>
    </w:p>
    <w:p>
      <w:pPr>
        <w:pBdr>
          <w:top w:val="single" w:sz="4" w:space="1" w:color="auto"/>
          <w:left w:val="single" w:sz="4" w:space="4" w:color="auto"/>
          <w:bottom w:val="single" w:sz="4" w:space="1" w:color="auto"/>
          <w:right w:val="single" w:sz="4" w:space="4" w:color="auto"/>
        </w:pBdr>
        <w:ind w:left="850"/>
        <w:rPr>
          <w:noProof/>
        </w:rPr>
      </w:pPr>
      <w:r>
        <w:rPr>
          <w:noProof/>
        </w:rPr>
        <w:t>Poleg tega se nacionalne in regionalne zmogljivosti za obravnavanje učinkov krize med državami članicami in regijami razlikujejo zaradi različnih gospodarskih struktur in fiskalnih položajev. Brez obravnave teh razlik bi lahko bilo okrevanje asimetrično in bi se regionalne razlike še povečale, kar bi lahko ogrozilo notranji trg ter finančno stabilnost euroobmočja in Unije kot celote.</w:t>
      </w:r>
    </w:p>
    <w:p>
      <w:pPr>
        <w:pBdr>
          <w:top w:val="single" w:sz="4" w:space="1" w:color="auto"/>
          <w:left w:val="single" w:sz="4" w:space="4" w:color="auto"/>
          <w:bottom w:val="single" w:sz="4" w:space="1" w:color="auto"/>
          <w:right w:val="single" w:sz="4" w:space="4" w:color="auto"/>
        </w:pBdr>
        <w:ind w:left="850"/>
        <w:rPr>
          <w:noProof/>
        </w:rPr>
      </w:pPr>
      <w:r>
        <w:rPr>
          <w:noProof/>
        </w:rPr>
        <w:t>Da bi preprečili večanje razlik in se izognili neenakomernemu okrevanju, je treba državam članicam in regijam kratkoročno in srednjeročno zagotoviti dodatno podporo, ki bo njihovim gospodarstvom in družbam pomagala prebroditi trenutne razmere ter omogočila hitro in trajnostno okrevanje njihovih gospodarstev.</w:t>
      </w:r>
    </w:p>
    <w:p>
      <w:pPr>
        <w:pStyle w:val="ManualHeading3"/>
        <w:rPr>
          <w:noProof/>
        </w:rPr>
      </w:pPr>
      <w:bookmarkStart w:id="16" w:name="_Toc514941978"/>
      <w:bookmarkStart w:id="17" w:name="_Toc39839398"/>
      <w:r>
        <w:t>1.4.3.</w:t>
      </w:r>
      <w:r>
        <w:tab/>
      </w:r>
      <w:r>
        <w:rPr>
          <w:noProof/>
        </w:rPr>
        <w:t>Spoznanja iz podobnih izkušenj v preteklosti</w:t>
      </w:r>
      <w:bookmarkEnd w:id="16"/>
      <w:bookmarkEnd w:id="17"/>
    </w:p>
    <w:p>
      <w:pPr>
        <w:pStyle w:val="ManualHeading3"/>
        <w:rPr>
          <w:noProof/>
        </w:rPr>
      </w:pPr>
      <w:bookmarkStart w:id="18" w:name="_Toc514941979"/>
      <w:bookmarkStart w:id="19" w:name="_Toc39839399"/>
      <w:r>
        <w:t>1.4.4.</w:t>
      </w:r>
      <w:r>
        <w:tab/>
      </w:r>
      <w:r>
        <w:rPr>
          <w:noProof/>
        </w:rPr>
        <w:t>Skladnost in možne sinergije z drugimi ustreznimi instrumenti</w:t>
      </w:r>
      <w:bookmarkEnd w:id="18"/>
      <w:bookmarkEnd w:id="19"/>
    </w:p>
    <w:p>
      <w:pPr>
        <w:pBdr>
          <w:top w:val="single" w:sz="4" w:space="1" w:color="auto"/>
          <w:left w:val="single" w:sz="4" w:space="4" w:color="auto"/>
          <w:bottom w:val="single" w:sz="4" w:space="1" w:color="auto"/>
          <w:right w:val="single" w:sz="4" w:space="4" w:color="auto"/>
        </w:pBdr>
        <w:ind w:left="850"/>
        <w:rPr>
          <w:noProof/>
        </w:rPr>
      </w:pPr>
      <w:r>
        <w:rPr>
          <w:noProof/>
        </w:rPr>
        <w:t xml:space="preserve">Podpora iz Sklada za pravični prehod bo dopolnjena z namenskim programom za pravični prehod v okviru InvestEU. Ta bo podpiral širši spekter naložb, zlasti s prispevanjem k prehodu z zagotavljanjem podpore za dejavnosti z nizkimi emisijami ogljika in dejavnosti, ki so odporne na podnebne spremembe, kot so naložbe v obnovljive vire in programi energijske učinkovitosti. Program bo lahko financiral tudi energetsko in prometno infrastrukturo, vključno s plinsko infrastrukturo in daljinskim ogrevanjem, pa tudi projekte za razogljičenje, gospodarsko diverzifikacijo regij in socialno infrastrukturo. </w:t>
      </w:r>
    </w:p>
    <w:p>
      <w:pPr>
        <w:pBdr>
          <w:top w:val="single" w:sz="4" w:space="1" w:color="auto"/>
          <w:left w:val="single" w:sz="4" w:space="4" w:color="auto"/>
          <w:bottom w:val="single" w:sz="4" w:space="1" w:color="auto"/>
          <w:right w:val="single" w:sz="4" w:space="4" w:color="auto"/>
        </w:pBdr>
        <w:ind w:left="850"/>
        <w:rPr>
          <w:noProof/>
        </w:rPr>
      </w:pPr>
      <w:r>
        <w:rPr>
          <w:noProof/>
        </w:rPr>
        <w:t>Poleg tega bo nov instrument za posojila v javnem sektorju, ki se bo izvajal z EIB, zagotavljal podporo za združevanje nepovratnih sredstev EU s posojili EIB za javne subjekte, da bi od tega imela korist najbolj prizadeta območja, opredeljena v območnih načrtih za pravični prehod.</w:t>
      </w:r>
    </w:p>
    <w:p>
      <w:pPr>
        <w:pBdr>
          <w:top w:val="single" w:sz="4" w:space="1" w:color="auto"/>
          <w:left w:val="single" w:sz="4" w:space="4" w:color="auto"/>
          <w:bottom w:val="single" w:sz="4" w:space="1" w:color="auto"/>
          <w:right w:val="single" w:sz="4" w:space="4" w:color="auto"/>
        </w:pBdr>
        <w:ind w:left="850"/>
        <w:rPr>
          <w:noProof/>
        </w:rPr>
      </w:pPr>
      <w:r>
        <w:rPr>
          <w:noProof/>
        </w:rPr>
        <w:t>Sinergije in dopolnjevanja med tremi stebri se bodo zagotovila z območnimi načrti za pravični prehod, v katerih bodo opredeljene razvojne potrebe najbolj prizadetih območij, ki izhajajo iz podnebnega prehoda.</w:t>
      </w:r>
    </w:p>
    <w:p>
      <w:pPr>
        <w:pBdr>
          <w:top w:val="single" w:sz="4" w:space="1" w:color="auto"/>
          <w:left w:val="single" w:sz="4" w:space="4" w:color="auto"/>
          <w:bottom w:val="single" w:sz="4" w:space="1" w:color="auto"/>
          <w:right w:val="single" w:sz="4" w:space="4" w:color="auto"/>
        </w:pBdr>
        <w:ind w:left="850"/>
        <w:rPr>
          <w:noProof/>
        </w:rPr>
      </w:pPr>
      <w:r>
        <w:rPr>
          <w:noProof/>
        </w:rPr>
        <w:t xml:space="preserve">Predlog je omejen na ciljno usmerjene spremembe, ki so potrebne za oblikovanje pravil za dajanje na voljo dodatnih virov in urejanje njihovega izvrševanja. Predlog je skladen z uredbo o skupnih določbah. Ukrepi so skladni s predlogom Komisije za sklad za okrevanje. </w:t>
      </w:r>
    </w:p>
    <w:p>
      <w:pPr>
        <w:pBdr>
          <w:top w:val="single" w:sz="4" w:space="1" w:color="auto"/>
          <w:left w:val="single" w:sz="4" w:space="4" w:color="auto"/>
          <w:bottom w:val="single" w:sz="4" w:space="1" w:color="auto"/>
          <w:right w:val="single" w:sz="4" w:space="4" w:color="auto"/>
        </w:pBdr>
        <w:ind w:left="850"/>
        <w:rPr>
          <w:noProof/>
        </w:rPr>
      </w:pPr>
      <w:r>
        <w:rPr>
          <w:noProof/>
        </w:rPr>
        <w:t>Ti dodatni zneski bodo razdeljeni med države članice glede na njihovo sposobnost financiranja naložb, potrebnih za omogočanje prehoda na podnebno nevtralnost, in sicer v skladu z metodologijo iz Priloge I k predlogu uredbe o Skladu za pravični prehod. Da bi ohranili sposobnost držav članic in regij, da uporabijo njim namenjena sredstva kohezijske politike za podporo ekonomski, socialni in teritorialni koheziji, dodatnih sredstev iz evropskega instrumenta za okrevanje ne bo treba prerazporediti iz nacionalnih dodelitev v okviru Evropskega sklada za regionalni razvoj in Evropskega socialnega sklada plus.</w:t>
      </w:r>
    </w:p>
    <w:p>
      <w:pPr>
        <w:pStyle w:val="ManualHeading2"/>
        <w:rPr>
          <w:noProof/>
          <w:szCs w:val="24"/>
        </w:rPr>
      </w:pPr>
      <w:r>
        <w:rPr>
          <w:noProof/>
        </w:rPr>
        <w:br w:type="page"/>
      </w:r>
      <w:bookmarkStart w:id="20" w:name="_Toc514941980"/>
      <w:bookmarkStart w:id="21" w:name="_Toc39839400"/>
      <w:r>
        <w:t>1.5.</w:t>
      </w:r>
      <w:r>
        <w:tab/>
      </w:r>
      <w:r>
        <w:rPr>
          <w:noProof/>
        </w:rPr>
        <w:t>Trajanje predloga/pobude in finančnih posledic</w:t>
      </w:r>
      <w:bookmarkEnd w:id="20"/>
      <w:bookmarkEnd w:id="21"/>
      <w:r>
        <w:rPr>
          <w:noProof/>
        </w:rPr>
        <w:t xml:space="preserve"> </w:t>
      </w:r>
    </w:p>
    <w:p>
      <w:pPr>
        <w:ind w:left="850"/>
        <w:rPr>
          <w:noProof/>
        </w:rPr>
      </w:pPr>
      <w:r>
        <w:rPr>
          <w:noProof/>
        </w:rPr>
        <w:t>X</w:t>
      </w:r>
      <w:r>
        <w:rPr>
          <w:b/>
          <w:i/>
          <w:noProof/>
        </w:rPr>
        <w:t xml:space="preserve"> </w:t>
      </w:r>
      <w:r>
        <w:rPr>
          <w:b/>
          <w:noProof/>
        </w:rPr>
        <w:t xml:space="preserve">Časovno omejeno </w:t>
      </w:r>
    </w:p>
    <w:p>
      <w:pPr>
        <w:tabs>
          <w:tab w:val="num" w:pos="1134"/>
        </w:tabs>
        <w:ind w:left="1134" w:hanging="283"/>
        <w:rPr>
          <w:rFonts w:eastAsia="Times New Roman"/>
          <w:noProof/>
        </w:rPr>
      </w:pPr>
      <w:r>
        <w:rPr>
          <w:noProof/>
        </w:rPr>
        <w:sym w:font="Wingdings" w:char="F0A8"/>
      </w:r>
      <w:r>
        <w:rPr>
          <w:noProof/>
        </w:rPr>
        <w:tab/>
        <w:t xml:space="preserve">od [D. MMMM] LLLL do [D. MMMM] LLLL, </w:t>
      </w:r>
    </w:p>
    <w:p>
      <w:pPr>
        <w:tabs>
          <w:tab w:val="num" w:pos="1134"/>
        </w:tabs>
        <w:ind w:left="1134" w:hanging="283"/>
        <w:rPr>
          <w:rFonts w:eastAsia="Times New Roman"/>
          <w:noProof/>
        </w:rPr>
      </w:pPr>
      <w:r>
        <w:rPr>
          <w:noProof/>
        </w:rPr>
        <w:t>X</w:t>
      </w:r>
      <w:r>
        <w:rPr>
          <w:noProof/>
        </w:rPr>
        <w:tab/>
        <w:t xml:space="preserve">finančne posledice med letoma 2021 in 2027 za odobritve za prevzem obveznosti ter med letoma 2021 in 2027 za odobritve plačil. </w:t>
      </w:r>
    </w:p>
    <w:p>
      <w:pPr>
        <w:ind w:left="850"/>
        <w:rPr>
          <w:noProof/>
        </w:rPr>
      </w:pPr>
      <w:r>
        <w:rPr>
          <w:noProof/>
        </w:rPr>
        <w:sym w:font="Wingdings" w:char="F0A8"/>
      </w:r>
      <w:r>
        <w:rPr>
          <w:b/>
          <w:i/>
          <w:noProof/>
        </w:rPr>
        <w:t xml:space="preserve"> </w:t>
      </w:r>
      <w:r>
        <w:rPr>
          <w:b/>
          <w:noProof/>
        </w:rPr>
        <w:t>Časovno neomejeno</w:t>
      </w:r>
    </w:p>
    <w:p>
      <w:pPr>
        <w:tabs>
          <w:tab w:val="num" w:pos="1134"/>
        </w:tabs>
        <w:ind w:left="1134" w:hanging="283"/>
        <w:rPr>
          <w:rFonts w:eastAsia="Times New Roman"/>
          <w:noProof/>
        </w:rPr>
      </w:pPr>
      <w:r>
        <w:rPr>
          <w:noProof/>
        </w:rPr>
        <w:t>izvajanje z obdobjem uvajanja od leta 2021,</w:t>
      </w:r>
    </w:p>
    <w:p>
      <w:pPr>
        <w:tabs>
          <w:tab w:val="num" w:pos="1134"/>
        </w:tabs>
        <w:ind w:left="1134" w:hanging="283"/>
        <w:rPr>
          <w:rFonts w:eastAsia="Times New Roman"/>
          <w:noProof/>
        </w:rPr>
      </w:pPr>
      <w:r>
        <w:rPr>
          <w:noProof/>
        </w:rPr>
        <w:t>ki mu sledi izvajanje v celoti.</w:t>
      </w:r>
    </w:p>
    <w:p>
      <w:pPr>
        <w:pStyle w:val="ManualHeading2"/>
        <w:rPr>
          <w:noProof/>
          <w:szCs w:val="24"/>
        </w:rPr>
      </w:pPr>
      <w:bookmarkStart w:id="22" w:name="_Toc514941981"/>
      <w:bookmarkStart w:id="23" w:name="_Toc39839401"/>
      <w:r>
        <w:t>1.6.</w:t>
      </w:r>
      <w:r>
        <w:tab/>
      </w:r>
      <w:r>
        <w:rPr>
          <w:noProof/>
        </w:rPr>
        <w:t>Načrtovani načini upravljanja</w:t>
      </w:r>
      <w:bookmarkEnd w:id="22"/>
      <w:bookmarkEnd w:id="23"/>
      <w:r>
        <w:rPr>
          <w:rStyle w:val="FootnoteReference"/>
          <w:noProof/>
        </w:rPr>
        <w:footnoteReference w:id="8"/>
      </w:r>
      <w:r>
        <w:rPr>
          <w:noProof/>
          <w:vertAlign w:val="superscript"/>
        </w:rPr>
        <w:t xml:space="preserve"> </w:t>
      </w:r>
    </w:p>
    <w:p>
      <w:pPr>
        <w:ind w:left="850"/>
        <w:rPr>
          <w:noProof/>
        </w:rPr>
      </w:pPr>
      <w:r>
        <w:rPr>
          <w:noProof/>
        </w:rPr>
        <w:t>X</w:t>
      </w:r>
      <w:r>
        <w:rPr>
          <w:i/>
          <w:noProof/>
        </w:rPr>
        <w:t xml:space="preserve"> </w:t>
      </w:r>
      <w:r>
        <w:rPr>
          <w:b/>
          <w:noProof/>
        </w:rPr>
        <w:t>Neposredno upravljanje</w:t>
      </w:r>
      <w:r>
        <w:rPr>
          <w:noProof/>
        </w:rPr>
        <w:t xml:space="preserve"> – Komisija (za 0,35 % dodelitve za tehnično pomoč)</w:t>
      </w:r>
    </w:p>
    <w:p>
      <w:pPr>
        <w:tabs>
          <w:tab w:val="num" w:pos="1134"/>
        </w:tabs>
        <w:ind w:left="1134" w:hanging="283"/>
        <w:rPr>
          <w:rFonts w:eastAsia="Times New Roman" w:cs="EUAlbertina"/>
          <w:noProof/>
        </w:rPr>
      </w:pPr>
      <w:r>
        <w:rPr>
          <w:noProof/>
        </w:rPr>
        <w:t xml:space="preserve">X z lastnimi službami, vključno s svojim osebjem v delegacijah Unije, </w:t>
      </w:r>
    </w:p>
    <w:p>
      <w:pPr>
        <w:tabs>
          <w:tab w:val="num" w:pos="1134"/>
        </w:tabs>
        <w:ind w:left="1134" w:hanging="283"/>
        <w:rPr>
          <w:rFonts w:eastAsia="Times New Roman"/>
          <w:noProof/>
        </w:rPr>
      </w:pPr>
      <w:r>
        <w:rPr>
          <w:noProof/>
        </w:rPr>
        <w:sym w:font="Wingdings" w:char="F0A8"/>
      </w:r>
      <w:r>
        <w:rPr>
          <w:noProof/>
        </w:rPr>
        <w:tab/>
        <w:t xml:space="preserve">prek izvajalskih agencij. </w:t>
      </w:r>
    </w:p>
    <w:p>
      <w:pPr>
        <w:ind w:left="850"/>
        <w:rPr>
          <w:noProof/>
        </w:rPr>
      </w:pPr>
      <w:r>
        <w:rPr>
          <w:noProof/>
        </w:rPr>
        <w:t>X</w:t>
      </w:r>
      <w:r>
        <w:rPr>
          <w:i/>
          <w:noProof/>
        </w:rPr>
        <w:t xml:space="preserve"> </w:t>
      </w:r>
      <w:r>
        <w:rPr>
          <w:b/>
          <w:noProof/>
        </w:rPr>
        <w:t>Deljeno upravljanje</w:t>
      </w:r>
      <w:r>
        <w:rPr>
          <w:noProof/>
        </w:rPr>
        <w:t xml:space="preserve"> z državami članicami. </w:t>
      </w:r>
    </w:p>
    <w:p>
      <w:pPr>
        <w:ind w:left="850"/>
        <w:rPr>
          <w:noProof/>
        </w:rPr>
      </w:pPr>
      <w:r>
        <w:rPr>
          <w:noProof/>
        </w:rPr>
        <w:sym w:font="Wingdings" w:char="F0A8"/>
      </w:r>
      <w:r>
        <w:rPr>
          <w:i/>
          <w:noProof/>
        </w:rPr>
        <w:t xml:space="preserve"> </w:t>
      </w:r>
      <w:r>
        <w:rPr>
          <w:b/>
          <w:noProof/>
        </w:rPr>
        <w:t>Posredno upravljanje</w:t>
      </w:r>
      <w:r>
        <w:rPr>
          <w:noProof/>
        </w:rPr>
        <w:t>, tako da se naloge izvrševanja proračuna poverijo:</w:t>
      </w:r>
    </w:p>
    <w:p>
      <w:pPr>
        <w:tabs>
          <w:tab w:val="num" w:pos="1134"/>
        </w:tabs>
        <w:ind w:left="1134" w:hanging="283"/>
        <w:rPr>
          <w:rFonts w:eastAsia="Times New Roman"/>
          <w:noProof/>
        </w:rPr>
      </w:pPr>
      <w:r>
        <w:rPr>
          <w:noProof/>
        </w:rPr>
        <w:sym w:font="Wingdings" w:char="F0A8"/>
      </w:r>
      <w:r>
        <w:rPr>
          <w:noProof/>
        </w:rPr>
        <w:t xml:space="preserve"> tretjim državam ali organom, ki jih te imenujejo,</w:t>
      </w:r>
    </w:p>
    <w:p>
      <w:pPr>
        <w:tabs>
          <w:tab w:val="num" w:pos="1134"/>
        </w:tabs>
        <w:ind w:left="1134" w:hanging="283"/>
        <w:rPr>
          <w:rFonts w:eastAsia="Times New Roman"/>
          <w:noProof/>
        </w:rPr>
      </w:pPr>
      <w:r>
        <w:rPr>
          <w:noProof/>
        </w:rPr>
        <w:sym w:font="Wingdings" w:char="F0A8"/>
      </w:r>
      <w:r>
        <w:rPr>
          <w:noProof/>
        </w:rPr>
        <w:t xml:space="preserve"> mednarodnim organizacijam in njihovim agencijam (navedite),</w:t>
      </w:r>
    </w:p>
    <w:p>
      <w:pPr>
        <w:tabs>
          <w:tab w:val="num" w:pos="1134"/>
        </w:tabs>
        <w:ind w:left="1134" w:hanging="283"/>
        <w:rPr>
          <w:rFonts w:eastAsia="Times New Roman"/>
          <w:noProof/>
        </w:rPr>
      </w:pPr>
      <w:r>
        <w:rPr>
          <w:noProof/>
        </w:rPr>
        <w:sym w:font="Wingdings" w:char="F0A8"/>
      </w:r>
      <w:r>
        <w:rPr>
          <w:noProof/>
        </w:rPr>
        <w:t xml:space="preserve"> EIB in Evropskemu investicijskemu skladu,</w:t>
      </w:r>
    </w:p>
    <w:p>
      <w:pPr>
        <w:tabs>
          <w:tab w:val="num" w:pos="1134"/>
        </w:tabs>
        <w:ind w:left="1134" w:hanging="283"/>
        <w:rPr>
          <w:rFonts w:eastAsia="Times New Roman"/>
          <w:noProof/>
        </w:rPr>
      </w:pPr>
      <w:r>
        <w:rPr>
          <w:noProof/>
        </w:rPr>
        <w:sym w:font="Wingdings" w:char="F0A8"/>
      </w:r>
      <w:r>
        <w:rPr>
          <w:noProof/>
        </w:rPr>
        <w:t xml:space="preserve"> organom iz členov 70 in 71 finančne uredbe,</w:t>
      </w:r>
    </w:p>
    <w:p>
      <w:pPr>
        <w:tabs>
          <w:tab w:val="num" w:pos="1134"/>
        </w:tabs>
        <w:ind w:left="1134" w:hanging="283"/>
        <w:rPr>
          <w:rFonts w:eastAsia="Times New Roman"/>
          <w:noProof/>
        </w:rPr>
      </w:pPr>
      <w:r>
        <w:rPr>
          <w:noProof/>
        </w:rPr>
        <w:sym w:font="Wingdings" w:char="F0A8"/>
      </w:r>
      <w:r>
        <w:rPr>
          <w:noProof/>
        </w:rPr>
        <w:t xml:space="preserve"> subjektom javnega prava,</w:t>
      </w:r>
    </w:p>
    <w:p>
      <w:pPr>
        <w:tabs>
          <w:tab w:val="num" w:pos="1134"/>
        </w:tabs>
        <w:ind w:left="1134" w:hanging="283"/>
        <w:rPr>
          <w:rFonts w:eastAsia="Times New Roman"/>
          <w:noProof/>
        </w:rPr>
      </w:pPr>
      <w:r>
        <w:rPr>
          <w:noProof/>
        </w:rPr>
        <w:sym w:font="Wingdings" w:char="F0A8"/>
      </w:r>
      <w:r>
        <w:rPr>
          <w:noProof/>
        </w:rPr>
        <w:t xml:space="preserve"> subjektom zasebnega prava, ki opravljajo javne storitve, kolikor ti subjekti zagotavljajo ustrezna finančna jamstva,</w:t>
      </w:r>
    </w:p>
    <w:p>
      <w:pPr>
        <w:tabs>
          <w:tab w:val="num" w:pos="1134"/>
        </w:tabs>
        <w:ind w:left="1134" w:hanging="283"/>
        <w:rPr>
          <w:rFonts w:eastAsia="Times New Roman"/>
          <w:noProof/>
        </w:rPr>
      </w:pPr>
      <w:r>
        <w:rPr>
          <w:noProof/>
        </w:rPr>
        <w:sym w:font="Wingdings" w:char="F0A8"/>
      </w:r>
      <w:r>
        <w:rPr>
          <w:noProof/>
        </w:rPr>
        <w:t xml:space="preserve"> subjektom zasebnega prava države članice, ki so pooblaščeni za izvajanje javno-zasebnih partnerstev in ki zagotavljajo ustrezna finančna jamstva,</w:t>
      </w:r>
    </w:p>
    <w:p>
      <w:pPr>
        <w:tabs>
          <w:tab w:val="num" w:pos="1134"/>
        </w:tabs>
        <w:ind w:left="1134" w:hanging="283"/>
        <w:rPr>
          <w:noProof/>
        </w:rPr>
      </w:pPr>
      <w:r>
        <w:rPr>
          <w:noProof/>
        </w:rPr>
        <w:sym w:font="Wingdings" w:char="F0A8"/>
      </w:r>
      <w:r>
        <w:rPr>
          <w:noProof/>
        </w:rPr>
        <w:t xml:space="preserve"> osebam, pooblaščenim za izvajanje določenih ukrepov SZVP na podlagi naslova V PEU in opredeljenim v zadevnem temeljnem aktu.</w:t>
      </w:r>
    </w:p>
    <w:p>
      <w:pPr>
        <w:rPr>
          <w:noProof/>
        </w:rPr>
        <w:sectPr>
          <w:pgSz w:w="11907" w:h="16840" w:code="9"/>
          <w:pgMar w:top="1134" w:right="1418" w:bottom="1134" w:left="1418" w:header="709" w:footer="709" w:gutter="0"/>
          <w:cols w:space="708"/>
          <w:docGrid w:linePitch="360"/>
        </w:sectPr>
      </w:pPr>
    </w:p>
    <w:p>
      <w:pPr>
        <w:pStyle w:val="ManualHeading1"/>
        <w:rPr>
          <w:noProof/>
          <w:szCs w:val="24"/>
        </w:rPr>
      </w:pPr>
      <w:bookmarkStart w:id="24" w:name="_Toc514941982"/>
      <w:bookmarkStart w:id="25" w:name="_Toc39837055"/>
      <w:bookmarkStart w:id="26" w:name="_Toc39839402"/>
      <w:r>
        <w:t>2.</w:t>
      </w:r>
      <w:r>
        <w:tab/>
      </w:r>
      <w:r>
        <w:rPr>
          <w:noProof/>
        </w:rPr>
        <w:t>UKREPI UPRAVLJANJA</w:t>
      </w:r>
      <w:bookmarkEnd w:id="24"/>
      <w:bookmarkEnd w:id="25"/>
      <w:bookmarkEnd w:id="26"/>
      <w:r>
        <w:rPr>
          <w:noProof/>
        </w:rPr>
        <w:t xml:space="preserve"> </w:t>
      </w:r>
    </w:p>
    <w:p>
      <w:pPr>
        <w:pStyle w:val="ManualHeading2"/>
        <w:rPr>
          <w:noProof/>
        </w:rPr>
      </w:pPr>
      <w:bookmarkStart w:id="27" w:name="_Toc514941983"/>
      <w:bookmarkStart w:id="28" w:name="_Toc39837056"/>
      <w:bookmarkStart w:id="29" w:name="_Toc39839403"/>
      <w:r>
        <w:t>2.1.</w:t>
      </w:r>
      <w:r>
        <w:tab/>
      </w:r>
      <w:r>
        <w:rPr>
          <w:noProof/>
        </w:rPr>
        <w:t>Pravila o spremljanju in poročanju</w:t>
      </w:r>
      <w:bookmarkEnd w:id="27"/>
      <w:bookmarkEnd w:id="28"/>
      <w:bookmarkEnd w:id="29"/>
      <w:r>
        <w:rPr>
          <w:noProof/>
        </w:rPr>
        <w:t xml:space="preserve"> </w:t>
      </w:r>
    </w:p>
    <w:p>
      <w:pPr>
        <w:ind w:left="850"/>
        <w:rPr>
          <w:i/>
          <w:noProof/>
          <w:sz w:val="20"/>
        </w:rPr>
      </w:pPr>
      <w:r>
        <w:rPr>
          <w:i/>
          <w:noProof/>
          <w:sz w:val="20"/>
        </w:rPr>
        <w:t>Navedite pogostost in pogoje.</w:t>
      </w:r>
    </w:p>
    <w:p>
      <w:pPr>
        <w:pBdr>
          <w:top w:val="single" w:sz="4" w:space="1" w:color="auto"/>
          <w:left w:val="single" w:sz="4" w:space="4" w:color="auto"/>
          <w:bottom w:val="single" w:sz="4" w:space="1" w:color="auto"/>
          <w:right w:val="single" w:sz="4" w:space="4" w:color="auto"/>
        </w:pBdr>
        <w:ind w:left="850"/>
        <w:rPr>
          <w:noProof/>
        </w:rPr>
      </w:pPr>
      <w:r>
        <w:rPr>
          <w:noProof/>
        </w:rPr>
        <w:t>Predlog je namenjen določitvi potrebnih pravil, ki jih je treba upoštevati pri dajanju dodatnih virov na voljo, in je omejen na to.  Navedena pravila ne presegajo tistega, kar je potrebno za zagotovitev razpoložljivosti dodatnih virov in določitev pravil, ki se uporabljajo za njihovo izvrševanje.</w:t>
      </w:r>
    </w:p>
    <w:p>
      <w:pPr>
        <w:pStyle w:val="ManualHeading2"/>
        <w:rPr>
          <w:noProof/>
          <w:szCs w:val="24"/>
        </w:rPr>
      </w:pPr>
      <w:bookmarkStart w:id="30" w:name="_Toc514941984"/>
      <w:bookmarkStart w:id="31" w:name="_Toc39837057"/>
      <w:bookmarkStart w:id="32" w:name="_Toc39839404"/>
      <w:r>
        <w:t>2.2.</w:t>
      </w:r>
      <w:r>
        <w:tab/>
      </w:r>
      <w:r>
        <w:rPr>
          <w:noProof/>
        </w:rPr>
        <w:t>Upravljavski in kontrolni sistemi</w:t>
      </w:r>
      <w:bookmarkEnd w:id="30"/>
      <w:bookmarkEnd w:id="31"/>
      <w:bookmarkEnd w:id="32"/>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 xml:space="preserve">Predlog je namenjen določitvi potrebnih pravil, ki jih je treba upoštevati pri dajanju dodatnih virov na voljo, in je omejen na to.  Navedena pravila ne presegajo tistega, kar je potrebno za zagotovitev razpoložljivosti dodatnih virov in določitev pravil, ki se uporabljajo za njihovo izvrševanje. </w:t>
      </w:r>
    </w:p>
    <w:p>
      <w:pPr>
        <w:pStyle w:val="ManualHeading2"/>
        <w:rPr>
          <w:noProof/>
          <w:szCs w:val="24"/>
        </w:rPr>
      </w:pPr>
      <w:bookmarkStart w:id="33" w:name="_Toc514941988"/>
      <w:bookmarkStart w:id="34" w:name="_Toc39837061"/>
      <w:bookmarkStart w:id="35" w:name="_Toc39839408"/>
      <w:r>
        <w:t>2.3.</w:t>
      </w:r>
      <w:r>
        <w:tab/>
      </w:r>
      <w:r>
        <w:rPr>
          <w:noProof/>
        </w:rPr>
        <w:t>Ukrepi za preprečevanje goljufij in nepravilnosti</w:t>
      </w:r>
      <w:bookmarkEnd w:id="33"/>
      <w:bookmarkEnd w:id="34"/>
      <w:bookmarkEnd w:id="35"/>
      <w:r>
        <w:rPr>
          <w:noProof/>
        </w:rPr>
        <w:t xml:space="preserve"> </w:t>
      </w:r>
    </w:p>
    <w:p>
      <w:pPr>
        <w:ind w:left="850"/>
        <w:rPr>
          <w:i/>
          <w:noProof/>
          <w:sz w:val="20"/>
        </w:rPr>
      </w:pPr>
      <w:r>
        <w:rPr>
          <w:i/>
          <w:noProof/>
          <w:sz w:val="20"/>
        </w:rPr>
        <w:t>Navedite obstoječe ali načrtovane preprečevalne in zaščitne ukrepe, npr. iz strategije za boj proti goljufijam.</w:t>
      </w:r>
    </w:p>
    <w:p>
      <w:pPr>
        <w:pBdr>
          <w:top w:val="single" w:sz="4" w:space="1" w:color="auto"/>
          <w:left w:val="single" w:sz="4" w:space="4" w:color="auto"/>
          <w:bottom w:val="single" w:sz="4" w:space="1" w:color="auto"/>
          <w:right w:val="single" w:sz="4" w:space="4" w:color="auto"/>
        </w:pBdr>
        <w:ind w:left="850"/>
        <w:rPr>
          <w:noProof/>
        </w:rPr>
      </w:pPr>
      <w:r>
        <w:rPr>
          <w:noProof/>
        </w:rPr>
        <w:t>Predlog je namenjen določitvi potrebnih pravil, ki jih je treba upoštevati pri dajanju dodatnih virov na voljo, in je omejen na to.  Navedena pravila ne presegajo tistega, kar je potrebno za zagotovitev razpoložljivosti dodatnih virov in določitev pravil, ki se uporabljajo za njihovo izvrševanje.</w:t>
      </w:r>
    </w:p>
    <w:p>
      <w:pPr>
        <w:pStyle w:val="ManualHeading1"/>
        <w:rPr>
          <w:noProof/>
          <w:szCs w:val="24"/>
        </w:rPr>
      </w:pPr>
      <w:bookmarkStart w:id="36" w:name="_Toc514941989"/>
      <w:bookmarkStart w:id="37" w:name="_Toc39839409"/>
      <w:r>
        <w:t>3.</w:t>
      </w:r>
      <w:r>
        <w:tab/>
      </w:r>
      <w:r>
        <w:rPr>
          <w:noProof/>
        </w:rPr>
        <w:t>OCENA FINANČNIH POSLEDIC PREDLOGA/POBUDE</w:t>
      </w:r>
      <w:bookmarkEnd w:id="36"/>
      <w:bookmarkEnd w:id="37"/>
      <w:r>
        <w:rPr>
          <w:noProof/>
        </w:rPr>
        <w:t xml:space="preserve"> </w:t>
      </w:r>
    </w:p>
    <w:p>
      <w:pPr>
        <w:pStyle w:val="ManualHeading2"/>
        <w:rPr>
          <w:noProof/>
        </w:rPr>
      </w:pPr>
      <w:bookmarkStart w:id="38" w:name="_Toc514941990"/>
      <w:bookmarkStart w:id="39" w:name="_Toc39839410"/>
      <w:r>
        <w:t>3.1.</w:t>
      </w:r>
      <w:r>
        <w:tab/>
      </w:r>
      <w:r>
        <w:rPr>
          <w:noProof/>
        </w:rPr>
        <w:t>Predlagani razdelki večletnega finančnega okvira in nove odhodkovne proračunske vrstice</w:t>
      </w:r>
      <w:bookmarkEnd w:id="38"/>
      <w:bookmarkEnd w:id="39"/>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c>
          <w:tcPr>
            <w:tcW w:w="1080" w:type="dxa"/>
            <w:vMerge w:val="restart"/>
            <w:vAlign w:val="center"/>
          </w:tcPr>
          <w:p>
            <w:pPr>
              <w:spacing w:before="60" w:after="60"/>
              <w:jc w:val="center"/>
              <w:rPr>
                <w:noProof/>
              </w:rPr>
            </w:pPr>
            <w:r>
              <w:rPr>
                <w:noProof/>
                <w:sz w:val="18"/>
              </w:rPr>
              <w:t>Razdelek večletnega finančnega okvira</w:t>
            </w:r>
          </w:p>
        </w:tc>
        <w:tc>
          <w:tcPr>
            <w:tcW w:w="3960" w:type="dxa"/>
            <w:vAlign w:val="center"/>
          </w:tcPr>
          <w:p>
            <w:pPr>
              <w:spacing w:before="60" w:after="60"/>
              <w:jc w:val="center"/>
              <w:rPr>
                <w:noProof/>
              </w:rPr>
            </w:pPr>
            <w:r>
              <w:rPr>
                <w:noProof/>
                <w:sz w:val="20"/>
              </w:rPr>
              <w:t>Proračunska vrstica</w:t>
            </w:r>
          </w:p>
        </w:tc>
        <w:tc>
          <w:tcPr>
            <w:tcW w:w="1080" w:type="dxa"/>
            <w:vAlign w:val="center"/>
          </w:tcPr>
          <w:p>
            <w:pPr>
              <w:spacing w:before="60" w:after="60"/>
              <w:jc w:val="center"/>
              <w:rPr>
                <w:noProof/>
              </w:rPr>
            </w:pPr>
            <w:r>
              <w:rPr>
                <w:noProof/>
                <w:sz w:val="18"/>
              </w:rPr>
              <w:t>Vrsta</w:t>
            </w:r>
            <w:r>
              <w:rPr>
                <w:noProof/>
              </w:rPr>
              <w:br/>
            </w:r>
            <w:r>
              <w:rPr>
                <w:noProof/>
                <w:sz w:val="18"/>
              </w:rPr>
              <w:t>odhodkov</w:t>
            </w:r>
          </w:p>
        </w:tc>
        <w:tc>
          <w:tcPr>
            <w:tcW w:w="4440" w:type="dxa"/>
            <w:gridSpan w:val="4"/>
            <w:vAlign w:val="center"/>
          </w:tcPr>
          <w:p>
            <w:pPr>
              <w:spacing w:before="60" w:after="60"/>
              <w:jc w:val="center"/>
              <w:rPr>
                <w:noProof/>
              </w:rPr>
            </w:pPr>
            <w:r>
              <w:rPr>
                <w:noProof/>
                <w:sz w:val="20"/>
              </w:rPr>
              <w:t xml:space="preserve">Prispevek </w:t>
            </w:r>
          </w:p>
        </w:tc>
      </w:tr>
      <w:tr>
        <w:tc>
          <w:tcPr>
            <w:tcW w:w="1080" w:type="dxa"/>
            <w:vMerge/>
            <w:vAlign w:val="center"/>
          </w:tcPr>
          <w:p>
            <w:pPr>
              <w:jc w:val="center"/>
              <w:rPr>
                <w:noProof/>
              </w:rPr>
            </w:pPr>
          </w:p>
        </w:tc>
        <w:tc>
          <w:tcPr>
            <w:tcW w:w="3960" w:type="dxa"/>
            <w:vAlign w:val="center"/>
          </w:tcPr>
          <w:p>
            <w:pPr>
              <w:rPr>
                <w:noProof/>
              </w:rPr>
            </w:pPr>
          </w:p>
        </w:tc>
        <w:tc>
          <w:tcPr>
            <w:tcW w:w="1080" w:type="dxa"/>
            <w:vAlign w:val="center"/>
          </w:tcPr>
          <w:p>
            <w:pPr>
              <w:jc w:val="center"/>
              <w:rPr>
                <w:noProof/>
              </w:rPr>
            </w:pPr>
            <w:r>
              <w:rPr>
                <w:noProof/>
                <w:sz w:val="18"/>
              </w:rPr>
              <w:t>dif./nedif.</w:t>
            </w:r>
            <w:r>
              <w:rPr>
                <w:rStyle w:val="FootnoteReference"/>
                <w:noProof/>
                <w:sz w:val="18"/>
              </w:rPr>
              <w:footnoteReference w:id="9"/>
            </w:r>
            <w:r>
              <w:rPr>
                <w:noProof/>
              </w:rPr>
              <w:t xml:space="preserve"> </w:t>
            </w:r>
          </w:p>
        </w:tc>
        <w:tc>
          <w:tcPr>
            <w:tcW w:w="1044" w:type="dxa"/>
            <w:vAlign w:val="center"/>
          </w:tcPr>
          <w:p>
            <w:pPr>
              <w:jc w:val="center"/>
              <w:rPr>
                <w:noProof/>
              </w:rPr>
            </w:pPr>
            <w:r>
              <w:rPr>
                <w:noProof/>
                <w:sz w:val="18"/>
              </w:rPr>
              <w:t>držav Efte</w:t>
            </w:r>
            <w:r>
              <w:rPr>
                <w:rStyle w:val="FootnoteReference"/>
                <w:noProof/>
                <w:sz w:val="18"/>
              </w:rPr>
              <w:footnoteReference w:id="10"/>
            </w:r>
          </w:p>
          <w:p>
            <w:pPr>
              <w:spacing w:before="0" w:after="0"/>
              <w:jc w:val="center"/>
              <w:rPr>
                <w:b/>
                <w:noProof/>
                <w:sz w:val="18"/>
              </w:rPr>
            </w:pPr>
          </w:p>
        </w:tc>
        <w:tc>
          <w:tcPr>
            <w:tcW w:w="1134" w:type="dxa"/>
            <w:vAlign w:val="center"/>
          </w:tcPr>
          <w:p>
            <w:pPr>
              <w:jc w:val="center"/>
              <w:rPr>
                <w:noProof/>
              </w:rPr>
            </w:pPr>
            <w:r>
              <w:rPr>
                <w:noProof/>
                <w:sz w:val="18"/>
              </w:rPr>
              <w:t>držav kandidatk</w:t>
            </w:r>
            <w:r>
              <w:rPr>
                <w:rStyle w:val="FootnoteReference"/>
                <w:noProof/>
                <w:sz w:val="18"/>
              </w:rPr>
              <w:footnoteReference w:id="11"/>
            </w:r>
          </w:p>
          <w:p>
            <w:pPr>
              <w:spacing w:before="0" w:after="0"/>
              <w:jc w:val="center"/>
              <w:rPr>
                <w:noProof/>
                <w:sz w:val="18"/>
              </w:rPr>
            </w:pPr>
          </w:p>
        </w:tc>
        <w:tc>
          <w:tcPr>
            <w:tcW w:w="814" w:type="dxa"/>
            <w:vAlign w:val="center"/>
          </w:tcPr>
          <w:p>
            <w:pPr>
              <w:jc w:val="center"/>
              <w:rPr>
                <w:noProof/>
                <w:sz w:val="18"/>
              </w:rPr>
            </w:pPr>
            <w:r>
              <w:rPr>
                <w:noProof/>
                <w:sz w:val="18"/>
              </w:rPr>
              <w:t>tretjih držav</w:t>
            </w:r>
          </w:p>
        </w:tc>
        <w:tc>
          <w:tcPr>
            <w:tcW w:w="1448" w:type="dxa"/>
            <w:vAlign w:val="center"/>
          </w:tcPr>
          <w:p>
            <w:pPr>
              <w:jc w:val="center"/>
              <w:rPr>
                <w:noProof/>
              </w:rPr>
            </w:pPr>
            <w:r>
              <w:rPr>
                <w:noProof/>
                <w:sz w:val="16"/>
              </w:rPr>
              <w:t xml:space="preserve">po členu [21(2)(b)] finančne uredbe </w:t>
            </w:r>
          </w:p>
        </w:tc>
      </w:tr>
      <w:tr>
        <w:tc>
          <w:tcPr>
            <w:tcW w:w="1080" w:type="dxa"/>
            <w:vAlign w:val="center"/>
          </w:tcPr>
          <w:p>
            <w:pPr>
              <w:jc w:val="center"/>
              <w:rPr>
                <w:noProof/>
              </w:rPr>
            </w:pPr>
            <w:r>
              <w:rPr>
                <w:noProof/>
              </w:rPr>
              <w:t>3</w:t>
            </w:r>
          </w:p>
        </w:tc>
        <w:tc>
          <w:tcPr>
            <w:tcW w:w="3960" w:type="dxa"/>
            <w:vAlign w:val="center"/>
          </w:tcPr>
          <w:p>
            <w:pPr>
              <w:spacing w:after="60"/>
              <w:rPr>
                <w:noProof/>
              </w:rPr>
            </w:pPr>
            <w:r>
              <w:rPr>
                <w:noProof/>
                <w:sz w:val="22"/>
              </w:rPr>
              <w:t>09 01 02 Odhodki za podporo Skladu za pravični prehod</w:t>
            </w:r>
          </w:p>
        </w:tc>
        <w:tc>
          <w:tcPr>
            <w:tcW w:w="1080" w:type="dxa"/>
            <w:vAlign w:val="center"/>
          </w:tcPr>
          <w:p>
            <w:pPr>
              <w:jc w:val="center"/>
              <w:rPr>
                <w:noProof/>
                <w:color w:val="0000FF"/>
              </w:rPr>
            </w:pPr>
            <w:r>
              <w:rPr>
                <w:noProof/>
                <w:sz w:val="22"/>
              </w:rPr>
              <w:t>nedif.</w:t>
            </w:r>
          </w:p>
        </w:tc>
        <w:tc>
          <w:tcPr>
            <w:tcW w:w="1044" w:type="dxa"/>
            <w:vAlign w:val="center"/>
          </w:tcPr>
          <w:p>
            <w:pPr>
              <w:jc w:val="center"/>
              <w:rPr>
                <w:noProof/>
              </w:rPr>
            </w:pPr>
            <w:r>
              <w:rPr>
                <w:noProof/>
                <w:sz w:val="22"/>
              </w:rPr>
              <w:t>NE</w:t>
            </w:r>
          </w:p>
        </w:tc>
        <w:tc>
          <w:tcPr>
            <w:tcW w:w="1134" w:type="dxa"/>
            <w:vAlign w:val="center"/>
          </w:tcPr>
          <w:p>
            <w:pPr>
              <w:jc w:val="center"/>
              <w:rPr>
                <w:noProof/>
              </w:rPr>
            </w:pPr>
            <w:r>
              <w:rPr>
                <w:noProof/>
                <w:sz w:val="22"/>
              </w:rPr>
              <w:t>NE</w:t>
            </w:r>
          </w:p>
        </w:tc>
        <w:tc>
          <w:tcPr>
            <w:tcW w:w="814" w:type="dxa"/>
            <w:vAlign w:val="center"/>
          </w:tcPr>
          <w:p>
            <w:pPr>
              <w:jc w:val="center"/>
              <w:rPr>
                <w:noProof/>
              </w:rPr>
            </w:pPr>
            <w:r>
              <w:rPr>
                <w:noProof/>
                <w:sz w:val="22"/>
              </w:rPr>
              <w:t>NE</w:t>
            </w:r>
          </w:p>
        </w:tc>
        <w:tc>
          <w:tcPr>
            <w:tcW w:w="1448" w:type="dxa"/>
            <w:vAlign w:val="center"/>
          </w:tcPr>
          <w:p>
            <w:pPr>
              <w:jc w:val="center"/>
              <w:rPr>
                <w:noProof/>
              </w:rPr>
            </w:pPr>
            <w:r>
              <w:rPr>
                <w:noProof/>
                <w:sz w:val="22"/>
              </w:rPr>
              <w:t>NE</w:t>
            </w:r>
          </w:p>
        </w:tc>
      </w:tr>
      <w:tr>
        <w:tc>
          <w:tcPr>
            <w:tcW w:w="1080" w:type="dxa"/>
            <w:vAlign w:val="center"/>
          </w:tcPr>
          <w:p>
            <w:pPr>
              <w:jc w:val="center"/>
              <w:rPr>
                <w:noProof/>
              </w:rPr>
            </w:pPr>
            <w:r>
              <w:rPr>
                <w:noProof/>
              </w:rPr>
              <w:t>3</w:t>
            </w:r>
          </w:p>
        </w:tc>
        <w:tc>
          <w:tcPr>
            <w:tcW w:w="3960" w:type="dxa"/>
            <w:vAlign w:val="center"/>
          </w:tcPr>
          <w:p>
            <w:pPr>
              <w:spacing w:before="60"/>
              <w:rPr>
                <w:noProof/>
                <w:sz w:val="22"/>
              </w:rPr>
            </w:pPr>
            <w:r>
              <w:rPr>
                <w:noProof/>
                <w:sz w:val="22"/>
              </w:rPr>
              <w:t>09 03 02 Sklad za pravični prehod – Operativna tehnična pomoč</w:t>
            </w:r>
          </w:p>
        </w:tc>
        <w:tc>
          <w:tcPr>
            <w:tcW w:w="1080" w:type="dxa"/>
            <w:vAlign w:val="center"/>
          </w:tcPr>
          <w:p>
            <w:pPr>
              <w:jc w:val="center"/>
              <w:rPr>
                <w:noProof/>
                <w:sz w:val="22"/>
              </w:rPr>
            </w:pPr>
            <w:r>
              <w:rPr>
                <w:noProof/>
                <w:sz w:val="22"/>
              </w:rPr>
              <w:t>dif.</w:t>
            </w:r>
          </w:p>
        </w:tc>
        <w:tc>
          <w:tcPr>
            <w:tcW w:w="1044" w:type="dxa"/>
            <w:vAlign w:val="center"/>
          </w:tcPr>
          <w:p>
            <w:pPr>
              <w:jc w:val="center"/>
              <w:rPr>
                <w:noProof/>
                <w:sz w:val="22"/>
              </w:rPr>
            </w:pPr>
            <w:r>
              <w:rPr>
                <w:noProof/>
                <w:sz w:val="22"/>
              </w:rPr>
              <w:t>NE</w:t>
            </w:r>
          </w:p>
        </w:tc>
        <w:tc>
          <w:tcPr>
            <w:tcW w:w="1134" w:type="dxa"/>
            <w:vAlign w:val="center"/>
          </w:tcPr>
          <w:p>
            <w:pPr>
              <w:jc w:val="center"/>
              <w:rPr>
                <w:noProof/>
                <w:sz w:val="22"/>
              </w:rPr>
            </w:pPr>
            <w:r>
              <w:rPr>
                <w:noProof/>
                <w:sz w:val="22"/>
              </w:rPr>
              <w:t>NE</w:t>
            </w:r>
          </w:p>
        </w:tc>
        <w:tc>
          <w:tcPr>
            <w:tcW w:w="814"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r>
        <w:tc>
          <w:tcPr>
            <w:tcW w:w="1080" w:type="dxa"/>
            <w:vAlign w:val="center"/>
          </w:tcPr>
          <w:p>
            <w:pPr>
              <w:jc w:val="center"/>
              <w:rPr>
                <w:noProof/>
              </w:rPr>
            </w:pPr>
            <w:r>
              <w:rPr>
                <w:noProof/>
              </w:rPr>
              <w:t>3</w:t>
            </w:r>
          </w:p>
        </w:tc>
        <w:tc>
          <w:tcPr>
            <w:tcW w:w="3960" w:type="dxa"/>
            <w:vAlign w:val="center"/>
          </w:tcPr>
          <w:p>
            <w:pPr>
              <w:spacing w:before="60"/>
              <w:rPr>
                <w:noProof/>
              </w:rPr>
            </w:pPr>
            <w:r>
              <w:rPr>
                <w:noProof/>
              </w:rPr>
              <w:t>09 03 03 – Sklad za pravični prehod, financiran iz evropskega instrumenta za okrevanje</w:t>
            </w:r>
          </w:p>
          <w:p>
            <w:pPr>
              <w:spacing w:before="60"/>
              <w:rPr>
                <w:noProof/>
                <w:sz w:val="22"/>
              </w:rPr>
            </w:pPr>
          </w:p>
        </w:tc>
        <w:tc>
          <w:tcPr>
            <w:tcW w:w="1080" w:type="dxa"/>
            <w:vAlign w:val="center"/>
          </w:tcPr>
          <w:p>
            <w:pPr>
              <w:jc w:val="center"/>
              <w:rPr>
                <w:noProof/>
                <w:sz w:val="22"/>
              </w:rPr>
            </w:pPr>
            <w:r>
              <w:rPr>
                <w:noProof/>
                <w:sz w:val="22"/>
              </w:rPr>
              <w:t>dif.</w:t>
            </w:r>
          </w:p>
        </w:tc>
        <w:tc>
          <w:tcPr>
            <w:tcW w:w="1044" w:type="dxa"/>
            <w:vAlign w:val="center"/>
          </w:tcPr>
          <w:p>
            <w:pPr>
              <w:jc w:val="center"/>
              <w:rPr>
                <w:noProof/>
                <w:sz w:val="22"/>
              </w:rPr>
            </w:pPr>
            <w:r>
              <w:rPr>
                <w:noProof/>
                <w:sz w:val="22"/>
              </w:rPr>
              <w:t>NE</w:t>
            </w:r>
          </w:p>
        </w:tc>
        <w:tc>
          <w:tcPr>
            <w:tcW w:w="1134" w:type="dxa"/>
            <w:vAlign w:val="center"/>
          </w:tcPr>
          <w:p>
            <w:pPr>
              <w:jc w:val="center"/>
              <w:rPr>
                <w:noProof/>
                <w:sz w:val="22"/>
              </w:rPr>
            </w:pPr>
            <w:r>
              <w:rPr>
                <w:noProof/>
                <w:sz w:val="22"/>
              </w:rPr>
              <w:t>NE</w:t>
            </w:r>
          </w:p>
        </w:tc>
        <w:tc>
          <w:tcPr>
            <w:tcW w:w="814"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bl>
    <w:p>
      <w:pPr>
        <w:rPr>
          <w:noProof/>
        </w:rPr>
        <w:sectPr>
          <w:pgSz w:w="11907" w:h="16840" w:code="1"/>
          <w:pgMar w:top="1134" w:right="1418" w:bottom="1134" w:left="1418" w:header="709" w:footer="709" w:gutter="0"/>
          <w:cols w:space="708"/>
          <w:docGrid w:linePitch="360"/>
        </w:sectPr>
      </w:pPr>
    </w:p>
    <w:p>
      <w:pPr>
        <w:pStyle w:val="ManualHeading2"/>
        <w:rPr>
          <w:noProof/>
          <w:szCs w:val="24"/>
        </w:rPr>
      </w:pPr>
      <w:bookmarkStart w:id="40" w:name="_Toc514941991"/>
      <w:bookmarkStart w:id="41" w:name="_Toc39839411"/>
      <w:r>
        <w:t>3.2.</w:t>
      </w:r>
      <w:r>
        <w:tab/>
      </w:r>
      <w:r>
        <w:rPr>
          <w:noProof/>
        </w:rPr>
        <w:t>Ocenjene posledice za odhodke</w:t>
      </w:r>
      <w:bookmarkEnd w:id="40"/>
      <w:bookmarkEnd w:id="41"/>
      <w:r>
        <w:rPr>
          <w:noProof/>
        </w:rPr>
        <w:t xml:space="preserve"> </w:t>
      </w:r>
    </w:p>
    <w:p>
      <w:pPr>
        <w:pStyle w:val="ManualHeading3"/>
        <w:rPr>
          <w:noProof/>
          <w:u w:val="single"/>
        </w:rPr>
      </w:pPr>
      <w:bookmarkStart w:id="42" w:name="_Toc514941992"/>
      <w:bookmarkStart w:id="43" w:name="_Toc39839412"/>
      <w:r>
        <w:t>3.2.1.</w:t>
      </w:r>
      <w:r>
        <w:tab/>
      </w:r>
      <w:r>
        <w:rPr>
          <w:noProof/>
        </w:rPr>
        <w:t>Povzetek ocenjenih posledic za odhodke</w:t>
      </w:r>
      <w:bookmarkEnd w:id="42"/>
      <w:bookmarkEnd w:id="43"/>
      <w:r>
        <w:rPr>
          <w:noProof/>
        </w:rPr>
        <w:t xml:space="preserve"> </w:t>
      </w:r>
    </w:p>
    <w:p>
      <w:pPr>
        <w:jc w:val="right"/>
        <w:rPr>
          <w:noProof/>
          <w:sz w:val="20"/>
        </w:rPr>
      </w:pPr>
      <w:r>
        <w:rPr>
          <w:noProof/>
          <w:sz w:val="20"/>
        </w:rPr>
        <w:t>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Razdelek</w:t>
            </w:r>
            <w:r>
              <w:rPr>
                <w:noProof/>
              </w:rPr>
              <w:br/>
            </w:r>
            <w:r>
              <w:rPr>
                <w:b/>
                <w:noProof/>
                <w:sz w:val="22"/>
              </w:rPr>
              <w:t xml:space="preserve">večletnega finančnega okvira </w:t>
            </w:r>
          </w:p>
        </w:tc>
        <w:tc>
          <w:tcPr>
            <w:tcW w:w="1080" w:type="dxa"/>
            <w:vAlign w:val="center"/>
          </w:tcPr>
          <w:p>
            <w:pPr>
              <w:spacing w:before="60" w:after="60"/>
              <w:jc w:val="center"/>
              <w:rPr>
                <w:noProof/>
              </w:rPr>
            </w:pPr>
            <w:r>
              <w:rPr>
                <w:b/>
                <w:noProof/>
                <w:sz w:val="22"/>
              </w:rPr>
              <w:t>3</w:t>
            </w:r>
          </w:p>
        </w:tc>
        <w:tc>
          <w:tcPr>
            <w:tcW w:w="7817" w:type="dxa"/>
            <w:vAlign w:val="center"/>
          </w:tcPr>
          <w:p>
            <w:pPr>
              <w:spacing w:before="60" w:after="60"/>
              <w:jc w:val="left"/>
              <w:rPr>
                <w:noProof/>
              </w:rPr>
            </w:pPr>
          </w:p>
        </w:tc>
      </w:tr>
    </w:tbl>
    <w:p>
      <w:pPr>
        <w:rPr>
          <w:i/>
          <w:iCs/>
          <w:noProof/>
        </w:rPr>
      </w:pPr>
      <w:r>
        <w:rPr>
          <w:i/>
          <w:iCs/>
          <w:noProof/>
        </w:rPr>
        <w:t>Predlog bo podlaga za dodatne obveznosti v letih od 2021 do 2027 ter plačila v letih od 2021 do 2027 ter po letu 2027.</w:t>
      </w:r>
    </w:p>
    <w:p>
      <w:pPr>
        <w:rPr>
          <w:i/>
          <w:iCs/>
          <w:noProof/>
        </w:rPr>
      </w:pPr>
      <w:r>
        <w:rPr>
          <w:i/>
          <w:iCs/>
          <w:noProof/>
        </w:rPr>
        <w:t xml:space="preserve">Od teh dodatnih sredstev bi se moralo 2 810 048 000 EUR v tekočih cenah črpati iz proračunskih sredstev, s čimer bi se skupna sredstva v naslednjem večletnem finančnem okviru povišala na 11 270 459 000 EUR v tekočih cenah; ta sredstva bi bilo treba razporediti tekom tekočih pogajanj na ravni Evropskega sveta. </w:t>
      </w:r>
    </w:p>
    <w:p>
      <w:pPr>
        <w:rPr>
          <w:i/>
          <w:iCs/>
          <w:noProof/>
        </w:rPr>
      </w:pPr>
      <w:r>
        <w:rPr>
          <w:i/>
          <w:iCs/>
          <w:noProof/>
        </w:rPr>
        <w:t>Preostala dodatna sredstva bodo namenjena za obdobje od leta 2021 do leta 2024 in se štejejo za zunanje namenske prejemke, ki izhajajo iz evropskega instrumenta za okrevanje na podlagi zunanjih namenskih prejemkov.</w:t>
      </w:r>
      <w:r>
        <w:rPr>
          <w:noProof/>
        </w:rPr>
        <w:t xml:space="preserve"> </w:t>
      </w:r>
      <w:r>
        <w:rPr>
          <w:i/>
          <w:iCs/>
          <w:noProof/>
        </w:rPr>
        <w:t>Zneski, ki so na voljo kot zunanji namenski prejemki, so v skladu s členom 21(5) finančne uredbe in izhajajo iz operacij najemanja posojil Unije, kot je določeno v Uredbi (EU) XXX/XX (uredba o evropskem instrumentu za okrevanje). Od zunanjih namenskih prejemkov se lahko do 15 600 000 EUR nameni za upravne odhodke, vključno s stroški za zunanje sodelavce.</w:t>
      </w:r>
    </w:p>
    <w:p>
      <w:pPr>
        <w:rPr>
          <w:i/>
          <w:iCs/>
          <w:noProof/>
        </w:rPr>
      </w:pPr>
      <w:r>
        <w:rPr>
          <w:i/>
          <w:iCs/>
          <w:noProof/>
        </w:rPr>
        <w:t>Okvirna razčlenitev odobritev, financiranih znotraj večletnega finančnega okvira za obdobje 2021–2027, je naslednja:</w:t>
      </w:r>
    </w:p>
    <w:tbl>
      <w:tblPr>
        <w:tblW w:w="14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128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1289" w:type="dxa"/>
          </w:tcPr>
          <w:p>
            <w:pPr>
              <w:jc w:val="center"/>
              <w:rPr>
                <w:b/>
                <w:noProof/>
                <w:sz w:val="20"/>
              </w:rPr>
            </w:pPr>
            <w:r>
              <w:rPr>
                <w:b/>
                <w:noProof/>
                <w:sz w:val="20"/>
              </w:rPr>
              <w:t>Po letu 2027</w:t>
            </w:r>
          </w:p>
        </w:tc>
        <w:tc>
          <w:tcPr>
            <w:tcW w:w="1289" w:type="dxa"/>
            <w:vAlign w:val="center"/>
          </w:tcPr>
          <w:p>
            <w:pPr>
              <w:jc w:val="center"/>
              <w:rPr>
                <w:b/>
                <w:noProof/>
                <w:sz w:val="20"/>
              </w:rPr>
            </w:pPr>
            <w:r>
              <w:rPr>
                <w:b/>
                <w:noProof/>
                <w:sz w:val="20"/>
              </w:rPr>
              <w:t>SKUPAJ</w:t>
            </w:r>
          </w:p>
        </w:tc>
      </w:tr>
      <w:tr>
        <w:trPr>
          <w:trHeight w:val="433"/>
          <w:jc w:val="center"/>
        </w:trPr>
        <w:tc>
          <w:tcPr>
            <w:tcW w:w="4103" w:type="dxa"/>
            <w:vMerge w:val="restart"/>
            <w:vAlign w:val="center"/>
          </w:tcPr>
          <w:p>
            <w:pPr>
              <w:rPr>
                <w:noProof/>
              </w:rPr>
            </w:pPr>
            <w:r>
              <w:rPr>
                <w:noProof/>
                <w:sz w:val="20"/>
              </w:rPr>
              <w:t xml:space="preserve">Odobritve za poslovanje </w:t>
            </w:r>
          </w:p>
        </w:tc>
        <w:tc>
          <w:tcPr>
            <w:tcW w:w="1440" w:type="dxa"/>
            <w:vAlign w:val="center"/>
          </w:tcPr>
          <w:p>
            <w:pPr>
              <w:spacing w:before="20" w:after="20"/>
              <w:jc w:val="left"/>
              <w:rPr>
                <w:noProof/>
                <w:sz w:val="18"/>
              </w:rPr>
            </w:pPr>
            <w:r>
              <w:rPr>
                <w:noProof/>
                <w:sz w:val="18"/>
              </w:rPr>
              <w:t>obveznosti</w:t>
            </w:r>
          </w:p>
        </w:tc>
        <w:tc>
          <w:tcPr>
            <w:tcW w:w="654" w:type="dxa"/>
            <w:vAlign w:val="center"/>
          </w:tcPr>
          <w:p>
            <w:pPr>
              <w:spacing w:before="20" w:after="20"/>
              <w:jc w:val="center"/>
              <w:rPr>
                <w:noProof/>
                <w:sz w:val="14"/>
              </w:rPr>
            </w:pPr>
            <w:r>
              <w:rPr>
                <w:noProof/>
                <w:sz w:val="14"/>
              </w:rPr>
              <w:t>(1)</w:t>
            </w:r>
          </w:p>
        </w:tc>
        <w:tc>
          <w:tcPr>
            <w:tcW w:w="868" w:type="dxa"/>
          </w:tcPr>
          <w:p>
            <w:pPr>
              <w:jc w:val="center"/>
              <w:rPr>
                <w:noProof/>
                <w:sz w:val="16"/>
                <w:szCs w:val="16"/>
              </w:rPr>
            </w:pPr>
            <w:r>
              <w:rPr>
                <w:noProof/>
                <w:sz w:val="16"/>
                <w:szCs w:val="16"/>
              </w:rPr>
              <w:t>416,600</w:t>
            </w:r>
          </w:p>
        </w:tc>
        <w:tc>
          <w:tcPr>
            <w:tcW w:w="868" w:type="dxa"/>
          </w:tcPr>
          <w:p>
            <w:pPr>
              <w:jc w:val="center"/>
              <w:rPr>
                <w:noProof/>
                <w:sz w:val="16"/>
                <w:szCs w:val="16"/>
              </w:rPr>
            </w:pPr>
            <w:r>
              <w:rPr>
                <w:noProof/>
                <w:sz w:val="16"/>
                <w:szCs w:val="16"/>
              </w:rPr>
              <w:t>413,025</w:t>
            </w:r>
          </w:p>
        </w:tc>
        <w:tc>
          <w:tcPr>
            <w:tcW w:w="868" w:type="dxa"/>
          </w:tcPr>
          <w:p>
            <w:pPr>
              <w:jc w:val="center"/>
              <w:rPr>
                <w:noProof/>
                <w:sz w:val="16"/>
                <w:szCs w:val="16"/>
              </w:rPr>
            </w:pPr>
            <w:r>
              <w:rPr>
                <w:noProof/>
                <w:sz w:val="16"/>
                <w:szCs w:val="16"/>
              </w:rPr>
              <w:t>408,037</w:t>
            </w:r>
          </w:p>
        </w:tc>
        <w:tc>
          <w:tcPr>
            <w:tcW w:w="868" w:type="dxa"/>
          </w:tcPr>
          <w:p>
            <w:pPr>
              <w:jc w:val="center"/>
              <w:rPr>
                <w:noProof/>
                <w:sz w:val="16"/>
                <w:szCs w:val="16"/>
              </w:rPr>
            </w:pPr>
            <w:r>
              <w:rPr>
                <w:noProof/>
                <w:sz w:val="16"/>
                <w:szCs w:val="16"/>
              </w:rPr>
              <w:t>402,684</w:t>
            </w:r>
          </w:p>
        </w:tc>
        <w:tc>
          <w:tcPr>
            <w:tcW w:w="868" w:type="dxa"/>
          </w:tcPr>
          <w:p>
            <w:pPr>
              <w:jc w:val="center"/>
              <w:rPr>
                <w:noProof/>
                <w:sz w:val="16"/>
                <w:szCs w:val="16"/>
              </w:rPr>
            </w:pPr>
            <w:r>
              <w:rPr>
                <w:noProof/>
                <w:sz w:val="16"/>
                <w:szCs w:val="16"/>
              </w:rPr>
              <w:t>396,953</w:t>
            </w:r>
          </w:p>
        </w:tc>
        <w:tc>
          <w:tcPr>
            <w:tcW w:w="868" w:type="dxa"/>
          </w:tcPr>
          <w:p>
            <w:pPr>
              <w:jc w:val="center"/>
              <w:rPr>
                <w:noProof/>
                <w:sz w:val="16"/>
                <w:szCs w:val="16"/>
              </w:rPr>
            </w:pPr>
            <w:r>
              <w:rPr>
                <w:noProof/>
                <w:sz w:val="16"/>
                <w:szCs w:val="16"/>
              </w:rPr>
              <w:t>390,832</w:t>
            </w:r>
          </w:p>
        </w:tc>
        <w:tc>
          <w:tcPr>
            <w:tcW w:w="868" w:type="dxa"/>
          </w:tcPr>
          <w:p>
            <w:pPr>
              <w:jc w:val="center"/>
              <w:rPr>
                <w:noProof/>
                <w:sz w:val="16"/>
                <w:szCs w:val="16"/>
              </w:rPr>
            </w:pPr>
            <w:r>
              <w:rPr>
                <w:noProof/>
                <w:sz w:val="16"/>
                <w:szCs w:val="16"/>
              </w:rPr>
              <w:t>381,917</w:t>
            </w:r>
          </w:p>
        </w:tc>
        <w:tc>
          <w:tcPr>
            <w:tcW w:w="1289" w:type="dxa"/>
          </w:tcPr>
          <w:p>
            <w:pPr>
              <w:jc w:val="center"/>
              <w:rPr>
                <w:noProof/>
              </w:rPr>
            </w:pPr>
          </w:p>
        </w:tc>
        <w:tc>
          <w:tcPr>
            <w:tcW w:w="1289" w:type="dxa"/>
          </w:tcPr>
          <w:p>
            <w:pPr>
              <w:jc w:val="center"/>
              <w:rPr>
                <w:b/>
                <w:noProof/>
              </w:rPr>
            </w:pPr>
            <w:r>
              <w:rPr>
                <w:b/>
                <w:noProof/>
              </w:rPr>
              <w:t>2 810,048</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plačila</w:t>
            </w:r>
          </w:p>
        </w:tc>
        <w:tc>
          <w:tcPr>
            <w:tcW w:w="654" w:type="dxa"/>
            <w:vAlign w:val="center"/>
          </w:tcPr>
          <w:p>
            <w:pPr>
              <w:spacing w:before="20" w:after="20"/>
              <w:jc w:val="center"/>
              <w:rPr>
                <w:noProof/>
                <w:sz w:val="14"/>
              </w:rPr>
            </w:pPr>
            <w:r>
              <w:rPr>
                <w:noProof/>
                <w:sz w:val="14"/>
              </w:rPr>
              <w:t>(2)</w:t>
            </w:r>
          </w:p>
        </w:tc>
        <w:tc>
          <w:tcPr>
            <w:tcW w:w="868" w:type="dxa"/>
          </w:tcPr>
          <w:p>
            <w:pPr>
              <w:jc w:val="center"/>
              <w:rPr>
                <w:noProof/>
                <w:sz w:val="16"/>
                <w:szCs w:val="16"/>
              </w:rPr>
            </w:pPr>
          </w:p>
        </w:tc>
        <w:tc>
          <w:tcPr>
            <w:tcW w:w="868" w:type="dxa"/>
          </w:tcPr>
          <w:p>
            <w:pPr>
              <w:jc w:val="center"/>
              <w:rPr>
                <w:noProof/>
                <w:sz w:val="16"/>
                <w:szCs w:val="16"/>
              </w:rPr>
            </w:pPr>
            <w:r>
              <w:rPr>
                <w:noProof/>
                <w:sz w:val="16"/>
                <w:szCs w:val="16"/>
              </w:rPr>
              <w:t>60,055</w:t>
            </w:r>
          </w:p>
        </w:tc>
        <w:tc>
          <w:tcPr>
            <w:tcW w:w="868" w:type="dxa"/>
          </w:tcPr>
          <w:p>
            <w:pPr>
              <w:jc w:val="center"/>
              <w:rPr>
                <w:noProof/>
                <w:sz w:val="16"/>
                <w:szCs w:val="16"/>
              </w:rPr>
            </w:pPr>
            <w:r>
              <w:rPr>
                <w:noProof/>
                <w:sz w:val="16"/>
                <w:szCs w:val="16"/>
              </w:rPr>
              <w:t>343,229</w:t>
            </w:r>
          </w:p>
        </w:tc>
        <w:tc>
          <w:tcPr>
            <w:tcW w:w="868" w:type="dxa"/>
          </w:tcPr>
          <w:p>
            <w:pPr>
              <w:jc w:val="center"/>
              <w:rPr>
                <w:noProof/>
                <w:sz w:val="16"/>
                <w:szCs w:val="16"/>
              </w:rPr>
            </w:pPr>
            <w:r>
              <w:rPr>
                <w:noProof/>
                <w:sz w:val="16"/>
                <w:szCs w:val="16"/>
              </w:rPr>
              <w:t>444,024</w:t>
            </w:r>
          </w:p>
        </w:tc>
        <w:tc>
          <w:tcPr>
            <w:tcW w:w="868" w:type="dxa"/>
          </w:tcPr>
          <w:p>
            <w:pPr>
              <w:jc w:val="center"/>
              <w:rPr>
                <w:noProof/>
                <w:sz w:val="16"/>
                <w:szCs w:val="16"/>
              </w:rPr>
            </w:pPr>
            <w:r>
              <w:rPr>
                <w:noProof/>
                <w:sz w:val="16"/>
                <w:szCs w:val="16"/>
              </w:rPr>
              <w:t>343,665</w:t>
            </w:r>
          </w:p>
        </w:tc>
        <w:tc>
          <w:tcPr>
            <w:tcW w:w="868" w:type="dxa"/>
          </w:tcPr>
          <w:p>
            <w:pPr>
              <w:jc w:val="center"/>
              <w:rPr>
                <w:noProof/>
                <w:sz w:val="16"/>
                <w:szCs w:val="16"/>
              </w:rPr>
            </w:pPr>
            <w:r>
              <w:rPr>
                <w:noProof/>
                <w:sz w:val="16"/>
                <w:szCs w:val="16"/>
              </w:rPr>
              <w:t>409,011</w:t>
            </w:r>
          </w:p>
        </w:tc>
        <w:tc>
          <w:tcPr>
            <w:tcW w:w="868" w:type="dxa"/>
          </w:tcPr>
          <w:p>
            <w:pPr>
              <w:jc w:val="center"/>
              <w:rPr>
                <w:noProof/>
                <w:sz w:val="16"/>
                <w:szCs w:val="16"/>
              </w:rPr>
            </w:pPr>
            <w:r>
              <w:rPr>
                <w:noProof/>
                <w:sz w:val="16"/>
                <w:szCs w:val="16"/>
              </w:rPr>
              <w:t>461,055</w:t>
            </w:r>
          </w:p>
        </w:tc>
        <w:tc>
          <w:tcPr>
            <w:tcW w:w="1289" w:type="dxa"/>
          </w:tcPr>
          <w:p>
            <w:pPr>
              <w:jc w:val="center"/>
              <w:rPr>
                <w:noProof/>
                <w:sz w:val="20"/>
              </w:rPr>
            </w:pPr>
            <w:r>
              <w:rPr>
                <w:noProof/>
                <w:sz w:val="20"/>
              </w:rPr>
              <w:t>749,008</w:t>
            </w:r>
          </w:p>
        </w:tc>
        <w:tc>
          <w:tcPr>
            <w:tcW w:w="1289" w:type="dxa"/>
          </w:tcPr>
          <w:p>
            <w:pPr>
              <w:jc w:val="center"/>
              <w:rPr>
                <w:b/>
                <w:noProof/>
                <w:sz w:val="20"/>
              </w:rPr>
            </w:pPr>
            <w:r>
              <w:rPr>
                <w:b/>
                <w:noProof/>
                <w:sz w:val="20"/>
              </w:rPr>
              <w:t>2 810,048</w:t>
            </w:r>
          </w:p>
        </w:tc>
      </w:tr>
      <w:tr>
        <w:trPr>
          <w:jc w:val="center"/>
        </w:trPr>
        <w:tc>
          <w:tcPr>
            <w:tcW w:w="4103" w:type="dxa"/>
            <w:vMerge w:val="restart"/>
            <w:vAlign w:val="center"/>
          </w:tcPr>
          <w:p>
            <w:pPr>
              <w:jc w:val="left"/>
              <w:rPr>
                <w:b/>
                <w:noProof/>
              </w:rPr>
            </w:pPr>
            <w:r>
              <w:rPr>
                <w:b/>
                <w:noProof/>
                <w:sz w:val="22"/>
              </w:rPr>
              <w:t xml:space="preserve">Odobritve SKUPAJ </w:t>
            </w:r>
          </w:p>
        </w:tc>
        <w:tc>
          <w:tcPr>
            <w:tcW w:w="1440" w:type="dxa"/>
            <w:vAlign w:val="center"/>
          </w:tcPr>
          <w:p>
            <w:pPr>
              <w:jc w:val="left"/>
              <w:rPr>
                <w:noProof/>
                <w:sz w:val="18"/>
              </w:rPr>
            </w:pPr>
            <w:r>
              <w:rPr>
                <w:noProof/>
                <w:sz w:val="18"/>
              </w:rPr>
              <w:t>obveznosti</w:t>
            </w:r>
          </w:p>
        </w:tc>
        <w:tc>
          <w:tcPr>
            <w:tcW w:w="654" w:type="dxa"/>
            <w:vAlign w:val="center"/>
          </w:tcPr>
          <w:p>
            <w:pPr>
              <w:jc w:val="center"/>
              <w:rPr>
                <w:noProof/>
                <w:sz w:val="14"/>
              </w:rPr>
            </w:pPr>
            <w:r>
              <w:rPr>
                <w:noProof/>
                <w:sz w:val="14"/>
              </w:rPr>
              <w:t>= 1 + 3</w:t>
            </w:r>
          </w:p>
        </w:tc>
        <w:tc>
          <w:tcPr>
            <w:tcW w:w="868" w:type="dxa"/>
          </w:tcPr>
          <w:p>
            <w:pPr>
              <w:jc w:val="center"/>
              <w:rPr>
                <w:noProof/>
                <w:sz w:val="16"/>
                <w:szCs w:val="16"/>
              </w:rPr>
            </w:pPr>
            <w:r>
              <w:rPr>
                <w:noProof/>
                <w:sz w:val="16"/>
                <w:szCs w:val="16"/>
              </w:rPr>
              <w:t>416,600</w:t>
            </w:r>
          </w:p>
        </w:tc>
        <w:tc>
          <w:tcPr>
            <w:tcW w:w="868" w:type="dxa"/>
          </w:tcPr>
          <w:p>
            <w:pPr>
              <w:jc w:val="center"/>
              <w:rPr>
                <w:noProof/>
                <w:sz w:val="16"/>
                <w:szCs w:val="16"/>
              </w:rPr>
            </w:pPr>
            <w:r>
              <w:rPr>
                <w:noProof/>
                <w:sz w:val="16"/>
                <w:szCs w:val="16"/>
              </w:rPr>
              <w:t>413,025</w:t>
            </w:r>
          </w:p>
        </w:tc>
        <w:tc>
          <w:tcPr>
            <w:tcW w:w="868" w:type="dxa"/>
          </w:tcPr>
          <w:p>
            <w:pPr>
              <w:jc w:val="center"/>
              <w:rPr>
                <w:noProof/>
                <w:sz w:val="16"/>
                <w:szCs w:val="16"/>
              </w:rPr>
            </w:pPr>
            <w:r>
              <w:rPr>
                <w:noProof/>
                <w:sz w:val="16"/>
                <w:szCs w:val="16"/>
              </w:rPr>
              <w:t>408,037</w:t>
            </w:r>
          </w:p>
        </w:tc>
        <w:tc>
          <w:tcPr>
            <w:tcW w:w="868" w:type="dxa"/>
          </w:tcPr>
          <w:p>
            <w:pPr>
              <w:jc w:val="center"/>
              <w:rPr>
                <w:noProof/>
                <w:sz w:val="16"/>
                <w:szCs w:val="16"/>
              </w:rPr>
            </w:pPr>
            <w:r>
              <w:rPr>
                <w:noProof/>
                <w:sz w:val="16"/>
                <w:szCs w:val="16"/>
              </w:rPr>
              <w:t>402,684</w:t>
            </w:r>
          </w:p>
        </w:tc>
        <w:tc>
          <w:tcPr>
            <w:tcW w:w="868" w:type="dxa"/>
          </w:tcPr>
          <w:p>
            <w:pPr>
              <w:jc w:val="center"/>
              <w:rPr>
                <w:noProof/>
                <w:sz w:val="16"/>
                <w:szCs w:val="16"/>
              </w:rPr>
            </w:pPr>
            <w:r>
              <w:rPr>
                <w:noProof/>
                <w:sz w:val="16"/>
                <w:szCs w:val="16"/>
              </w:rPr>
              <w:t>396,953</w:t>
            </w:r>
          </w:p>
        </w:tc>
        <w:tc>
          <w:tcPr>
            <w:tcW w:w="868" w:type="dxa"/>
          </w:tcPr>
          <w:p>
            <w:pPr>
              <w:jc w:val="center"/>
              <w:rPr>
                <w:noProof/>
                <w:sz w:val="16"/>
                <w:szCs w:val="16"/>
              </w:rPr>
            </w:pPr>
            <w:r>
              <w:rPr>
                <w:noProof/>
                <w:sz w:val="16"/>
                <w:szCs w:val="16"/>
              </w:rPr>
              <w:t>390,832</w:t>
            </w:r>
          </w:p>
        </w:tc>
        <w:tc>
          <w:tcPr>
            <w:tcW w:w="868" w:type="dxa"/>
          </w:tcPr>
          <w:p>
            <w:pPr>
              <w:jc w:val="center"/>
              <w:rPr>
                <w:noProof/>
                <w:sz w:val="16"/>
                <w:szCs w:val="16"/>
              </w:rPr>
            </w:pPr>
            <w:r>
              <w:rPr>
                <w:noProof/>
                <w:sz w:val="16"/>
                <w:szCs w:val="16"/>
              </w:rPr>
              <w:t>381,917</w:t>
            </w:r>
          </w:p>
        </w:tc>
        <w:tc>
          <w:tcPr>
            <w:tcW w:w="1289" w:type="dxa"/>
          </w:tcPr>
          <w:p>
            <w:pPr>
              <w:jc w:val="center"/>
              <w:rPr>
                <w:noProof/>
              </w:rPr>
            </w:pPr>
          </w:p>
        </w:tc>
        <w:tc>
          <w:tcPr>
            <w:tcW w:w="1289" w:type="dxa"/>
          </w:tcPr>
          <w:p>
            <w:pPr>
              <w:jc w:val="center"/>
              <w:rPr>
                <w:noProof/>
              </w:rPr>
            </w:pPr>
            <w:r>
              <w:rPr>
                <w:b/>
                <w:noProof/>
              </w:rPr>
              <w:t>2 810,048</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plačila</w:t>
            </w:r>
          </w:p>
        </w:tc>
        <w:tc>
          <w:tcPr>
            <w:tcW w:w="654" w:type="dxa"/>
            <w:vAlign w:val="center"/>
          </w:tcPr>
          <w:p>
            <w:pPr>
              <w:jc w:val="center"/>
              <w:rPr>
                <w:noProof/>
                <w:sz w:val="14"/>
              </w:rPr>
            </w:pPr>
            <w:r>
              <w:rPr>
                <w:noProof/>
                <w:sz w:val="14"/>
              </w:rPr>
              <w:t>= 2 + 3</w:t>
            </w:r>
          </w:p>
        </w:tc>
        <w:tc>
          <w:tcPr>
            <w:tcW w:w="868" w:type="dxa"/>
          </w:tcPr>
          <w:p>
            <w:pPr>
              <w:jc w:val="center"/>
              <w:rPr>
                <w:noProof/>
                <w:sz w:val="16"/>
                <w:szCs w:val="16"/>
              </w:rPr>
            </w:pPr>
          </w:p>
        </w:tc>
        <w:tc>
          <w:tcPr>
            <w:tcW w:w="868" w:type="dxa"/>
          </w:tcPr>
          <w:p>
            <w:pPr>
              <w:jc w:val="center"/>
              <w:rPr>
                <w:noProof/>
                <w:sz w:val="16"/>
                <w:szCs w:val="16"/>
              </w:rPr>
            </w:pPr>
            <w:r>
              <w:rPr>
                <w:noProof/>
                <w:sz w:val="16"/>
                <w:szCs w:val="16"/>
              </w:rPr>
              <w:t>60,055</w:t>
            </w:r>
          </w:p>
        </w:tc>
        <w:tc>
          <w:tcPr>
            <w:tcW w:w="868" w:type="dxa"/>
          </w:tcPr>
          <w:p>
            <w:pPr>
              <w:jc w:val="center"/>
              <w:rPr>
                <w:noProof/>
                <w:sz w:val="16"/>
                <w:szCs w:val="16"/>
              </w:rPr>
            </w:pPr>
            <w:r>
              <w:rPr>
                <w:noProof/>
                <w:sz w:val="16"/>
                <w:szCs w:val="16"/>
              </w:rPr>
              <w:t>343,229</w:t>
            </w:r>
          </w:p>
        </w:tc>
        <w:tc>
          <w:tcPr>
            <w:tcW w:w="868" w:type="dxa"/>
          </w:tcPr>
          <w:p>
            <w:pPr>
              <w:jc w:val="center"/>
              <w:rPr>
                <w:noProof/>
                <w:sz w:val="16"/>
                <w:szCs w:val="16"/>
              </w:rPr>
            </w:pPr>
            <w:r>
              <w:rPr>
                <w:noProof/>
                <w:sz w:val="16"/>
                <w:szCs w:val="16"/>
              </w:rPr>
              <w:t>444,024</w:t>
            </w:r>
          </w:p>
        </w:tc>
        <w:tc>
          <w:tcPr>
            <w:tcW w:w="868" w:type="dxa"/>
          </w:tcPr>
          <w:p>
            <w:pPr>
              <w:jc w:val="center"/>
              <w:rPr>
                <w:noProof/>
                <w:sz w:val="16"/>
                <w:szCs w:val="16"/>
              </w:rPr>
            </w:pPr>
            <w:r>
              <w:rPr>
                <w:noProof/>
                <w:sz w:val="16"/>
                <w:szCs w:val="16"/>
              </w:rPr>
              <w:t>343,665</w:t>
            </w:r>
          </w:p>
        </w:tc>
        <w:tc>
          <w:tcPr>
            <w:tcW w:w="868" w:type="dxa"/>
          </w:tcPr>
          <w:p>
            <w:pPr>
              <w:jc w:val="center"/>
              <w:rPr>
                <w:noProof/>
                <w:sz w:val="16"/>
                <w:szCs w:val="16"/>
              </w:rPr>
            </w:pPr>
            <w:r>
              <w:rPr>
                <w:noProof/>
                <w:sz w:val="16"/>
                <w:szCs w:val="16"/>
              </w:rPr>
              <w:t>409,011</w:t>
            </w:r>
          </w:p>
        </w:tc>
        <w:tc>
          <w:tcPr>
            <w:tcW w:w="868" w:type="dxa"/>
          </w:tcPr>
          <w:p>
            <w:pPr>
              <w:jc w:val="center"/>
              <w:rPr>
                <w:noProof/>
                <w:sz w:val="16"/>
                <w:szCs w:val="16"/>
              </w:rPr>
            </w:pPr>
            <w:r>
              <w:rPr>
                <w:noProof/>
                <w:sz w:val="16"/>
                <w:szCs w:val="16"/>
              </w:rPr>
              <w:t>461,055</w:t>
            </w:r>
          </w:p>
        </w:tc>
        <w:tc>
          <w:tcPr>
            <w:tcW w:w="1289" w:type="dxa"/>
          </w:tcPr>
          <w:p>
            <w:pPr>
              <w:jc w:val="center"/>
              <w:rPr>
                <w:noProof/>
              </w:rPr>
            </w:pPr>
            <w:r>
              <w:rPr>
                <w:noProof/>
                <w:sz w:val="20"/>
              </w:rPr>
              <w:t>749,008</w:t>
            </w:r>
          </w:p>
        </w:tc>
        <w:tc>
          <w:tcPr>
            <w:tcW w:w="1289" w:type="dxa"/>
          </w:tcPr>
          <w:p>
            <w:pPr>
              <w:jc w:val="center"/>
              <w:rPr>
                <w:noProof/>
              </w:rPr>
            </w:pPr>
            <w:r>
              <w:rPr>
                <w:b/>
                <w:noProof/>
                <w:sz w:val="20"/>
              </w:rPr>
              <w:t>2 810,048</w:t>
            </w:r>
          </w:p>
        </w:tc>
      </w:tr>
    </w:tbl>
    <w:p>
      <w:pPr>
        <w:rPr>
          <w:i/>
          <w:noProof/>
        </w:rPr>
      </w:pPr>
    </w:p>
    <w:p>
      <w:pPr>
        <w:rPr>
          <w:i/>
          <w:noProof/>
        </w:rPr>
      </w:pPr>
      <w:r>
        <w:rPr>
          <w:i/>
          <w:noProof/>
        </w:rPr>
        <w:t>Okvirna razčlenitev odhodkov iz zunanjih namenskih prejemkov je naslednja:</w:t>
      </w:r>
    </w:p>
    <w:tbl>
      <w:tblPr>
        <w:tblW w:w="13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377"/>
        <w:gridCol w:w="805"/>
        <w:gridCol w:w="716"/>
        <w:gridCol w:w="716"/>
        <w:gridCol w:w="716"/>
        <w:gridCol w:w="716"/>
        <w:gridCol w:w="716"/>
        <w:gridCol w:w="716"/>
        <w:gridCol w:w="716"/>
        <w:gridCol w:w="1017"/>
      </w:tblGrid>
      <w:tr>
        <w:tc>
          <w:tcPr>
            <w:tcW w:w="4252" w:type="dxa"/>
            <w:vAlign w:val="center"/>
          </w:tcPr>
          <w:p>
            <w:pPr>
              <w:jc w:val="center"/>
              <w:rPr>
                <w:noProof/>
                <w:sz w:val="20"/>
                <w:szCs w:val="20"/>
              </w:rPr>
            </w:pPr>
          </w:p>
        </w:tc>
        <w:tc>
          <w:tcPr>
            <w:tcW w:w="2377" w:type="dxa"/>
          </w:tcPr>
          <w:p>
            <w:pPr>
              <w:jc w:val="center"/>
              <w:rPr>
                <w:noProof/>
                <w:sz w:val="20"/>
                <w:szCs w:val="20"/>
              </w:rPr>
            </w:pPr>
          </w:p>
        </w:tc>
        <w:tc>
          <w:tcPr>
            <w:tcW w:w="805" w:type="dxa"/>
          </w:tcPr>
          <w:p>
            <w:pPr>
              <w:jc w:val="center"/>
              <w:rPr>
                <w:noProof/>
                <w:sz w:val="20"/>
                <w:szCs w:val="20"/>
              </w:rPr>
            </w:pPr>
          </w:p>
        </w:tc>
        <w:tc>
          <w:tcPr>
            <w:tcW w:w="716" w:type="dxa"/>
            <w:vAlign w:val="center"/>
          </w:tcPr>
          <w:p>
            <w:pPr>
              <w:jc w:val="center"/>
              <w:rPr>
                <w:noProof/>
                <w:sz w:val="20"/>
                <w:szCs w:val="20"/>
              </w:rPr>
            </w:pPr>
            <w:r>
              <w:rPr>
                <w:b/>
                <w:noProof/>
                <w:sz w:val="20"/>
                <w:szCs w:val="20"/>
              </w:rPr>
              <w:t>2021</w:t>
            </w:r>
          </w:p>
        </w:tc>
        <w:tc>
          <w:tcPr>
            <w:tcW w:w="716" w:type="dxa"/>
            <w:vAlign w:val="center"/>
          </w:tcPr>
          <w:p>
            <w:pPr>
              <w:jc w:val="center"/>
              <w:rPr>
                <w:noProof/>
                <w:sz w:val="20"/>
                <w:szCs w:val="20"/>
              </w:rPr>
            </w:pPr>
            <w:r>
              <w:rPr>
                <w:b/>
                <w:noProof/>
                <w:sz w:val="20"/>
                <w:szCs w:val="20"/>
              </w:rPr>
              <w:t>2022</w:t>
            </w:r>
          </w:p>
        </w:tc>
        <w:tc>
          <w:tcPr>
            <w:tcW w:w="716" w:type="dxa"/>
            <w:vAlign w:val="center"/>
          </w:tcPr>
          <w:p>
            <w:pPr>
              <w:jc w:val="center"/>
              <w:rPr>
                <w:noProof/>
                <w:sz w:val="20"/>
                <w:szCs w:val="20"/>
              </w:rPr>
            </w:pPr>
            <w:r>
              <w:rPr>
                <w:b/>
                <w:noProof/>
                <w:sz w:val="20"/>
                <w:szCs w:val="20"/>
              </w:rPr>
              <w:t>2023</w:t>
            </w:r>
          </w:p>
        </w:tc>
        <w:tc>
          <w:tcPr>
            <w:tcW w:w="716" w:type="dxa"/>
            <w:vAlign w:val="center"/>
          </w:tcPr>
          <w:p>
            <w:pPr>
              <w:jc w:val="center"/>
              <w:rPr>
                <w:noProof/>
                <w:sz w:val="20"/>
                <w:szCs w:val="20"/>
              </w:rPr>
            </w:pPr>
            <w:r>
              <w:rPr>
                <w:b/>
                <w:noProof/>
                <w:sz w:val="20"/>
                <w:szCs w:val="20"/>
              </w:rPr>
              <w:t>2024</w:t>
            </w:r>
          </w:p>
        </w:tc>
        <w:tc>
          <w:tcPr>
            <w:tcW w:w="716" w:type="dxa"/>
            <w:vAlign w:val="center"/>
          </w:tcPr>
          <w:p>
            <w:pPr>
              <w:jc w:val="center"/>
              <w:rPr>
                <w:b/>
                <w:noProof/>
                <w:sz w:val="20"/>
                <w:szCs w:val="20"/>
              </w:rPr>
            </w:pPr>
            <w:r>
              <w:rPr>
                <w:b/>
                <w:noProof/>
                <w:sz w:val="20"/>
                <w:szCs w:val="20"/>
              </w:rPr>
              <w:t>2025</w:t>
            </w:r>
          </w:p>
        </w:tc>
        <w:tc>
          <w:tcPr>
            <w:tcW w:w="716" w:type="dxa"/>
          </w:tcPr>
          <w:p>
            <w:pPr>
              <w:jc w:val="center"/>
              <w:rPr>
                <w:b/>
                <w:noProof/>
                <w:sz w:val="20"/>
                <w:szCs w:val="20"/>
              </w:rPr>
            </w:pPr>
            <w:r>
              <w:rPr>
                <w:b/>
                <w:noProof/>
                <w:sz w:val="20"/>
                <w:szCs w:val="20"/>
              </w:rPr>
              <w:t>2026</w:t>
            </w:r>
          </w:p>
        </w:tc>
        <w:tc>
          <w:tcPr>
            <w:tcW w:w="716" w:type="dxa"/>
          </w:tcPr>
          <w:p>
            <w:pPr>
              <w:jc w:val="center"/>
              <w:rPr>
                <w:b/>
                <w:noProof/>
                <w:sz w:val="20"/>
                <w:szCs w:val="20"/>
              </w:rPr>
            </w:pPr>
            <w:r>
              <w:rPr>
                <w:b/>
                <w:noProof/>
                <w:sz w:val="20"/>
                <w:szCs w:val="20"/>
              </w:rPr>
              <w:t>2027</w:t>
            </w:r>
          </w:p>
        </w:tc>
        <w:tc>
          <w:tcPr>
            <w:tcW w:w="1017" w:type="dxa"/>
            <w:vAlign w:val="center"/>
          </w:tcPr>
          <w:p>
            <w:pPr>
              <w:jc w:val="center"/>
              <w:rPr>
                <w:b/>
                <w:noProof/>
                <w:sz w:val="20"/>
                <w:szCs w:val="20"/>
              </w:rPr>
            </w:pPr>
            <w:r>
              <w:rPr>
                <w:b/>
                <w:noProof/>
                <w:sz w:val="20"/>
                <w:szCs w:val="20"/>
              </w:rPr>
              <w:t>SKUPAJ</w:t>
            </w:r>
          </w:p>
        </w:tc>
      </w:tr>
      <w:tr>
        <w:tc>
          <w:tcPr>
            <w:tcW w:w="4252" w:type="dxa"/>
            <w:vMerge w:val="restart"/>
            <w:tcBorders>
              <w:top w:val="single" w:sz="4" w:space="0" w:color="auto"/>
              <w:left w:val="single" w:sz="4" w:space="0" w:color="auto"/>
              <w:right w:val="single" w:sz="4" w:space="0" w:color="auto"/>
            </w:tcBorders>
            <w:vAlign w:val="center"/>
          </w:tcPr>
          <w:p>
            <w:pPr>
              <w:jc w:val="center"/>
              <w:rPr>
                <w:noProof/>
                <w:sz w:val="20"/>
                <w:szCs w:val="20"/>
              </w:rPr>
            </w:pPr>
            <w:r>
              <w:rPr>
                <w:noProof/>
                <w:sz w:val="20"/>
                <w:szCs w:val="20"/>
              </w:rPr>
              <w:t>Odhodki za poslovanje, ki se financirajo iz zunanjih namenskih prejemkov evropskega instrumenta za okrevanje</w:t>
            </w:r>
          </w:p>
        </w:tc>
        <w:tc>
          <w:tcPr>
            <w:tcW w:w="2377"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obveznosti</w:t>
            </w:r>
          </w:p>
        </w:tc>
        <w:tc>
          <w:tcPr>
            <w:tcW w:w="805"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(1)</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noProof/>
                <w:color w:val="000000"/>
                <w:sz w:val="20"/>
                <w:szCs w:val="20"/>
              </w:rPr>
              <w:t>7 954,600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noProof/>
                <w:color w:val="000000"/>
                <w:sz w:val="20"/>
                <w:szCs w:val="20"/>
              </w:rPr>
              <w:t>8 114,600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8 276,600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8 441,600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p>
        </w:tc>
        <w:tc>
          <w:tcPr>
            <w:tcW w:w="1017"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32 787,400</w:t>
            </w:r>
          </w:p>
        </w:tc>
      </w:tr>
      <w:tr>
        <w:tc>
          <w:tcPr>
            <w:tcW w:w="4252" w:type="dxa"/>
            <w:vMerge/>
            <w:tcBorders>
              <w:left w:val="single" w:sz="4" w:space="0" w:color="auto"/>
              <w:bottom w:val="single" w:sz="4" w:space="0" w:color="auto"/>
              <w:right w:val="single" w:sz="4" w:space="0" w:color="auto"/>
            </w:tcBorders>
            <w:vAlign w:val="center"/>
          </w:tcPr>
          <w:p>
            <w:pPr>
              <w:jc w:val="center"/>
              <w:rPr>
                <w:noProof/>
                <w:sz w:val="20"/>
                <w:szCs w:val="20"/>
              </w:rPr>
            </w:pPr>
          </w:p>
        </w:tc>
        <w:tc>
          <w:tcPr>
            <w:tcW w:w="2377"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plačila</w:t>
            </w:r>
          </w:p>
        </w:tc>
        <w:tc>
          <w:tcPr>
            <w:tcW w:w="805"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(2)</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7 310,645</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7 726,658</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7 212,000</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6 294,109</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4 243,988</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p>
        </w:tc>
        <w:tc>
          <w:tcPr>
            <w:tcW w:w="1017"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32 787,400</w:t>
            </w:r>
          </w:p>
        </w:tc>
      </w:tr>
      <w:tr>
        <w:tc>
          <w:tcPr>
            <w:tcW w:w="4252" w:type="dxa"/>
            <w:tcBorders>
              <w:top w:val="single" w:sz="4" w:space="0" w:color="auto"/>
              <w:left w:val="single" w:sz="4" w:space="0" w:color="auto"/>
              <w:bottom w:val="single" w:sz="4" w:space="0" w:color="auto"/>
              <w:right w:val="single" w:sz="4" w:space="0" w:color="auto"/>
            </w:tcBorders>
            <w:vAlign w:val="center"/>
          </w:tcPr>
          <w:p>
            <w:pPr>
              <w:jc w:val="center"/>
              <w:rPr>
                <w:noProof/>
                <w:sz w:val="20"/>
                <w:szCs w:val="20"/>
              </w:rPr>
            </w:pPr>
            <w:r>
              <w:rPr>
                <w:noProof/>
                <w:sz w:val="20"/>
                <w:szCs w:val="20"/>
              </w:rPr>
              <w:t>Odhodki za upravno podporo, ki se financirajo iz zunanjih namenskih prejemkov evropskega instrumenta za okrevanje</w:t>
            </w:r>
          </w:p>
        </w:tc>
        <w:tc>
          <w:tcPr>
            <w:tcW w:w="2377" w:type="dxa"/>
            <w:tcBorders>
              <w:top w:val="single" w:sz="4" w:space="0" w:color="auto"/>
              <w:left w:val="single" w:sz="4" w:space="0" w:color="auto"/>
              <w:bottom w:val="single" w:sz="4" w:space="0" w:color="auto"/>
              <w:right w:val="single" w:sz="4" w:space="0" w:color="auto"/>
            </w:tcBorders>
            <w:vAlign w:val="center"/>
          </w:tcPr>
          <w:p>
            <w:pPr>
              <w:jc w:val="center"/>
              <w:rPr>
                <w:noProof/>
                <w:sz w:val="20"/>
                <w:szCs w:val="20"/>
              </w:rPr>
            </w:pPr>
            <w:r>
              <w:rPr>
                <w:noProof/>
                <w:sz w:val="20"/>
                <w:szCs w:val="20"/>
              </w:rPr>
              <w:t>obveznosti = plačila</w:t>
            </w:r>
          </w:p>
        </w:tc>
        <w:tc>
          <w:tcPr>
            <w:tcW w:w="805" w:type="dxa"/>
            <w:tcBorders>
              <w:top w:val="single" w:sz="4" w:space="0" w:color="auto"/>
              <w:left w:val="single" w:sz="4" w:space="0" w:color="auto"/>
              <w:bottom w:val="single" w:sz="4" w:space="0" w:color="auto"/>
              <w:right w:val="single" w:sz="4" w:space="0" w:color="auto"/>
            </w:tcBorders>
            <w:vAlign w:val="center"/>
          </w:tcPr>
          <w:p>
            <w:pPr>
              <w:jc w:val="center"/>
              <w:rPr>
                <w:noProof/>
                <w:sz w:val="20"/>
                <w:szCs w:val="20"/>
              </w:rPr>
            </w:pPr>
            <w:r>
              <w:rPr>
                <w:noProof/>
                <w:sz w:val="20"/>
                <w:szCs w:val="20"/>
              </w:rPr>
              <w:t>(3)</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2,400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2,400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2,400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2,400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2,000</w:t>
            </w:r>
          </w:p>
        </w:tc>
        <w:tc>
          <w:tcPr>
            <w:tcW w:w="1017"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15,600</w:t>
            </w:r>
          </w:p>
        </w:tc>
      </w:tr>
      <w:tr>
        <w:tc>
          <w:tcPr>
            <w:tcW w:w="4252" w:type="dxa"/>
            <w:vMerge w:val="restart"/>
            <w:tcBorders>
              <w:top w:val="single" w:sz="4" w:space="0" w:color="auto"/>
              <w:left w:val="single" w:sz="4" w:space="0" w:color="auto"/>
              <w:right w:val="single" w:sz="4" w:space="0" w:color="auto"/>
            </w:tcBorders>
            <w:vAlign w:val="center"/>
          </w:tcPr>
          <w:p>
            <w:pPr>
              <w:jc w:val="center"/>
              <w:rPr>
                <w:noProof/>
                <w:sz w:val="20"/>
                <w:szCs w:val="20"/>
              </w:rPr>
            </w:pPr>
            <w:r>
              <w:rPr>
                <w:noProof/>
                <w:sz w:val="20"/>
                <w:szCs w:val="20"/>
              </w:rPr>
              <w:t>Odhodki skupaj, ki se financirajo iz zunanjih namenskih prejemkov evropskega instrumenta za okrevanje</w:t>
            </w:r>
          </w:p>
        </w:tc>
        <w:tc>
          <w:tcPr>
            <w:tcW w:w="2377"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obveznosti</w:t>
            </w:r>
          </w:p>
        </w:tc>
        <w:tc>
          <w:tcPr>
            <w:tcW w:w="805"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 1 + 3</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7 957,000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8 117,000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8 279,000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8 444,000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2,000</w:t>
            </w:r>
          </w:p>
        </w:tc>
        <w:tc>
          <w:tcPr>
            <w:tcW w:w="1017"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32 803,000</w:t>
            </w:r>
          </w:p>
        </w:tc>
      </w:tr>
      <w:tr>
        <w:tc>
          <w:tcPr>
            <w:tcW w:w="4252" w:type="dxa"/>
            <w:vMerge/>
            <w:tcBorders>
              <w:left w:val="single" w:sz="4" w:space="0" w:color="auto"/>
              <w:bottom w:val="single" w:sz="4" w:space="0" w:color="auto"/>
              <w:right w:val="single" w:sz="4" w:space="0" w:color="auto"/>
            </w:tcBorders>
            <w:vAlign w:val="center"/>
          </w:tcPr>
          <w:p>
            <w:pPr>
              <w:jc w:val="center"/>
              <w:rPr>
                <w:noProof/>
                <w:sz w:val="20"/>
                <w:szCs w:val="20"/>
              </w:rPr>
            </w:pPr>
          </w:p>
        </w:tc>
        <w:tc>
          <w:tcPr>
            <w:tcW w:w="2377"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plačila</w:t>
            </w:r>
          </w:p>
        </w:tc>
        <w:tc>
          <w:tcPr>
            <w:tcW w:w="805"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 2 + 3</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7 313,045</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7 729,058</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7 214,400</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6 296,509</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4 245,988</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2,000</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2,000</w:t>
            </w:r>
          </w:p>
        </w:tc>
        <w:tc>
          <w:tcPr>
            <w:tcW w:w="1017"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32 803,000</w:t>
            </w:r>
          </w:p>
        </w:tc>
      </w:tr>
    </w:tbl>
    <w:p>
      <w:pPr>
        <w:rPr>
          <w:i/>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Razdelek</w:t>
            </w:r>
            <w:r>
              <w:rPr>
                <w:noProof/>
              </w:rPr>
              <w:br/>
            </w:r>
            <w:r>
              <w:rPr>
                <w:b/>
                <w:noProof/>
                <w:sz w:val="22"/>
              </w:rPr>
              <w:t xml:space="preserve">večletnega finančnega okvira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„Upravni odhodki“</w:t>
            </w:r>
          </w:p>
        </w:tc>
      </w:tr>
    </w:tbl>
    <w:p>
      <w:pPr>
        <w:jc w:val="left"/>
        <w:rPr>
          <w:noProof/>
        </w:rPr>
      </w:pPr>
    </w:p>
    <w:p>
      <w:pPr>
        <w:jc w:val="right"/>
        <w:rPr>
          <w:noProof/>
          <w:sz w:val="20"/>
        </w:rPr>
      </w:pPr>
      <w:r>
        <w:rPr>
          <w:noProof/>
          <w:sz w:val="20"/>
        </w:rPr>
        <w:t>v mio. EUR (na tri decimalna mesta natančno)</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Po letu 2027</w:t>
            </w:r>
          </w:p>
        </w:tc>
        <w:tc>
          <w:tcPr>
            <w:tcW w:w="1291" w:type="dxa"/>
            <w:vAlign w:val="center"/>
          </w:tcPr>
          <w:p>
            <w:pPr>
              <w:jc w:val="center"/>
              <w:rPr>
                <w:b/>
                <w:noProof/>
                <w:sz w:val="20"/>
              </w:rPr>
            </w:pPr>
            <w:r>
              <w:rPr>
                <w:b/>
                <w:noProof/>
                <w:sz w:val="20"/>
              </w:rPr>
              <w:t>SKUPAJ</w:t>
            </w:r>
          </w:p>
        </w:tc>
      </w:tr>
      <w:tr>
        <w:trPr>
          <w:trHeight w:val="313"/>
          <w:jc w:val="center"/>
        </w:trPr>
        <w:tc>
          <w:tcPr>
            <w:tcW w:w="6245" w:type="dxa"/>
            <w:gridSpan w:val="2"/>
            <w:vAlign w:val="center"/>
          </w:tcPr>
          <w:p>
            <w:pPr>
              <w:spacing w:before="20" w:after="20"/>
              <w:rPr>
                <w:noProof/>
              </w:rPr>
            </w:pPr>
            <w:r>
              <w:rPr>
                <w:noProof/>
                <w:sz w:val="22"/>
              </w:rPr>
              <w:t xml:space="preserve">Človeški viri </w:t>
            </w:r>
          </w:p>
        </w:tc>
        <w:tc>
          <w:tcPr>
            <w:tcW w:w="868" w:type="dxa"/>
            <w:vAlign w:val="center"/>
          </w:tcPr>
          <w:p>
            <w:pPr>
              <w:spacing w:before="20" w:after="20"/>
              <w:jc w:val="right"/>
              <w:rPr>
                <w:noProof/>
                <w:sz w:val="20"/>
              </w:rPr>
            </w:pPr>
            <w:r>
              <w:rPr>
                <w:noProof/>
                <w:sz w:val="20"/>
              </w:rPr>
              <w:t>1,500</w:t>
            </w:r>
          </w:p>
        </w:tc>
        <w:tc>
          <w:tcPr>
            <w:tcW w:w="868" w:type="dxa"/>
            <w:vAlign w:val="center"/>
          </w:tcPr>
          <w:p>
            <w:pPr>
              <w:spacing w:before="20" w:after="20"/>
              <w:jc w:val="right"/>
              <w:rPr>
                <w:noProof/>
                <w:sz w:val="20"/>
              </w:rPr>
            </w:pPr>
            <w:r>
              <w:rPr>
                <w:noProof/>
                <w:sz w:val="20"/>
              </w:rPr>
              <w:t>1,500</w:t>
            </w:r>
          </w:p>
        </w:tc>
        <w:tc>
          <w:tcPr>
            <w:tcW w:w="868" w:type="dxa"/>
            <w:vAlign w:val="center"/>
          </w:tcPr>
          <w:p>
            <w:pPr>
              <w:spacing w:before="20" w:after="20"/>
              <w:jc w:val="right"/>
              <w:rPr>
                <w:noProof/>
                <w:sz w:val="20"/>
              </w:rPr>
            </w:pPr>
            <w:r>
              <w:rPr>
                <w:noProof/>
                <w:sz w:val="20"/>
              </w:rPr>
              <w:t>1,500</w:t>
            </w:r>
          </w:p>
        </w:tc>
        <w:tc>
          <w:tcPr>
            <w:tcW w:w="868" w:type="dxa"/>
            <w:vAlign w:val="center"/>
          </w:tcPr>
          <w:p>
            <w:pPr>
              <w:spacing w:before="20" w:after="20"/>
              <w:jc w:val="right"/>
              <w:rPr>
                <w:noProof/>
                <w:sz w:val="20"/>
              </w:rPr>
            </w:pPr>
            <w:r>
              <w:rPr>
                <w:noProof/>
                <w:sz w:val="20"/>
              </w:rPr>
              <w:t>1,500</w:t>
            </w:r>
          </w:p>
        </w:tc>
        <w:tc>
          <w:tcPr>
            <w:tcW w:w="868" w:type="dxa"/>
            <w:vAlign w:val="center"/>
          </w:tcPr>
          <w:p>
            <w:pPr>
              <w:spacing w:before="20" w:after="20"/>
              <w:jc w:val="right"/>
              <w:rPr>
                <w:noProof/>
                <w:sz w:val="20"/>
              </w:rPr>
            </w:pPr>
            <w:r>
              <w:rPr>
                <w:noProof/>
                <w:sz w:val="20"/>
              </w:rPr>
              <w:t>1,500</w:t>
            </w:r>
          </w:p>
        </w:tc>
        <w:tc>
          <w:tcPr>
            <w:tcW w:w="868" w:type="dxa"/>
            <w:vAlign w:val="center"/>
          </w:tcPr>
          <w:p>
            <w:pPr>
              <w:spacing w:before="20" w:after="20"/>
              <w:jc w:val="right"/>
              <w:rPr>
                <w:noProof/>
                <w:sz w:val="20"/>
              </w:rPr>
            </w:pPr>
            <w:r>
              <w:rPr>
                <w:noProof/>
                <w:sz w:val="20"/>
              </w:rPr>
              <w:t>1,500</w:t>
            </w:r>
          </w:p>
        </w:tc>
        <w:tc>
          <w:tcPr>
            <w:tcW w:w="868" w:type="dxa"/>
            <w:vAlign w:val="center"/>
          </w:tcPr>
          <w:p>
            <w:pPr>
              <w:spacing w:before="20" w:after="20"/>
              <w:jc w:val="right"/>
              <w:rPr>
                <w:b/>
                <w:noProof/>
                <w:sz w:val="20"/>
              </w:rPr>
            </w:pPr>
            <w:r>
              <w:rPr>
                <w:b/>
                <w:noProof/>
                <w:sz w:val="20"/>
              </w:rPr>
              <w:t>1,500</w:t>
            </w: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10,500</w:t>
            </w:r>
          </w:p>
        </w:tc>
      </w:tr>
      <w:tr>
        <w:trPr>
          <w:trHeight w:val="351"/>
          <w:jc w:val="center"/>
        </w:trPr>
        <w:tc>
          <w:tcPr>
            <w:tcW w:w="6245" w:type="dxa"/>
            <w:gridSpan w:val="2"/>
            <w:vAlign w:val="center"/>
          </w:tcPr>
          <w:p>
            <w:pPr>
              <w:spacing w:before="20" w:after="20"/>
              <w:rPr>
                <w:noProof/>
              </w:rPr>
            </w:pPr>
            <w:r>
              <w:rPr>
                <w:noProof/>
                <w:sz w:val="22"/>
              </w:rPr>
              <w:t xml:space="preserve">Drugi upravni odhodki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p>
        </w:tc>
      </w:tr>
      <w:tr>
        <w:trPr>
          <w:trHeight w:val="351"/>
          <w:jc w:val="center"/>
        </w:trPr>
        <w:tc>
          <w:tcPr>
            <w:tcW w:w="4199" w:type="dxa"/>
            <w:vAlign w:val="center"/>
          </w:tcPr>
          <w:p>
            <w:pPr>
              <w:spacing w:before="20" w:after="20"/>
              <w:jc w:val="left"/>
              <w:rPr>
                <w:b/>
                <w:noProof/>
                <w:sz w:val="22"/>
              </w:rPr>
            </w:pPr>
            <w:r>
              <w:rPr>
                <w:b/>
                <w:noProof/>
                <w:sz w:val="22"/>
              </w:rPr>
              <w:t>Odobritve iz RAZDELKA 7 večletnega finančnega okvira SKUPAJ</w:t>
            </w:r>
          </w:p>
        </w:tc>
        <w:tc>
          <w:tcPr>
            <w:tcW w:w="2046" w:type="dxa"/>
            <w:vAlign w:val="center"/>
          </w:tcPr>
          <w:p>
            <w:pPr>
              <w:spacing w:before="20" w:after="20"/>
              <w:rPr>
                <w:noProof/>
                <w:sz w:val="22"/>
              </w:rPr>
            </w:pPr>
            <w:r>
              <w:rPr>
                <w:noProof/>
                <w:sz w:val="18"/>
              </w:rPr>
              <w:t>(obveznosti skupaj = plačila skupaj)</w:t>
            </w:r>
          </w:p>
        </w:tc>
        <w:tc>
          <w:tcPr>
            <w:tcW w:w="868" w:type="dxa"/>
            <w:vAlign w:val="center"/>
          </w:tcPr>
          <w:p>
            <w:pPr>
              <w:spacing w:before="20" w:after="20"/>
              <w:jc w:val="right"/>
              <w:rPr>
                <w:b/>
                <w:noProof/>
                <w:sz w:val="20"/>
              </w:rPr>
            </w:pPr>
            <w:r>
              <w:rPr>
                <w:b/>
                <w:noProof/>
                <w:sz w:val="20"/>
              </w:rPr>
              <w:t>1,500</w:t>
            </w:r>
          </w:p>
        </w:tc>
        <w:tc>
          <w:tcPr>
            <w:tcW w:w="868" w:type="dxa"/>
            <w:vAlign w:val="center"/>
          </w:tcPr>
          <w:p>
            <w:pPr>
              <w:spacing w:before="20" w:after="20"/>
              <w:jc w:val="right"/>
              <w:rPr>
                <w:b/>
                <w:noProof/>
                <w:sz w:val="20"/>
              </w:rPr>
            </w:pPr>
            <w:r>
              <w:rPr>
                <w:b/>
                <w:noProof/>
                <w:sz w:val="20"/>
              </w:rPr>
              <w:t>1,500</w:t>
            </w:r>
          </w:p>
        </w:tc>
        <w:tc>
          <w:tcPr>
            <w:tcW w:w="868" w:type="dxa"/>
            <w:vAlign w:val="center"/>
          </w:tcPr>
          <w:p>
            <w:pPr>
              <w:spacing w:before="20" w:after="20"/>
              <w:jc w:val="right"/>
              <w:rPr>
                <w:b/>
                <w:noProof/>
                <w:sz w:val="20"/>
              </w:rPr>
            </w:pPr>
            <w:r>
              <w:rPr>
                <w:b/>
                <w:noProof/>
                <w:sz w:val="20"/>
              </w:rPr>
              <w:t>1,500</w:t>
            </w:r>
          </w:p>
        </w:tc>
        <w:tc>
          <w:tcPr>
            <w:tcW w:w="868" w:type="dxa"/>
            <w:vAlign w:val="center"/>
          </w:tcPr>
          <w:p>
            <w:pPr>
              <w:spacing w:before="20" w:after="20"/>
              <w:jc w:val="right"/>
              <w:rPr>
                <w:b/>
                <w:noProof/>
                <w:sz w:val="20"/>
              </w:rPr>
            </w:pPr>
            <w:r>
              <w:rPr>
                <w:b/>
                <w:noProof/>
                <w:sz w:val="20"/>
              </w:rPr>
              <w:t>1,500</w:t>
            </w:r>
          </w:p>
        </w:tc>
        <w:tc>
          <w:tcPr>
            <w:tcW w:w="868" w:type="dxa"/>
            <w:vAlign w:val="center"/>
          </w:tcPr>
          <w:p>
            <w:pPr>
              <w:spacing w:before="20" w:after="20"/>
              <w:jc w:val="right"/>
              <w:rPr>
                <w:b/>
                <w:noProof/>
                <w:sz w:val="20"/>
              </w:rPr>
            </w:pPr>
            <w:r>
              <w:rPr>
                <w:b/>
                <w:noProof/>
                <w:sz w:val="20"/>
              </w:rPr>
              <w:t>1,500</w:t>
            </w:r>
          </w:p>
        </w:tc>
        <w:tc>
          <w:tcPr>
            <w:tcW w:w="868" w:type="dxa"/>
            <w:vAlign w:val="center"/>
          </w:tcPr>
          <w:p>
            <w:pPr>
              <w:spacing w:before="20" w:after="20"/>
              <w:jc w:val="right"/>
              <w:rPr>
                <w:b/>
                <w:noProof/>
                <w:sz w:val="20"/>
              </w:rPr>
            </w:pPr>
            <w:r>
              <w:rPr>
                <w:b/>
                <w:noProof/>
                <w:sz w:val="20"/>
              </w:rPr>
              <w:t>1,500</w:t>
            </w:r>
          </w:p>
        </w:tc>
        <w:tc>
          <w:tcPr>
            <w:tcW w:w="868" w:type="dxa"/>
            <w:vAlign w:val="center"/>
          </w:tcPr>
          <w:p>
            <w:pPr>
              <w:spacing w:before="20" w:after="20"/>
              <w:jc w:val="right"/>
              <w:rPr>
                <w:b/>
                <w:noProof/>
                <w:sz w:val="20"/>
              </w:rPr>
            </w:pPr>
            <w:r>
              <w:rPr>
                <w:b/>
                <w:noProof/>
                <w:sz w:val="20"/>
              </w:rPr>
              <w:t>1,500</w:t>
            </w: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10,500</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noProof/>
          <w:szCs w:val="24"/>
        </w:rPr>
      </w:pPr>
      <w:bookmarkStart w:id="44" w:name="_Toc514941993"/>
      <w:bookmarkStart w:id="45" w:name="_Toc39839413"/>
      <w:r>
        <w:t>3.2.2.</w:t>
      </w:r>
      <w:r>
        <w:tab/>
      </w:r>
      <w:r>
        <w:rPr>
          <w:noProof/>
        </w:rPr>
        <w:t>Povzetek ocenjenih posledic za odobritve za upravne zadeve</w:t>
      </w:r>
      <w:bookmarkEnd w:id="44"/>
      <w:bookmarkEnd w:id="45"/>
    </w:p>
    <w:p>
      <w:pPr>
        <w:tabs>
          <w:tab w:val="num" w:pos="1134"/>
        </w:tabs>
        <w:ind w:left="1134" w:hanging="283"/>
        <w:rPr>
          <w:rFonts w:eastAsia="Times New Roman"/>
          <w:noProof/>
        </w:rPr>
      </w:pPr>
      <w:r>
        <w:rPr>
          <w:noProof/>
        </w:rPr>
        <w:sym w:font="Wingdings" w:char="F0A8"/>
      </w:r>
      <w:r>
        <w:rPr>
          <w:noProof/>
        </w:rPr>
        <w:tab/>
        <w:t xml:space="preserve">Za predlog/pobudo niso potrebne odobritve za upravne zadeve. </w:t>
      </w:r>
    </w:p>
    <w:p>
      <w:pPr>
        <w:tabs>
          <w:tab w:val="num" w:pos="1134"/>
        </w:tabs>
        <w:ind w:left="1134" w:hanging="283"/>
        <w:rPr>
          <w:rFonts w:eastAsia="Times New Roman"/>
          <w:noProof/>
        </w:rPr>
      </w:pPr>
      <w:r>
        <w:rPr>
          <w:noProof/>
        </w:rPr>
        <w:t>X</w:t>
      </w:r>
      <w:r>
        <w:rPr>
          <w:noProof/>
        </w:rPr>
        <w:tab/>
        <w:t>Za predlog/pobudo so potrebne odobritve za upravne zadeve, kot je pojasnjeno v nadaljevanju:</w:t>
      </w:r>
    </w:p>
    <w:p>
      <w:pPr>
        <w:rPr>
          <w:noProof/>
          <w:sz w:val="20"/>
        </w:rPr>
      </w:pPr>
      <w:r>
        <w:rPr>
          <w:noProof/>
          <w:sz w:val="20"/>
        </w:rPr>
        <w:t>v mio. EUR (na tri decimalna mesta natančno)</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Leta</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line="200" w:lineRule="exact"/>
              <w:jc w:val="center"/>
              <w:rPr>
                <w:b/>
                <w:noProof/>
                <w:sz w:val="16"/>
                <w:szCs w:val="16"/>
              </w:rPr>
            </w:pPr>
            <w:r>
              <w:rPr>
                <w:b/>
                <w:noProof/>
                <w:sz w:val="18"/>
              </w:rPr>
              <w:t>2024</w:t>
            </w:r>
          </w:p>
        </w:tc>
        <w:tc>
          <w:tcPr>
            <w:tcW w:w="1080" w:type="dxa"/>
            <w:vAlign w:val="center"/>
          </w:tcPr>
          <w:p>
            <w:pPr>
              <w:spacing w:line="200" w:lineRule="exact"/>
              <w:jc w:val="center"/>
              <w:rPr>
                <w:b/>
                <w:noProof/>
                <w:sz w:val="16"/>
                <w:szCs w:val="16"/>
              </w:rPr>
            </w:pPr>
            <w:r>
              <w:rPr>
                <w:b/>
                <w:noProof/>
                <w:sz w:val="18"/>
              </w:rPr>
              <w:t>2025</w:t>
            </w:r>
          </w:p>
        </w:tc>
        <w:tc>
          <w:tcPr>
            <w:tcW w:w="1080" w:type="dxa"/>
          </w:tcPr>
          <w:p>
            <w:pPr>
              <w:spacing w:before="60" w:after="60" w:line="200" w:lineRule="exact"/>
              <w:jc w:val="center"/>
              <w:rPr>
                <w:b/>
                <w:noProof/>
                <w:sz w:val="16"/>
              </w:rPr>
            </w:pPr>
            <w:r>
              <w:rPr>
                <w:b/>
                <w:noProof/>
                <w:sz w:val="16"/>
              </w:rPr>
              <w:t>2026</w:t>
            </w:r>
          </w:p>
        </w:tc>
        <w:tc>
          <w:tcPr>
            <w:tcW w:w="1080" w:type="dxa"/>
          </w:tcPr>
          <w:p>
            <w:pPr>
              <w:spacing w:before="60" w:after="60" w:line="200" w:lineRule="exact"/>
              <w:jc w:val="center"/>
              <w:rPr>
                <w:b/>
                <w:noProof/>
                <w:sz w:val="16"/>
              </w:rPr>
            </w:pPr>
            <w:r>
              <w:rPr>
                <w:b/>
                <w:noProof/>
                <w:sz w:val="16"/>
              </w:rPr>
              <w:t>2027</w:t>
            </w:r>
          </w:p>
        </w:tc>
        <w:tc>
          <w:tcPr>
            <w:tcW w:w="1080" w:type="dxa"/>
            <w:vAlign w:val="center"/>
          </w:tcPr>
          <w:p>
            <w:pPr>
              <w:spacing w:before="60" w:after="60" w:line="200" w:lineRule="exact"/>
              <w:jc w:val="center"/>
              <w:rPr>
                <w:b/>
                <w:noProof/>
                <w:sz w:val="16"/>
                <w:szCs w:val="16"/>
              </w:rPr>
            </w:pPr>
            <w:r>
              <w:rPr>
                <w:b/>
                <w:noProof/>
                <w:sz w:val="16"/>
              </w:rPr>
              <w:t>SKUPAJ</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RAZDELEK 7</w:t>
            </w:r>
            <w:r>
              <w:rPr>
                <w:noProof/>
              </w:rPr>
              <w:t xml:space="preserve"> </w:t>
            </w:r>
            <w:r>
              <w:rPr>
                <w:noProof/>
              </w:rPr>
              <w:br/>
            </w:r>
            <w:r>
              <w:rPr>
                <w:b/>
                <w:noProof/>
                <w:sz w:val="16"/>
              </w:rPr>
              <w:t>večletnega finančnega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vAlign w:val="center"/>
          </w:tcPr>
          <w:p>
            <w:pPr>
              <w:spacing w:before="60" w:after="60" w:line="200" w:lineRule="exact"/>
              <w:jc w:val="right"/>
              <w:rPr>
                <w:noProof/>
                <w:sz w:val="16"/>
                <w:szCs w:val="16"/>
              </w:rPr>
            </w:pPr>
            <w:r>
              <w:rPr>
                <w:noProof/>
                <w:sz w:val="16"/>
                <w:szCs w:val="16"/>
              </w:rPr>
              <w:t>1,500</w:t>
            </w:r>
          </w:p>
        </w:tc>
        <w:tc>
          <w:tcPr>
            <w:tcW w:w="1080" w:type="dxa"/>
            <w:vAlign w:val="center"/>
          </w:tcPr>
          <w:p>
            <w:pPr>
              <w:spacing w:before="60" w:after="60" w:line="200" w:lineRule="exact"/>
              <w:jc w:val="right"/>
              <w:rPr>
                <w:noProof/>
                <w:sz w:val="16"/>
                <w:szCs w:val="16"/>
              </w:rPr>
            </w:pPr>
            <w:r>
              <w:rPr>
                <w:noProof/>
                <w:sz w:val="16"/>
                <w:szCs w:val="16"/>
              </w:rPr>
              <w:t>1,500</w:t>
            </w:r>
          </w:p>
        </w:tc>
        <w:tc>
          <w:tcPr>
            <w:tcW w:w="1080" w:type="dxa"/>
            <w:vAlign w:val="center"/>
          </w:tcPr>
          <w:p>
            <w:pPr>
              <w:spacing w:before="60" w:after="60" w:line="200" w:lineRule="exact"/>
              <w:jc w:val="right"/>
              <w:rPr>
                <w:noProof/>
                <w:sz w:val="16"/>
                <w:szCs w:val="16"/>
              </w:rPr>
            </w:pPr>
            <w:r>
              <w:rPr>
                <w:noProof/>
                <w:sz w:val="16"/>
                <w:szCs w:val="16"/>
              </w:rPr>
              <w:t>1,500</w:t>
            </w:r>
          </w:p>
        </w:tc>
        <w:tc>
          <w:tcPr>
            <w:tcW w:w="1080" w:type="dxa"/>
            <w:vAlign w:val="center"/>
          </w:tcPr>
          <w:p>
            <w:pPr>
              <w:spacing w:before="60" w:after="60" w:line="200" w:lineRule="exact"/>
              <w:jc w:val="right"/>
              <w:rPr>
                <w:noProof/>
                <w:sz w:val="16"/>
                <w:szCs w:val="16"/>
              </w:rPr>
            </w:pPr>
            <w:r>
              <w:rPr>
                <w:noProof/>
                <w:sz w:val="16"/>
                <w:szCs w:val="16"/>
              </w:rPr>
              <w:t>1,500</w:t>
            </w:r>
          </w:p>
        </w:tc>
        <w:tc>
          <w:tcPr>
            <w:tcW w:w="1080" w:type="dxa"/>
            <w:vAlign w:val="center"/>
          </w:tcPr>
          <w:p>
            <w:pPr>
              <w:spacing w:before="60" w:after="60" w:line="200" w:lineRule="exact"/>
              <w:jc w:val="right"/>
              <w:rPr>
                <w:noProof/>
                <w:sz w:val="16"/>
                <w:szCs w:val="16"/>
              </w:rPr>
            </w:pPr>
            <w:r>
              <w:rPr>
                <w:noProof/>
                <w:sz w:val="16"/>
                <w:szCs w:val="16"/>
              </w:rPr>
              <w:t>1,500</w:t>
            </w:r>
          </w:p>
        </w:tc>
        <w:tc>
          <w:tcPr>
            <w:tcW w:w="1080" w:type="dxa"/>
            <w:vAlign w:val="center"/>
          </w:tcPr>
          <w:p>
            <w:pPr>
              <w:spacing w:before="60" w:after="60" w:line="200" w:lineRule="exact"/>
              <w:jc w:val="right"/>
              <w:rPr>
                <w:b/>
                <w:noProof/>
                <w:sz w:val="16"/>
                <w:szCs w:val="16"/>
              </w:rPr>
            </w:pPr>
            <w:r>
              <w:rPr>
                <w:b/>
                <w:noProof/>
                <w:sz w:val="16"/>
                <w:szCs w:val="16"/>
              </w:rPr>
              <w:t>1,500</w:t>
            </w:r>
          </w:p>
        </w:tc>
        <w:tc>
          <w:tcPr>
            <w:tcW w:w="1080" w:type="dxa"/>
          </w:tcPr>
          <w:p>
            <w:pPr>
              <w:spacing w:before="60" w:after="60" w:line="200" w:lineRule="exact"/>
              <w:jc w:val="right"/>
              <w:rPr>
                <w:b/>
                <w:noProof/>
                <w:sz w:val="16"/>
                <w:szCs w:val="16"/>
              </w:rPr>
            </w:pPr>
            <w:r>
              <w:rPr>
                <w:b/>
                <w:noProof/>
                <w:sz w:val="16"/>
                <w:szCs w:val="16"/>
              </w:rPr>
              <w:t>1,500</w:t>
            </w:r>
          </w:p>
        </w:tc>
        <w:tc>
          <w:tcPr>
            <w:tcW w:w="1080" w:type="dxa"/>
          </w:tcPr>
          <w:p>
            <w:pPr>
              <w:spacing w:before="60" w:after="60" w:line="200" w:lineRule="exact"/>
              <w:jc w:val="right"/>
              <w:rPr>
                <w:b/>
                <w:noProof/>
                <w:sz w:val="16"/>
                <w:szCs w:val="16"/>
              </w:rPr>
            </w:pPr>
            <w:r>
              <w:rPr>
                <w:b/>
                <w:noProof/>
                <w:sz w:val="16"/>
                <w:szCs w:val="16"/>
              </w:rPr>
              <w:t>10,500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Drugi upravni odhodki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Seštevek za RAZDELEK 7</w:t>
            </w:r>
            <w:r>
              <w:rPr>
                <w:noProof/>
              </w:rPr>
              <w:t xml:space="preserve"> </w:t>
            </w:r>
            <w:r>
              <w:rPr>
                <w:noProof/>
              </w:rPr>
              <w:br/>
            </w:r>
            <w:r>
              <w:rPr>
                <w:b/>
                <w:noProof/>
                <w:sz w:val="16"/>
              </w:rPr>
              <w:t xml:space="preserve">večletnega finančnega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Odobritve zunaj RAZDELKA 7</w:t>
            </w:r>
            <w:r>
              <w:rPr>
                <w:noProof/>
              </w:rPr>
              <w:t xml:space="preserve"> </w:t>
            </w:r>
            <w:r>
              <w:rPr>
                <w:noProof/>
              </w:rPr>
              <w:br/>
            </w:r>
            <w:r>
              <w:rPr>
                <w:b/>
                <w:noProof/>
                <w:sz w:val="16"/>
              </w:rPr>
              <w:t xml:space="preserve">večletnega finančnega okvira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tcPr>
          <w:p>
            <w:pPr>
              <w:spacing w:before="60" w:after="60" w:line="200" w:lineRule="exact"/>
              <w:jc w:val="right"/>
              <w:rPr>
                <w:noProof/>
                <w:sz w:val="16"/>
                <w:szCs w:val="16"/>
              </w:rPr>
            </w:pPr>
            <w:r>
              <w:rPr>
                <w:noProof/>
                <w:sz w:val="20"/>
                <w:szCs w:val="20"/>
              </w:rPr>
              <w:t>2,400</w:t>
            </w:r>
          </w:p>
        </w:tc>
        <w:tc>
          <w:tcPr>
            <w:tcW w:w="1080" w:type="dxa"/>
          </w:tcPr>
          <w:p>
            <w:pPr>
              <w:spacing w:before="60" w:after="60" w:line="200" w:lineRule="exact"/>
              <w:jc w:val="right"/>
              <w:rPr>
                <w:noProof/>
                <w:sz w:val="16"/>
                <w:szCs w:val="16"/>
              </w:rPr>
            </w:pPr>
            <w:r>
              <w:rPr>
                <w:noProof/>
                <w:sz w:val="20"/>
                <w:szCs w:val="20"/>
              </w:rPr>
              <w:t>2,400</w:t>
            </w:r>
          </w:p>
        </w:tc>
        <w:tc>
          <w:tcPr>
            <w:tcW w:w="1080" w:type="dxa"/>
            <w:vAlign w:val="center"/>
          </w:tcPr>
          <w:p>
            <w:pPr>
              <w:spacing w:before="60" w:after="60" w:line="200" w:lineRule="exact"/>
              <w:jc w:val="right"/>
              <w:rPr>
                <w:noProof/>
                <w:sz w:val="16"/>
                <w:szCs w:val="16"/>
              </w:rPr>
            </w:pPr>
            <w:r>
              <w:rPr>
                <w:noProof/>
                <w:sz w:val="16"/>
                <w:szCs w:val="16"/>
              </w:rPr>
              <w:t>2,400</w:t>
            </w:r>
          </w:p>
        </w:tc>
        <w:tc>
          <w:tcPr>
            <w:tcW w:w="1080" w:type="dxa"/>
            <w:vAlign w:val="center"/>
          </w:tcPr>
          <w:p>
            <w:pPr>
              <w:spacing w:before="60" w:after="60" w:line="200" w:lineRule="exact"/>
              <w:jc w:val="right"/>
              <w:rPr>
                <w:noProof/>
                <w:sz w:val="16"/>
                <w:szCs w:val="16"/>
              </w:rPr>
            </w:pPr>
            <w:r>
              <w:rPr>
                <w:noProof/>
                <w:sz w:val="16"/>
                <w:szCs w:val="16"/>
              </w:rPr>
              <w:t>2,400</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b/>
                <w:noProof/>
                <w:sz w:val="16"/>
                <w:szCs w:val="16"/>
              </w:rPr>
            </w:pPr>
            <w:r>
              <w:rPr>
                <w:b/>
                <w:noProof/>
                <w:sz w:val="16"/>
                <w:szCs w:val="16"/>
              </w:rPr>
              <w:t>2,000</w:t>
            </w:r>
          </w:p>
        </w:tc>
        <w:tc>
          <w:tcPr>
            <w:tcW w:w="1080" w:type="dxa"/>
          </w:tcPr>
          <w:p>
            <w:pPr>
              <w:spacing w:before="60" w:after="60" w:line="200" w:lineRule="exact"/>
              <w:jc w:val="right"/>
              <w:rPr>
                <w:b/>
                <w:noProof/>
                <w:sz w:val="16"/>
                <w:szCs w:val="16"/>
              </w:rPr>
            </w:pPr>
            <w:r>
              <w:rPr>
                <w:b/>
                <w:noProof/>
                <w:sz w:val="16"/>
                <w:szCs w:val="16"/>
              </w:rPr>
              <w:t>2,000</w:t>
            </w:r>
          </w:p>
        </w:tc>
        <w:tc>
          <w:tcPr>
            <w:tcW w:w="1080" w:type="dxa"/>
          </w:tcPr>
          <w:p>
            <w:pPr>
              <w:spacing w:before="60" w:after="60" w:line="200" w:lineRule="exact"/>
              <w:jc w:val="right"/>
              <w:rPr>
                <w:b/>
                <w:noProof/>
                <w:sz w:val="16"/>
                <w:szCs w:val="16"/>
              </w:rPr>
            </w:pPr>
            <w:r>
              <w:rPr>
                <w:b/>
                <w:noProof/>
                <w:sz w:val="16"/>
                <w:szCs w:val="16"/>
              </w:rPr>
              <w:t>15,600</w:t>
            </w:r>
          </w:p>
        </w:tc>
      </w:tr>
      <w:tr>
        <w:trPr>
          <w:trHeight w:val="585"/>
        </w:trPr>
        <w:tc>
          <w:tcPr>
            <w:tcW w:w="1980" w:type="dxa"/>
            <w:vAlign w:val="center"/>
          </w:tcPr>
          <w:p>
            <w:pPr>
              <w:spacing w:before="60" w:after="60" w:line="200" w:lineRule="exact"/>
              <w:ind w:left="72"/>
              <w:jc w:val="left"/>
              <w:rPr>
                <w:noProof/>
                <w:sz w:val="16"/>
                <w:szCs w:val="16"/>
              </w:rPr>
            </w:pPr>
            <w:r>
              <w:rPr>
                <w:noProof/>
                <w:sz w:val="16"/>
              </w:rPr>
              <w:t>Drugi</w:t>
            </w:r>
            <w:r>
              <w:rPr>
                <w:noProof/>
              </w:rPr>
              <w:br/>
            </w:r>
            <w:r>
              <w:rPr>
                <w:noProof/>
                <w:sz w:val="16"/>
              </w:rPr>
              <w:t>upravni odhodki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Seštevek za odobritve</w:t>
            </w:r>
            <w:r>
              <w:rPr>
                <w:noProof/>
              </w:rPr>
              <w:br/>
            </w:r>
            <w:r>
              <w:rPr>
                <w:b/>
                <w:noProof/>
                <w:sz w:val="16"/>
              </w:rPr>
              <w:t>zunaj RAZDELKA 7</w:t>
            </w:r>
            <w:r>
              <w:rPr>
                <w:noProof/>
              </w:rPr>
              <w:t xml:space="preserve"> </w:t>
            </w:r>
            <w:r>
              <w:rPr>
                <w:noProof/>
              </w:rPr>
              <w:br/>
            </w:r>
            <w:r>
              <w:rPr>
                <w:b/>
                <w:noProof/>
                <w:sz w:val="16"/>
              </w:rPr>
              <w:t xml:space="preserve">večletnega finančnega okvira </w:t>
            </w:r>
          </w:p>
        </w:tc>
        <w:tc>
          <w:tcPr>
            <w:tcW w:w="1080" w:type="dxa"/>
          </w:tcPr>
          <w:p>
            <w:pPr>
              <w:spacing w:before="60" w:after="60" w:line="200" w:lineRule="exact"/>
              <w:jc w:val="right"/>
              <w:rPr>
                <w:noProof/>
                <w:sz w:val="16"/>
                <w:szCs w:val="16"/>
              </w:rPr>
            </w:pPr>
            <w:r>
              <w:rPr>
                <w:noProof/>
                <w:sz w:val="20"/>
                <w:szCs w:val="20"/>
              </w:rPr>
              <w:t>2,400</w:t>
            </w:r>
          </w:p>
        </w:tc>
        <w:tc>
          <w:tcPr>
            <w:tcW w:w="1080" w:type="dxa"/>
          </w:tcPr>
          <w:p>
            <w:pPr>
              <w:spacing w:before="60" w:after="60" w:line="200" w:lineRule="exact"/>
              <w:jc w:val="right"/>
              <w:rPr>
                <w:noProof/>
                <w:sz w:val="16"/>
                <w:szCs w:val="16"/>
              </w:rPr>
            </w:pPr>
            <w:r>
              <w:rPr>
                <w:noProof/>
                <w:sz w:val="16"/>
                <w:szCs w:val="16"/>
              </w:rPr>
              <w:t>2,400</w:t>
            </w:r>
          </w:p>
        </w:tc>
        <w:tc>
          <w:tcPr>
            <w:tcW w:w="1080" w:type="dxa"/>
            <w:vAlign w:val="center"/>
          </w:tcPr>
          <w:p>
            <w:pPr>
              <w:spacing w:before="60" w:after="60" w:line="200" w:lineRule="exact"/>
              <w:jc w:val="right"/>
              <w:rPr>
                <w:noProof/>
                <w:sz w:val="16"/>
                <w:szCs w:val="16"/>
              </w:rPr>
            </w:pPr>
            <w:r>
              <w:rPr>
                <w:noProof/>
                <w:sz w:val="16"/>
                <w:szCs w:val="16"/>
              </w:rPr>
              <w:t>2,400</w:t>
            </w:r>
          </w:p>
        </w:tc>
        <w:tc>
          <w:tcPr>
            <w:tcW w:w="1080" w:type="dxa"/>
            <w:vAlign w:val="center"/>
          </w:tcPr>
          <w:p>
            <w:pPr>
              <w:spacing w:before="60" w:after="60" w:line="200" w:lineRule="exact"/>
              <w:jc w:val="right"/>
              <w:rPr>
                <w:noProof/>
                <w:sz w:val="16"/>
                <w:szCs w:val="16"/>
              </w:rPr>
            </w:pPr>
            <w:r>
              <w:rPr>
                <w:noProof/>
                <w:sz w:val="16"/>
                <w:szCs w:val="16"/>
              </w:rPr>
              <w:t>2,400</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b/>
                <w:noProof/>
                <w:sz w:val="16"/>
                <w:szCs w:val="16"/>
              </w:rPr>
            </w:pPr>
            <w:r>
              <w:rPr>
                <w:b/>
                <w:noProof/>
                <w:sz w:val="16"/>
                <w:szCs w:val="16"/>
              </w:rPr>
              <w:t>2,000</w:t>
            </w:r>
          </w:p>
        </w:tc>
        <w:tc>
          <w:tcPr>
            <w:tcW w:w="1080" w:type="dxa"/>
          </w:tcPr>
          <w:p>
            <w:pPr>
              <w:spacing w:before="60" w:after="60" w:line="200" w:lineRule="exact"/>
              <w:jc w:val="right"/>
              <w:rPr>
                <w:b/>
                <w:noProof/>
                <w:sz w:val="16"/>
                <w:szCs w:val="16"/>
              </w:rPr>
            </w:pPr>
            <w:r>
              <w:rPr>
                <w:b/>
                <w:noProof/>
                <w:sz w:val="16"/>
                <w:szCs w:val="16"/>
              </w:rPr>
              <w:t>2,000</w:t>
            </w:r>
          </w:p>
        </w:tc>
        <w:tc>
          <w:tcPr>
            <w:tcW w:w="1080" w:type="dxa"/>
          </w:tcPr>
          <w:p>
            <w:pPr>
              <w:spacing w:before="60" w:after="60" w:line="200" w:lineRule="exact"/>
              <w:jc w:val="right"/>
              <w:rPr>
                <w:b/>
                <w:noProof/>
                <w:sz w:val="16"/>
                <w:szCs w:val="16"/>
              </w:rPr>
            </w:pPr>
            <w:r>
              <w:rPr>
                <w:b/>
                <w:noProof/>
                <w:sz w:val="16"/>
                <w:szCs w:val="16"/>
              </w:rPr>
              <w:t>15,600</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SKUPAJ</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b/>
                <w:noProof/>
                <w:sz w:val="16"/>
                <w:szCs w:val="16"/>
              </w:rPr>
              <w:t>3,900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20"/>
                <w:szCs w:val="20"/>
              </w:rPr>
              <w:t>3,900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20"/>
                <w:szCs w:val="20"/>
              </w:rPr>
              <w:t>3,900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3,900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3,500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szCs w:val="16"/>
              </w:rPr>
              <w:t>3,500</w:t>
            </w:r>
          </w:p>
        </w:tc>
        <w:tc>
          <w:tcPr>
            <w:tcW w:w="1080" w:type="dxa"/>
            <w:tcBorders>
              <w:top w:val="single" w:sz="12" w:space="0" w:color="auto"/>
              <w:left w:val="single" w:sz="2" w:space="0" w:color="auto"/>
              <w:bottom w:val="single" w:sz="12" w:space="0" w:color="auto"/>
              <w:right w:val="single" w:sz="12" w:space="0" w:color="auto"/>
            </w:tcBorders>
          </w:tcPr>
          <w:p>
            <w:pPr>
              <w:spacing w:before="60" w:after="60" w:line="200" w:lineRule="exact"/>
              <w:jc w:val="right"/>
              <w:rPr>
                <w:b/>
                <w:noProof/>
                <w:sz w:val="16"/>
                <w:szCs w:val="16"/>
              </w:rPr>
            </w:pPr>
            <w:r>
              <w:rPr>
                <w:b/>
                <w:noProof/>
                <w:sz w:val="16"/>
                <w:szCs w:val="16"/>
              </w:rPr>
              <w:t>26,100</w:t>
            </w:r>
          </w:p>
        </w:tc>
      </w:tr>
    </w:tbl>
    <w:p>
      <w:pPr>
        <w:rPr>
          <w:noProof/>
          <w:sz w:val="18"/>
        </w:rPr>
      </w:pPr>
      <w:r>
        <w:rPr>
          <w:noProof/>
          <w:sz w:val="18"/>
        </w:rPr>
        <w:t>Potrebe po odobritvah za človeške vire in druge upravne odhodke se krijejo z odobritvami GD, ki so že dodeljene za upravljanje ukrepa in/ali so bile prerazporejene znotraj GD, po potrebi skupaj z dodatnimi viri, ki se lahko pristojnemu GD dodelijo v postopku letne dodelitve virov glede na proračunske omejitve.</w:t>
      </w:r>
    </w:p>
    <w:p>
      <w:pPr>
        <w:spacing w:before="0" w:after="200" w:line="276" w:lineRule="auto"/>
        <w:jc w:val="left"/>
        <w:rPr>
          <w:noProof/>
          <w:sz w:val="18"/>
        </w:rPr>
      </w:pPr>
      <w:r>
        <w:rPr>
          <w:noProof/>
        </w:rPr>
        <w:br w:type="page"/>
      </w:r>
    </w:p>
    <w:p>
      <w:pPr>
        <w:pStyle w:val="ManualHeading4"/>
        <w:rPr>
          <w:noProof/>
          <w:szCs w:val="24"/>
        </w:rPr>
      </w:pPr>
      <w:r>
        <w:t>3.2.2.1.</w:t>
      </w:r>
      <w:r>
        <w:tab/>
      </w:r>
      <w:r>
        <w:rPr>
          <w:noProof/>
        </w:rPr>
        <w:t>Ocenjene potrebe po človeških virih</w:t>
      </w:r>
    </w:p>
    <w:p>
      <w:pPr>
        <w:tabs>
          <w:tab w:val="num" w:pos="1134"/>
        </w:tabs>
        <w:ind w:left="1134" w:hanging="283"/>
        <w:rPr>
          <w:rFonts w:eastAsia="Times New Roman"/>
          <w:noProof/>
        </w:rPr>
      </w:pPr>
      <w:r>
        <w:rPr>
          <w:noProof/>
        </w:rPr>
        <w:sym w:font="Wingdings" w:char="F0A8"/>
      </w:r>
      <w:r>
        <w:rPr>
          <w:noProof/>
        </w:rPr>
        <w:tab/>
        <w:t xml:space="preserve">Za predlog/pobudo niso potrebni človeški viri. </w:t>
      </w:r>
    </w:p>
    <w:p>
      <w:pPr>
        <w:tabs>
          <w:tab w:val="num" w:pos="1134"/>
        </w:tabs>
        <w:ind w:left="1134" w:hanging="283"/>
        <w:rPr>
          <w:rFonts w:eastAsia="Times New Roman"/>
          <w:noProof/>
        </w:rPr>
      </w:pPr>
      <w:r>
        <w:rPr>
          <w:noProof/>
        </w:rPr>
        <w:t>X</w:t>
      </w:r>
      <w:r>
        <w:rPr>
          <w:noProof/>
        </w:rPr>
        <w:tab/>
        <w:t>Za predlog/pobudo so potrebni človeški viri, kot je pojasnjeno v nadaljevanju:</w:t>
      </w:r>
    </w:p>
    <w:p>
      <w:pPr>
        <w:spacing w:after="60"/>
        <w:jc w:val="right"/>
        <w:rPr>
          <w:i/>
          <w:noProof/>
          <w:sz w:val="20"/>
        </w:rPr>
      </w:pPr>
      <w:r>
        <w:rPr>
          <w:i/>
          <w:noProof/>
          <w:sz w:val="20"/>
        </w:rPr>
        <w:t>ocena, izražena v ekvivalentu polnega delovnega časa</w:t>
      </w:r>
    </w:p>
    <w:tbl>
      <w:tblPr>
        <w:tblW w:w="5324"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38"/>
        <w:gridCol w:w="1442"/>
        <w:gridCol w:w="1044"/>
        <w:gridCol w:w="912"/>
        <w:gridCol w:w="1044"/>
        <w:gridCol w:w="1042"/>
        <w:gridCol w:w="914"/>
        <w:gridCol w:w="1028"/>
        <w:gridCol w:w="1025"/>
      </w:tblGrid>
      <w:tr>
        <w:trPr>
          <w:trHeight w:val="289"/>
        </w:trPr>
        <w:tc>
          <w:tcPr>
            <w:tcW w:w="1456" w:type="pct"/>
            <w:gridSpan w:val="2"/>
            <w:vAlign w:val="center"/>
          </w:tcPr>
          <w:p>
            <w:pPr>
              <w:spacing w:before="40" w:after="40"/>
              <w:jc w:val="center"/>
              <w:rPr>
                <w:i/>
                <w:noProof/>
                <w:sz w:val="16"/>
                <w:szCs w:val="16"/>
              </w:rPr>
            </w:pPr>
            <w:r>
              <w:rPr>
                <w:b/>
                <w:noProof/>
                <w:sz w:val="16"/>
                <w:szCs w:val="16"/>
              </w:rPr>
              <w:t>Leta</w:t>
            </w:r>
          </w:p>
        </w:tc>
        <w:tc>
          <w:tcPr>
            <w:tcW w:w="528" w:type="pct"/>
            <w:shd w:val="clear" w:color="auto" w:fill="auto"/>
            <w:vAlign w:val="center"/>
          </w:tcPr>
          <w:p>
            <w:pPr>
              <w:spacing w:before="20" w:after="20"/>
              <w:jc w:val="center"/>
              <w:rPr>
                <w:b/>
                <w:noProof/>
                <w:sz w:val="20"/>
              </w:rPr>
            </w:pPr>
            <w:r>
              <w:rPr>
                <w:b/>
                <w:noProof/>
                <w:sz w:val="20"/>
              </w:rPr>
              <w:t>2021</w:t>
            </w:r>
          </w:p>
        </w:tc>
        <w:tc>
          <w:tcPr>
            <w:tcW w:w="461" w:type="pct"/>
            <w:shd w:val="clear" w:color="auto" w:fill="auto"/>
            <w:vAlign w:val="center"/>
          </w:tcPr>
          <w:p>
            <w:pPr>
              <w:spacing w:before="20" w:after="20"/>
              <w:jc w:val="center"/>
              <w:rPr>
                <w:b/>
                <w:noProof/>
                <w:sz w:val="20"/>
              </w:rPr>
            </w:pPr>
            <w:r>
              <w:rPr>
                <w:b/>
                <w:noProof/>
                <w:sz w:val="20"/>
              </w:rPr>
              <w:t>2022</w:t>
            </w:r>
          </w:p>
        </w:tc>
        <w:tc>
          <w:tcPr>
            <w:tcW w:w="528" w:type="pct"/>
            <w:shd w:val="clear" w:color="auto" w:fill="auto"/>
            <w:vAlign w:val="center"/>
          </w:tcPr>
          <w:p>
            <w:pPr>
              <w:spacing w:before="20" w:after="20"/>
              <w:jc w:val="center"/>
              <w:rPr>
                <w:b/>
                <w:noProof/>
                <w:sz w:val="20"/>
              </w:rPr>
            </w:pPr>
            <w:r>
              <w:rPr>
                <w:b/>
                <w:noProof/>
                <w:sz w:val="20"/>
              </w:rPr>
              <w:t>2023</w:t>
            </w:r>
          </w:p>
        </w:tc>
        <w:tc>
          <w:tcPr>
            <w:tcW w:w="527" w:type="pct"/>
            <w:shd w:val="clear" w:color="auto" w:fill="auto"/>
            <w:vAlign w:val="center"/>
          </w:tcPr>
          <w:p>
            <w:pPr>
              <w:jc w:val="center"/>
              <w:rPr>
                <w:b/>
                <w:noProof/>
                <w:sz w:val="20"/>
              </w:rPr>
            </w:pPr>
            <w:r>
              <w:rPr>
                <w:b/>
                <w:noProof/>
                <w:sz w:val="20"/>
              </w:rPr>
              <w:t>2024</w:t>
            </w:r>
          </w:p>
        </w:tc>
        <w:tc>
          <w:tcPr>
            <w:tcW w:w="462" w:type="pct"/>
            <w:shd w:val="clear" w:color="auto" w:fill="auto"/>
            <w:vAlign w:val="center"/>
          </w:tcPr>
          <w:p>
            <w:pPr>
              <w:jc w:val="center"/>
              <w:rPr>
                <w:b/>
                <w:noProof/>
                <w:sz w:val="20"/>
              </w:rPr>
            </w:pPr>
            <w:r>
              <w:rPr>
                <w:b/>
                <w:noProof/>
                <w:sz w:val="20"/>
              </w:rPr>
              <w:t>2025</w:t>
            </w:r>
          </w:p>
        </w:tc>
        <w:tc>
          <w:tcPr>
            <w:tcW w:w="520" w:type="pct"/>
            <w:shd w:val="clear" w:color="auto" w:fill="auto"/>
            <w:vAlign w:val="center"/>
          </w:tcPr>
          <w:p>
            <w:pPr>
              <w:jc w:val="center"/>
              <w:rPr>
                <w:b/>
                <w:noProof/>
                <w:sz w:val="20"/>
              </w:rPr>
            </w:pPr>
            <w:r>
              <w:rPr>
                <w:b/>
                <w:noProof/>
                <w:sz w:val="20"/>
              </w:rPr>
              <w:t>2026</w:t>
            </w:r>
          </w:p>
        </w:tc>
        <w:tc>
          <w:tcPr>
            <w:tcW w:w="518" w:type="pct"/>
          </w:tcPr>
          <w:p>
            <w:pPr>
              <w:jc w:val="center"/>
              <w:rPr>
                <w:b/>
                <w:noProof/>
                <w:sz w:val="20"/>
              </w:rPr>
            </w:pPr>
            <w:r>
              <w:rPr>
                <w:b/>
                <w:noProof/>
                <w:sz w:val="20"/>
              </w:rPr>
              <w:t>2027</w:t>
            </w:r>
          </w:p>
        </w:tc>
      </w:tr>
      <w:tr>
        <w:trPr>
          <w:trHeight w:val="289"/>
        </w:trPr>
        <w:tc>
          <w:tcPr>
            <w:tcW w:w="1456" w:type="pct"/>
            <w:gridSpan w:val="2"/>
          </w:tcPr>
          <w:p>
            <w:pPr>
              <w:spacing w:beforeLines="20" w:before="48" w:afterLines="20" w:after="48"/>
              <w:ind w:left="134"/>
              <w:jc w:val="left"/>
              <w:rPr>
                <w:b/>
                <w:noProof/>
                <w:sz w:val="16"/>
                <w:szCs w:val="16"/>
              </w:rPr>
            </w:pPr>
            <w:r>
              <w:rPr>
                <w:noProof/>
                <w:sz w:val="16"/>
              </w:rPr>
              <w:t>Sedež in predstavništva Komisije</w:t>
            </w:r>
          </w:p>
        </w:tc>
        <w:tc>
          <w:tcPr>
            <w:tcW w:w="528" w:type="pct"/>
            <w:shd w:val="clear" w:color="auto" w:fill="auto"/>
            <w:vAlign w:val="center"/>
          </w:tcPr>
          <w:p>
            <w:pPr>
              <w:spacing w:beforeLines="20" w:before="48" w:afterLines="20" w:after="48"/>
              <w:jc w:val="center"/>
              <w:rPr>
                <w:noProof/>
                <w:sz w:val="16"/>
                <w:szCs w:val="16"/>
              </w:rPr>
            </w:pPr>
            <w:r>
              <w:rPr>
                <w:noProof/>
                <w:sz w:val="16"/>
                <w:szCs w:val="16"/>
              </w:rPr>
              <w:t>10</w:t>
            </w:r>
          </w:p>
        </w:tc>
        <w:tc>
          <w:tcPr>
            <w:tcW w:w="461" w:type="pct"/>
            <w:shd w:val="clear" w:color="auto" w:fill="auto"/>
            <w:vAlign w:val="center"/>
          </w:tcPr>
          <w:p>
            <w:pPr>
              <w:spacing w:beforeLines="20" w:before="48" w:afterLines="20" w:after="48"/>
              <w:jc w:val="center"/>
              <w:rPr>
                <w:noProof/>
                <w:sz w:val="16"/>
                <w:szCs w:val="16"/>
              </w:rPr>
            </w:pPr>
            <w:r>
              <w:rPr>
                <w:noProof/>
                <w:sz w:val="16"/>
                <w:szCs w:val="16"/>
              </w:rPr>
              <w:t>10</w:t>
            </w:r>
          </w:p>
        </w:tc>
        <w:tc>
          <w:tcPr>
            <w:tcW w:w="528" w:type="pct"/>
            <w:shd w:val="clear" w:color="auto" w:fill="auto"/>
            <w:vAlign w:val="center"/>
          </w:tcPr>
          <w:p>
            <w:pPr>
              <w:spacing w:beforeLines="20" w:before="48" w:afterLines="20" w:after="48"/>
              <w:jc w:val="center"/>
              <w:rPr>
                <w:noProof/>
                <w:sz w:val="16"/>
                <w:szCs w:val="16"/>
              </w:rPr>
            </w:pPr>
            <w:r>
              <w:rPr>
                <w:noProof/>
                <w:sz w:val="16"/>
                <w:szCs w:val="16"/>
              </w:rPr>
              <w:t>10</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10</w:t>
            </w:r>
          </w:p>
        </w:tc>
        <w:tc>
          <w:tcPr>
            <w:tcW w:w="462" w:type="pct"/>
            <w:shd w:val="clear" w:color="auto" w:fill="auto"/>
            <w:vAlign w:val="center"/>
          </w:tcPr>
          <w:p>
            <w:pPr>
              <w:spacing w:beforeLines="20" w:before="48" w:afterLines="20" w:after="48"/>
              <w:jc w:val="center"/>
              <w:rPr>
                <w:noProof/>
                <w:sz w:val="16"/>
                <w:szCs w:val="16"/>
              </w:rPr>
            </w:pPr>
            <w:r>
              <w:rPr>
                <w:noProof/>
                <w:sz w:val="16"/>
                <w:szCs w:val="16"/>
              </w:rPr>
              <w:t>10</w:t>
            </w:r>
          </w:p>
        </w:tc>
        <w:tc>
          <w:tcPr>
            <w:tcW w:w="520" w:type="pct"/>
            <w:shd w:val="clear" w:color="auto" w:fill="auto"/>
            <w:vAlign w:val="center"/>
          </w:tcPr>
          <w:p>
            <w:pPr>
              <w:spacing w:beforeLines="20" w:before="48" w:afterLines="20" w:after="48"/>
              <w:jc w:val="center"/>
              <w:rPr>
                <w:noProof/>
                <w:sz w:val="16"/>
                <w:szCs w:val="16"/>
              </w:rPr>
            </w:pPr>
            <w:r>
              <w:rPr>
                <w:noProof/>
                <w:sz w:val="16"/>
                <w:szCs w:val="16"/>
              </w:rPr>
              <w:t>10</w:t>
            </w:r>
          </w:p>
        </w:tc>
        <w:tc>
          <w:tcPr>
            <w:tcW w:w="518" w:type="pct"/>
          </w:tcPr>
          <w:p>
            <w:pPr>
              <w:spacing w:beforeLines="20" w:before="48" w:afterLines="20" w:after="48"/>
              <w:jc w:val="center"/>
              <w:rPr>
                <w:noProof/>
                <w:sz w:val="16"/>
                <w:szCs w:val="16"/>
              </w:rPr>
            </w:pPr>
            <w:r>
              <w:rPr>
                <w:noProof/>
                <w:sz w:val="16"/>
                <w:szCs w:val="16"/>
              </w:rPr>
              <w:t>10</w:t>
            </w:r>
          </w:p>
        </w:tc>
      </w:tr>
      <w:tr>
        <w:trPr>
          <w:trHeight w:val="289"/>
        </w:trPr>
        <w:tc>
          <w:tcPr>
            <w:tcW w:w="1456" w:type="pct"/>
            <w:gridSpan w:val="2"/>
          </w:tcPr>
          <w:p>
            <w:pPr>
              <w:spacing w:beforeLines="20" w:before="48" w:afterLines="20" w:after="48"/>
              <w:ind w:left="134"/>
              <w:jc w:val="left"/>
              <w:rPr>
                <w:noProof/>
                <w:sz w:val="16"/>
                <w:szCs w:val="16"/>
              </w:rPr>
            </w:pPr>
            <w:r>
              <w:rPr>
                <w:noProof/>
                <w:sz w:val="16"/>
              </w:rPr>
              <w:t>Delegacije</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289"/>
        </w:trPr>
        <w:tc>
          <w:tcPr>
            <w:tcW w:w="1456" w:type="pct"/>
            <w:gridSpan w:val="2"/>
          </w:tcPr>
          <w:p>
            <w:pPr>
              <w:spacing w:beforeLines="20" w:before="48" w:afterLines="20" w:after="48"/>
              <w:ind w:left="134"/>
              <w:jc w:val="left"/>
              <w:rPr>
                <w:noProof/>
                <w:sz w:val="16"/>
                <w:szCs w:val="16"/>
              </w:rPr>
            </w:pPr>
            <w:r>
              <w:rPr>
                <w:noProof/>
                <w:sz w:val="16"/>
              </w:rPr>
              <w:t>Raziskave</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485"/>
        </w:trPr>
        <w:tc>
          <w:tcPr>
            <w:tcW w:w="727" w:type="pct"/>
            <w:vMerge w:val="restart"/>
            <w:vAlign w:val="center"/>
          </w:tcPr>
          <w:p>
            <w:pPr>
              <w:spacing w:beforeLines="20" w:before="48" w:afterLines="20" w:after="48"/>
              <w:ind w:left="136"/>
              <w:jc w:val="left"/>
              <w:rPr>
                <w:b/>
                <w:noProof/>
                <w:sz w:val="16"/>
                <w:szCs w:val="16"/>
              </w:rPr>
            </w:pPr>
            <w:r>
              <w:rPr>
                <w:noProof/>
                <w:sz w:val="16"/>
                <w:szCs w:val="16"/>
              </w:rPr>
              <w:t>Financirano iz RAZDELKA 7 večletnega finančnega okvira</w:t>
            </w:r>
            <w:r>
              <w:rPr>
                <w:b/>
                <w:noProof/>
                <w:sz w:val="16"/>
              </w:rPr>
              <w:t xml:space="preserve"> </w:t>
            </w:r>
          </w:p>
        </w:tc>
        <w:tc>
          <w:tcPr>
            <w:tcW w:w="729" w:type="pct"/>
            <w:vAlign w:val="center"/>
          </w:tcPr>
          <w:p>
            <w:pPr>
              <w:spacing w:beforeLines="20" w:before="48" w:afterLines="20" w:after="48"/>
              <w:ind w:left="136"/>
              <w:jc w:val="left"/>
              <w:rPr>
                <w:b/>
                <w:noProof/>
                <w:sz w:val="16"/>
                <w:szCs w:val="16"/>
              </w:rPr>
            </w:pPr>
            <w:r>
              <w:rPr>
                <w:noProof/>
                <w:sz w:val="16"/>
              </w:rPr>
              <w:t>– na sedežu</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289"/>
        </w:trPr>
        <w:tc>
          <w:tcPr>
            <w:tcW w:w="727" w:type="pct"/>
            <w:vMerge/>
            <w:vAlign w:val="center"/>
          </w:tcPr>
          <w:p>
            <w:pPr>
              <w:spacing w:beforeLines="20" w:before="48" w:afterLines="20" w:after="48"/>
              <w:ind w:left="136"/>
              <w:jc w:val="left"/>
              <w:rPr>
                <w:noProof/>
                <w:sz w:val="16"/>
                <w:szCs w:val="16"/>
              </w:rPr>
            </w:pPr>
          </w:p>
        </w:tc>
        <w:tc>
          <w:tcPr>
            <w:tcW w:w="729" w:type="pct"/>
            <w:vAlign w:val="center"/>
          </w:tcPr>
          <w:p>
            <w:pPr>
              <w:spacing w:beforeLines="20" w:before="48" w:afterLines="20" w:after="48"/>
              <w:ind w:left="136"/>
              <w:jc w:val="left"/>
              <w:rPr>
                <w:noProof/>
                <w:sz w:val="16"/>
                <w:szCs w:val="16"/>
              </w:rPr>
            </w:pPr>
            <w:r>
              <w:rPr>
                <w:noProof/>
                <w:sz w:val="16"/>
              </w:rPr>
              <w:t xml:space="preserve">– na delegacijah </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370"/>
        </w:trPr>
        <w:tc>
          <w:tcPr>
            <w:tcW w:w="727" w:type="pct"/>
            <w:vMerge w:val="restart"/>
            <w:vAlign w:val="center"/>
          </w:tcPr>
          <w:p>
            <w:pPr>
              <w:spacing w:beforeLines="20" w:before="48" w:afterLines="20" w:after="48"/>
              <w:ind w:left="136"/>
              <w:jc w:val="left"/>
              <w:rPr>
                <w:b/>
                <w:noProof/>
                <w:sz w:val="16"/>
                <w:szCs w:val="16"/>
              </w:rPr>
            </w:pPr>
            <w:r>
              <w:rPr>
                <w:noProof/>
                <w:sz w:val="16"/>
                <w:szCs w:val="16"/>
              </w:rPr>
              <w:t>Financirano iz sredstev programa</w:t>
            </w:r>
            <w:r>
              <w:rPr>
                <w:b/>
                <w:noProof/>
                <w:sz w:val="16"/>
                <w:szCs w:val="16"/>
              </w:rPr>
              <w:t xml:space="preserve"> </w:t>
            </w:r>
            <w:r>
              <w:rPr>
                <w:rStyle w:val="FootnoteReference"/>
                <w:b/>
                <w:noProof/>
                <w:sz w:val="16"/>
                <w:szCs w:val="16"/>
              </w:rPr>
              <w:footnoteReference w:id="12"/>
            </w:r>
          </w:p>
        </w:tc>
        <w:tc>
          <w:tcPr>
            <w:tcW w:w="729" w:type="pct"/>
            <w:shd w:val="clear" w:color="auto" w:fill="auto"/>
            <w:vAlign w:val="center"/>
          </w:tcPr>
          <w:p>
            <w:pPr>
              <w:spacing w:beforeLines="20" w:before="48" w:afterLines="20" w:after="48"/>
              <w:ind w:left="136"/>
              <w:jc w:val="left"/>
              <w:rPr>
                <w:b/>
                <w:noProof/>
                <w:sz w:val="16"/>
                <w:szCs w:val="16"/>
              </w:rPr>
            </w:pPr>
            <w:r>
              <w:rPr>
                <w:noProof/>
                <w:sz w:val="16"/>
              </w:rPr>
              <w:t>– na sedežu</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289"/>
        </w:trPr>
        <w:tc>
          <w:tcPr>
            <w:tcW w:w="727" w:type="pct"/>
            <w:vMerge/>
          </w:tcPr>
          <w:p>
            <w:pPr>
              <w:spacing w:beforeLines="20" w:before="48" w:afterLines="20" w:after="48"/>
              <w:ind w:left="136"/>
              <w:jc w:val="left"/>
              <w:rPr>
                <w:b/>
                <w:noProof/>
                <w:sz w:val="16"/>
                <w:szCs w:val="16"/>
              </w:rPr>
            </w:pPr>
          </w:p>
        </w:tc>
        <w:tc>
          <w:tcPr>
            <w:tcW w:w="729" w:type="pct"/>
            <w:shd w:val="clear" w:color="auto" w:fill="auto"/>
            <w:vAlign w:val="center"/>
          </w:tcPr>
          <w:p>
            <w:pPr>
              <w:spacing w:beforeLines="20" w:before="48" w:afterLines="20" w:after="48"/>
              <w:ind w:left="136"/>
              <w:jc w:val="left"/>
              <w:rPr>
                <w:b/>
                <w:noProof/>
                <w:sz w:val="16"/>
                <w:szCs w:val="16"/>
              </w:rPr>
            </w:pPr>
            <w:r>
              <w:rPr>
                <w:noProof/>
                <w:sz w:val="16"/>
              </w:rPr>
              <w:t xml:space="preserve">– na delegacijah </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289"/>
        </w:trPr>
        <w:tc>
          <w:tcPr>
            <w:tcW w:w="1456" w:type="pct"/>
            <w:gridSpan w:val="2"/>
          </w:tcPr>
          <w:p>
            <w:pPr>
              <w:spacing w:beforeLines="20" w:before="48" w:afterLines="20" w:after="48"/>
              <w:ind w:left="136"/>
              <w:jc w:val="left"/>
              <w:rPr>
                <w:noProof/>
                <w:sz w:val="16"/>
                <w:szCs w:val="16"/>
              </w:rPr>
            </w:pPr>
            <w:r>
              <w:rPr>
                <w:noProof/>
                <w:sz w:val="16"/>
                <w:szCs w:val="16"/>
              </w:rPr>
              <w:t>Raziskave</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289"/>
        </w:trPr>
        <w:tc>
          <w:tcPr>
            <w:tcW w:w="1456" w:type="pct"/>
            <w:gridSpan w:val="2"/>
            <w:tcBorders>
              <w:top w:val="single" w:sz="6" w:space="0" w:color="auto"/>
              <w:left w:val="single" w:sz="6" w:space="0" w:color="auto"/>
              <w:bottom w:val="double" w:sz="4" w:space="0" w:color="auto"/>
              <w:right w:val="single" w:sz="6" w:space="0" w:color="auto"/>
            </w:tcBorders>
          </w:tcPr>
          <w:p>
            <w:pPr>
              <w:spacing w:beforeLines="20" w:before="48" w:afterLines="20" w:after="48"/>
              <w:ind w:left="134"/>
              <w:jc w:val="left"/>
              <w:rPr>
                <w:noProof/>
                <w:sz w:val="16"/>
              </w:rPr>
            </w:pPr>
            <w:r>
              <w:rPr>
                <w:noProof/>
                <w:sz w:val="16"/>
              </w:rPr>
              <w:t>Drugo (namenski prejemki)</w:t>
            </w:r>
          </w:p>
        </w:tc>
        <w:tc>
          <w:tcPr>
            <w:tcW w:w="528" w:type="pct"/>
            <w:shd w:val="clear" w:color="auto" w:fill="auto"/>
            <w:vAlign w:val="center"/>
          </w:tcPr>
          <w:p>
            <w:pPr>
              <w:spacing w:beforeLines="20" w:before="48" w:afterLines="20" w:after="48"/>
              <w:jc w:val="center"/>
              <w:rPr>
                <w:noProof/>
                <w:sz w:val="16"/>
                <w:szCs w:val="16"/>
              </w:rPr>
            </w:pPr>
            <w:r>
              <w:rPr>
                <w:noProof/>
                <w:sz w:val="16"/>
                <w:szCs w:val="16"/>
              </w:rPr>
              <w:t>30</w:t>
            </w:r>
          </w:p>
        </w:tc>
        <w:tc>
          <w:tcPr>
            <w:tcW w:w="461" w:type="pct"/>
            <w:shd w:val="clear" w:color="auto" w:fill="auto"/>
            <w:vAlign w:val="center"/>
          </w:tcPr>
          <w:p>
            <w:pPr>
              <w:spacing w:beforeLines="20" w:before="48" w:afterLines="20" w:after="48"/>
              <w:jc w:val="center"/>
              <w:rPr>
                <w:noProof/>
                <w:sz w:val="16"/>
                <w:szCs w:val="16"/>
              </w:rPr>
            </w:pPr>
            <w:r>
              <w:rPr>
                <w:noProof/>
                <w:sz w:val="16"/>
                <w:szCs w:val="16"/>
              </w:rPr>
              <w:t>30</w:t>
            </w:r>
          </w:p>
        </w:tc>
        <w:tc>
          <w:tcPr>
            <w:tcW w:w="528"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szCs w:val="16"/>
              </w:rPr>
              <w:t>30</w:t>
            </w:r>
          </w:p>
        </w:tc>
        <w:tc>
          <w:tcPr>
            <w:tcW w:w="527"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szCs w:val="16"/>
              </w:rPr>
              <w:t>30</w:t>
            </w:r>
          </w:p>
        </w:tc>
        <w:tc>
          <w:tcPr>
            <w:tcW w:w="462"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szCs w:val="16"/>
              </w:rPr>
              <w:t>25</w:t>
            </w:r>
          </w:p>
        </w:tc>
        <w:tc>
          <w:tcPr>
            <w:tcW w:w="520"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szCs w:val="16"/>
              </w:rPr>
              <w:t>25</w:t>
            </w:r>
          </w:p>
        </w:tc>
        <w:tc>
          <w:tcPr>
            <w:tcW w:w="518" w:type="pct"/>
            <w:tcBorders>
              <w:top w:val="single" w:sz="6" w:space="0" w:color="auto"/>
              <w:left w:val="single" w:sz="6" w:space="0" w:color="auto"/>
              <w:bottom w:val="double" w:sz="4" w:space="0" w:color="auto"/>
              <w:right w:val="single" w:sz="6" w:space="0" w:color="auto"/>
            </w:tcBorders>
          </w:tcPr>
          <w:p>
            <w:pPr>
              <w:spacing w:beforeLines="20" w:before="48" w:afterLines="20" w:after="48"/>
              <w:jc w:val="center"/>
              <w:rPr>
                <w:noProof/>
                <w:sz w:val="16"/>
                <w:szCs w:val="16"/>
              </w:rPr>
            </w:pPr>
            <w:r>
              <w:rPr>
                <w:noProof/>
                <w:sz w:val="16"/>
                <w:szCs w:val="16"/>
              </w:rPr>
              <w:t>25</w:t>
            </w:r>
          </w:p>
        </w:tc>
      </w:tr>
      <w:tr>
        <w:trPr>
          <w:trHeight w:val="289"/>
        </w:trPr>
        <w:tc>
          <w:tcPr>
            <w:tcW w:w="1456" w:type="pct"/>
            <w:gridSpan w:val="2"/>
            <w:tcBorders>
              <w:top w:val="double" w:sz="4" w:space="0" w:color="auto"/>
            </w:tcBorders>
          </w:tcPr>
          <w:p>
            <w:pPr>
              <w:spacing w:beforeLines="20" w:before="48" w:afterLines="20" w:after="48"/>
              <w:ind w:left="136"/>
              <w:jc w:val="left"/>
              <w:rPr>
                <w:noProof/>
                <w:sz w:val="16"/>
                <w:szCs w:val="16"/>
              </w:rPr>
            </w:pPr>
            <w:r>
              <w:rPr>
                <w:b/>
                <w:noProof/>
                <w:sz w:val="16"/>
              </w:rPr>
              <w:t>SKUPAJ</w:t>
            </w:r>
          </w:p>
        </w:tc>
        <w:tc>
          <w:tcPr>
            <w:tcW w:w="52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46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52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52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46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35</w:t>
            </w:r>
          </w:p>
        </w:tc>
        <w:tc>
          <w:tcPr>
            <w:tcW w:w="52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35</w:t>
            </w:r>
          </w:p>
        </w:tc>
        <w:tc>
          <w:tcPr>
            <w:tcW w:w="518" w:type="pct"/>
            <w:tcBorders>
              <w:top w:val="double" w:sz="4" w:space="0" w:color="auto"/>
            </w:tcBorders>
          </w:tcPr>
          <w:p>
            <w:pPr>
              <w:spacing w:beforeLines="20" w:before="48" w:afterLines="20" w:after="48"/>
              <w:jc w:val="center"/>
              <w:rPr>
                <w:b/>
                <w:noProof/>
                <w:sz w:val="16"/>
                <w:szCs w:val="16"/>
              </w:rPr>
            </w:pPr>
            <w:r>
              <w:rPr>
                <w:b/>
                <w:noProof/>
                <w:sz w:val="16"/>
                <w:szCs w:val="16"/>
              </w:rPr>
              <w:t>35</w:t>
            </w:r>
          </w:p>
        </w:tc>
      </w:tr>
    </w:tbl>
    <w:p>
      <w:pPr>
        <w:ind w:left="850"/>
        <w:rPr>
          <w:noProof/>
          <w:sz w:val="18"/>
          <w:szCs w:val="18"/>
        </w:rPr>
      </w:pPr>
      <w:r>
        <w:rPr>
          <w:noProof/>
          <w:sz w:val="18"/>
        </w:rPr>
        <w:t>Potrebe po človeških virih se krijejo z osebjem GD, ki je že dodeljeno za upravljanje ukrepa in/ali je bilo prerazporejeno znotraj GD, po potrebi skupaj z dodatnimi viri, ki se lahko pristojnemu GD dodelijo v postopku letne dodelitve virov glede na proračunske omejitve.</w:t>
      </w:r>
      <w:r>
        <w:rPr>
          <w:noProof/>
        </w:rPr>
        <w:t xml:space="preserve"> </w:t>
      </w:r>
      <w:r>
        <w:rPr>
          <w:noProof/>
          <w:sz w:val="18"/>
        </w:rPr>
        <w:t>Dodatno osebje bo le zunanje osebje in se bo financiralo izključno iz namenskih prejemkov.</w:t>
      </w:r>
    </w:p>
    <w:p>
      <w:pPr>
        <w:rPr>
          <w:noProof/>
          <w:sz w:val="20"/>
        </w:rPr>
      </w:pPr>
      <w:r>
        <w:rPr>
          <w:noProof/>
          <w:sz w:val="20"/>
        </w:rPr>
        <w:t>Opis nalog:</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Uradniki in začasni uslužbenci</w:t>
            </w:r>
          </w:p>
        </w:tc>
        <w:tc>
          <w:tcPr>
            <w:tcW w:w="7392" w:type="dxa"/>
          </w:tcPr>
          <w:p>
            <w:pPr>
              <w:rPr>
                <w:noProof/>
                <w:sz w:val="20"/>
              </w:rPr>
            </w:pPr>
          </w:p>
        </w:tc>
      </w:tr>
      <w:tr>
        <w:tc>
          <w:tcPr>
            <w:tcW w:w="3240" w:type="dxa"/>
          </w:tcPr>
          <w:p>
            <w:pPr>
              <w:spacing w:before="60" w:after="60"/>
              <w:rPr>
                <w:noProof/>
                <w:sz w:val="20"/>
              </w:rPr>
            </w:pPr>
            <w:r>
              <w:rPr>
                <w:noProof/>
                <w:sz w:val="20"/>
              </w:rPr>
              <w:t>Zunanje osebje</w:t>
            </w:r>
          </w:p>
        </w:tc>
        <w:tc>
          <w:tcPr>
            <w:tcW w:w="7392" w:type="dxa"/>
          </w:tcPr>
          <w:p>
            <w:pPr>
              <w:rPr>
                <w:noProof/>
                <w:sz w:val="20"/>
              </w:rPr>
            </w:pPr>
            <w:r>
              <w:rPr>
                <w:noProof/>
                <w:sz w:val="20"/>
              </w:rPr>
              <w:t>Pogodbeni uslužbenci, ki pomagajo pri pogajanjih o novih programih, spremljajo izvajanje programov, vključno z revizijo in finančnim poslovodenjem, in sodelujejo v postopku zaključevanja programov</w:t>
            </w:r>
          </w:p>
        </w:tc>
      </w:tr>
    </w:tbl>
    <w:p>
      <w:pPr>
        <w:rPr>
          <w:noProof/>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2"/>
        <w:rPr>
          <w:noProof/>
          <w:szCs w:val="24"/>
        </w:rPr>
      </w:pPr>
      <w:bookmarkStart w:id="46" w:name="_Toc514941995"/>
      <w:bookmarkStart w:id="47" w:name="_Toc39839415"/>
      <w:r>
        <w:t>3.3.</w:t>
      </w:r>
      <w:r>
        <w:tab/>
      </w:r>
      <w:r>
        <w:rPr>
          <w:noProof/>
        </w:rPr>
        <w:t>Ocenjene posledice za prihodke</w:t>
      </w:r>
      <w:bookmarkEnd w:id="46"/>
      <w:bookmarkEnd w:id="47"/>
      <w:r>
        <w:rPr>
          <w:noProof/>
        </w:rPr>
        <w:t xml:space="preserve"> </w:t>
      </w:r>
    </w:p>
    <w:p>
      <w:pPr>
        <w:tabs>
          <w:tab w:val="num" w:pos="1134"/>
        </w:tabs>
        <w:ind w:left="1134" w:hanging="283"/>
        <w:rPr>
          <w:rFonts w:eastAsia="Times New Roman"/>
          <w:noProof/>
        </w:rPr>
      </w:pPr>
      <w:r>
        <w:rPr>
          <w:noProof/>
        </w:rPr>
        <w:t>X</w:t>
      </w:r>
      <w:r>
        <w:rPr>
          <w:noProof/>
        </w:rPr>
        <w:tab/>
        <w:t>Predlog/pobuda nima finančnih posledic za prihodke.</w:t>
      </w:r>
    </w:p>
    <w:p>
      <w:pPr>
        <w:tabs>
          <w:tab w:val="num" w:pos="1134"/>
        </w:tabs>
        <w:ind w:left="1134" w:hanging="283"/>
        <w:rPr>
          <w:rFonts w:eastAsia="Times New Roman"/>
          <w:noProof/>
        </w:rPr>
      </w:pPr>
      <w:r>
        <w:rPr>
          <w:noProof/>
        </w:rPr>
        <w:sym w:font="Wingdings" w:char="F0A8"/>
      </w:r>
      <w:r>
        <w:rPr>
          <w:noProof/>
        </w:rPr>
        <w:tab/>
        <w:t>Predlog/pobuda ima finančne posledice, kot je pojasnjeno v nadaljevanju:</w:t>
      </w:r>
    </w:p>
    <w:p>
      <w:pPr>
        <w:pStyle w:val="Tiret2"/>
        <w:numPr>
          <w:ilvl w:val="0"/>
          <w:numId w:val="11"/>
        </w:numPr>
        <w:rPr>
          <w:noProof/>
        </w:rPr>
      </w:pPr>
      <w:r>
        <w:rPr>
          <w:noProof/>
        </w:rPr>
        <w:sym w:font="Wingdings" w:char="F0A8"/>
      </w:r>
      <w:r>
        <w:rPr>
          <w:noProof/>
        </w:rPr>
        <w:tab/>
        <w:t xml:space="preserve">za lastna sredstva, </w:t>
      </w:r>
    </w:p>
    <w:p>
      <w:pPr>
        <w:pStyle w:val="Tiret2"/>
        <w:numPr>
          <w:ilvl w:val="0"/>
          <w:numId w:val="11"/>
        </w:numPr>
        <w:rPr>
          <w:noProof/>
        </w:rPr>
      </w:pPr>
      <w:r>
        <w:rPr>
          <w:noProof/>
        </w:rPr>
        <w:sym w:font="Wingdings" w:char="F0A8"/>
      </w:r>
      <w:r>
        <w:rPr>
          <w:noProof/>
        </w:rPr>
        <w:tab/>
        <w:t>za druge prihodke.</w:t>
      </w:r>
    </w:p>
    <w:p>
      <w:pPr>
        <w:rPr>
          <w:noProof/>
        </w:rPr>
      </w:pPr>
      <w:r>
        <w:rPr>
          <w:noProof/>
        </w:rPr>
        <w:t xml:space="preserve">navedite, ali so prihodki dodeljeni za odhodkovne vrstice </w:t>
      </w:r>
      <w:r>
        <w:rPr>
          <w:noProof/>
        </w:rPr>
        <w:sym w:font="Wingdings" w:char="F0A8"/>
      </w:r>
      <w:r>
        <w:rPr>
          <w:noProof/>
        </w:rPr>
        <w:tab/>
      </w:r>
    </w:p>
    <w:p>
      <w:pPr>
        <w:jc w:val="right"/>
        <w:rPr>
          <w:i/>
          <w:noProof/>
          <w:sz w:val="20"/>
        </w:rPr>
      </w:pPr>
      <w:r>
        <w:rPr>
          <w:noProof/>
        </w:rPr>
        <w:t>v mio. EUR (na tri decimalna mesta natančno)</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Prihodkovna proračunska vrstica</w:t>
            </w:r>
          </w:p>
        </w:tc>
        <w:tc>
          <w:tcPr>
            <w:tcW w:w="7200" w:type="dxa"/>
            <w:gridSpan w:val="7"/>
            <w:vAlign w:val="center"/>
          </w:tcPr>
          <w:p>
            <w:pPr>
              <w:jc w:val="center"/>
              <w:rPr>
                <w:noProof/>
                <w:sz w:val="18"/>
              </w:rPr>
            </w:pPr>
            <w:r>
              <w:rPr>
                <w:noProof/>
                <w:sz w:val="18"/>
              </w:rPr>
              <w:t>Posledice predloga/pobude</w:t>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Člen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Za namenske prejemke navedite zadevne odhodkovne proračunske vrstice.</w:t>
      </w:r>
    </w:p>
    <w:p>
      <w:pPr>
        <w:ind w:left="850"/>
        <w:rPr>
          <w:noProof/>
        </w:rPr>
      </w:pPr>
      <w:r>
        <w:rPr>
          <w:noProof/>
          <w:color w:val="0000FF"/>
        </w:rPr>
        <w:t>[…]</w:t>
      </w:r>
    </w:p>
    <w:p>
      <w:pPr>
        <w:ind w:left="850"/>
        <w:rPr>
          <w:noProof/>
          <w:sz w:val="16"/>
          <w:szCs w:val="16"/>
        </w:rPr>
      </w:pPr>
      <w:r>
        <w:rPr>
          <w:noProof/>
          <w:sz w:val="20"/>
        </w:rPr>
        <w:t>Druge opombe (npr. metoda/formula za izračun posledic za prihodke ali druge informacije).</w:t>
      </w:r>
      <w:r>
        <w:rPr>
          <w:noProof/>
          <w:sz w:val="16"/>
          <w:szCs w:val="16"/>
        </w:rPr>
        <w:t xml:space="preserve"> </w:t>
      </w:r>
    </w:p>
    <w:p>
      <w:pPr>
        <w:ind w:left="850"/>
        <w:rPr>
          <w:noProof/>
        </w:rPr>
      </w:pPr>
      <w:r>
        <w:rPr>
          <w:noProof/>
          <w:color w:val="0000FF"/>
        </w:rPr>
        <w: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COM(2020) 22 final</w:t>
      </w:r>
    </w:p>
  </w:footnote>
  <w:footnote w:id="3">
    <w:p>
      <w:pPr>
        <w:pStyle w:val="FootnoteText"/>
      </w:pPr>
      <w:r>
        <w:rPr>
          <w:rStyle w:val="FootnoteReference"/>
        </w:rPr>
        <w:footnoteRef/>
      </w:r>
      <w:r>
        <w:tab/>
        <w:t>COM(2020) 23 final</w:t>
      </w:r>
    </w:p>
  </w:footnote>
  <w:footnote w:id="4">
    <w:p>
      <w:pPr>
        <w:pStyle w:val="FootnoteText"/>
      </w:pPr>
      <w:r>
        <w:rPr>
          <w:rStyle w:val="FootnoteReference"/>
        </w:rPr>
        <w:footnoteRef/>
      </w:r>
      <w:r>
        <w:tab/>
        <w:t>SWD(2018) 282 final</w:t>
      </w:r>
    </w:p>
  </w:footnote>
  <w:footnote w:id="5">
    <w:p>
      <w:pPr>
        <w:pStyle w:val="FootnoteText"/>
      </w:pPr>
      <w:r>
        <w:rPr>
          <w:rStyle w:val="FootnoteReference"/>
        </w:rPr>
        <w:footnoteRef/>
      </w:r>
      <w:r>
        <w:tab/>
        <w:t>COM(2018) 372 final</w:t>
      </w:r>
    </w:p>
  </w:footnote>
  <w:footnote w:id="6">
    <w:p>
      <w:pPr>
        <w:pStyle w:val="FootnoteText"/>
      </w:pPr>
      <w:r>
        <w:rPr>
          <w:rStyle w:val="FootnoteReference"/>
        </w:rPr>
        <w:footnoteRef/>
      </w:r>
      <w:r>
        <w:tab/>
        <w:t>UL C , , str.</w:t>
      </w:r>
    </w:p>
  </w:footnote>
  <w:footnote w:id="7">
    <w:p>
      <w:pPr>
        <w:pStyle w:val="FootnoteText"/>
      </w:pPr>
      <w:r>
        <w:rPr>
          <w:rStyle w:val="FootnoteReference"/>
        </w:rPr>
        <w:footnoteRef/>
      </w:r>
      <w:r>
        <w:tab/>
        <w:t>Po členu 58(2)(a) oz. (b) finančne uredbe.</w:t>
      </w:r>
    </w:p>
  </w:footnote>
  <w:footnote w:id="8">
    <w:p>
      <w:pPr>
        <w:pStyle w:val="FootnoteText"/>
      </w:pPr>
      <w:r>
        <w:rPr>
          <w:rStyle w:val="FootnoteReference"/>
        </w:rPr>
        <w:footnoteRef/>
      </w:r>
      <w:r>
        <w:tab/>
        <w:t>Pojasnila o načinih upravljanja in sklici na finančno uredbo so na voljo na spletišču BudgWeb:</w:t>
      </w:r>
      <w:r>
        <w:tab/>
        <w:t xml:space="preserve"> </w:t>
      </w:r>
      <w:hyperlink r:id="rId1" w:history="1">
        <w:r>
          <w:rPr>
            <w:rStyle w:val="Hyperlink"/>
          </w:rPr>
          <w:t>https://myintracomm.ec.europa.eu/budgweb/EN/man/budgmanag/Pages/budgmanag.aspx</w:t>
        </w:r>
      </w:hyperlink>
    </w:p>
  </w:footnote>
  <w:footnote w:id="9">
    <w:p>
      <w:pPr>
        <w:pStyle w:val="FootnoteText"/>
      </w:pPr>
      <w:r>
        <w:rPr>
          <w:rStyle w:val="FootnoteReference"/>
        </w:rPr>
        <w:footnoteRef/>
      </w:r>
      <w:r>
        <w:tab/>
        <w:t>Dif. = diferencirana sredstva / nedif. = nediferencirana sredstva.</w:t>
      </w:r>
    </w:p>
  </w:footnote>
  <w:footnote w:id="10">
    <w:p>
      <w:pPr>
        <w:pStyle w:val="FootnoteText"/>
      </w:pPr>
      <w:r>
        <w:rPr>
          <w:rStyle w:val="FootnoteReference"/>
        </w:rPr>
        <w:footnoteRef/>
      </w:r>
      <w:r>
        <w:tab/>
        <w:t>Efta: Evropsko združenje za prosto trgovino.</w:t>
      </w:r>
    </w:p>
  </w:footnote>
  <w:footnote w:id="11">
    <w:p>
      <w:pPr>
        <w:pStyle w:val="FootnoteText"/>
      </w:pPr>
      <w:r>
        <w:rPr>
          <w:rStyle w:val="FootnoteReference"/>
        </w:rPr>
        <w:footnoteRef/>
      </w:r>
      <w:r>
        <w:tab/>
        <w:t>Države kandidatke in po potrebi potencialne kandidatke z Zahodnega Balkana.</w:t>
      </w:r>
    </w:p>
  </w:footnote>
  <w:footnote w:id="12">
    <w:p>
      <w:pPr>
        <w:pStyle w:val="FootnoteText"/>
      </w:pPr>
      <w:r>
        <w:rPr>
          <w:rStyle w:val="FootnoteReference"/>
        </w:rPr>
        <w:footnoteRef/>
      </w:r>
      <w:r>
        <w:tab/>
        <w:t>Dodatna zgornja meja za zunanje sodelavce v okviru odobritev za poslovanje (prej vrstice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8415A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7AC1638"/>
    <w:lvl w:ilvl="0">
      <w:start w:val="1"/>
      <w:numFmt w:val="decimal"/>
      <w:pStyle w:val="ListNumber3"/>
      <w:lvlText w:val="%1."/>
      <w:lvlJc w:val="left"/>
      <w:pPr>
        <w:tabs>
          <w:tab w:val="num" w:pos="926"/>
        </w:tabs>
        <w:ind w:left="926" w:hanging="360"/>
      </w:pPr>
    </w:lvl>
  </w:abstractNum>
  <w:abstractNum w:abstractNumId="2">
    <w:nsid w:val="FFFFFF7F"/>
    <w:multiLevelType w:val="singleLevel"/>
    <w:tmpl w:val="534AD0D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4146C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6478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9D850B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F902698"/>
    <w:lvl w:ilvl="0">
      <w:start w:val="1"/>
      <w:numFmt w:val="decimal"/>
      <w:pStyle w:val="ListNumber"/>
      <w:lvlText w:val="%1."/>
      <w:lvlJc w:val="left"/>
      <w:pPr>
        <w:tabs>
          <w:tab w:val="num" w:pos="360"/>
        </w:tabs>
        <w:ind w:left="360" w:hanging="360"/>
      </w:pPr>
    </w:lvl>
  </w:abstractNum>
  <w:abstractNum w:abstractNumId="7">
    <w:nsid w:val="FFFFFF89"/>
    <w:multiLevelType w:val="singleLevel"/>
    <w:tmpl w:val="70AE55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21"/>
    <w:lvlOverride w:ilvl="0">
      <w:startOverride w:val="1"/>
    </w:lvlOverride>
  </w:num>
  <w:num w:numId="7">
    <w:abstractNumId w:val="6"/>
  </w:num>
  <w:num w:numId="8">
    <w:abstractNumId w:val="2"/>
  </w:num>
  <w:num w:numId="9">
    <w:abstractNumId w:val="1"/>
  </w:num>
  <w:num w:numId="10">
    <w:abstractNumId w:val="14"/>
    <w:lvlOverride w:ilvl="0">
      <w:startOverride w:val="1"/>
    </w:lvlOverride>
  </w:num>
  <w:num w:numId="11">
    <w:abstractNumId w:val="21"/>
  </w:num>
  <w:num w:numId="12">
    <w:abstractNumId w:val="20"/>
  </w:num>
  <w:num w:numId="13">
    <w:abstractNumId w:val="1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21"/>
  </w:num>
  <w:num w:numId="18">
    <w:abstractNumId w:val="11"/>
  </w:num>
  <w:num w:numId="19">
    <w:abstractNumId w:val="13"/>
  </w:num>
  <w:num w:numId="20">
    <w:abstractNumId w:val="9"/>
  </w:num>
  <w:num w:numId="21">
    <w:abstractNumId w:val="20"/>
  </w:num>
  <w:num w:numId="22">
    <w:abstractNumId w:val="8"/>
  </w:num>
  <w:num w:numId="23">
    <w:abstractNumId w:val="14"/>
  </w:num>
  <w:num w:numId="24">
    <w:abstractNumId w:val="17"/>
  </w:num>
  <w:num w:numId="25">
    <w:abstractNumId w:val="18"/>
  </w:num>
  <w:num w:numId="26">
    <w:abstractNumId w:val="10"/>
  </w:num>
  <w:num w:numId="27">
    <w:abstractNumId w:val="16"/>
  </w:num>
  <w:num w:numId="28">
    <w:abstractNumId w:val="22"/>
  </w:num>
  <w:num w:numId="29">
    <w:abstractNumId w:val="19"/>
  </w:num>
  <w:num w:numId="30">
    <w:abstractNumId w:val="12"/>
  </w:num>
  <w:num w:numId="31">
    <w:abstractNumId w:val="21"/>
  </w:num>
  <w:num w:numId="32">
    <w:abstractNumId w:val="11"/>
  </w:num>
  <w:num w:numId="33">
    <w:abstractNumId w:val="13"/>
  </w:num>
  <w:num w:numId="34">
    <w:abstractNumId w:val="9"/>
  </w:num>
  <w:num w:numId="35">
    <w:abstractNumId w:val="20"/>
  </w:num>
  <w:num w:numId="36">
    <w:abstractNumId w:val="8"/>
  </w:num>
  <w:num w:numId="37">
    <w:abstractNumId w:val="14"/>
  </w:num>
  <w:num w:numId="38">
    <w:abstractNumId w:val="17"/>
  </w:num>
  <w:num w:numId="39">
    <w:abstractNumId w:val="18"/>
  </w:num>
  <w:num w:numId="40">
    <w:abstractNumId w:val="10"/>
  </w:num>
  <w:num w:numId="41">
    <w:abstractNumId w:val="16"/>
  </w:num>
  <w:num w:numId="42">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7:45:1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2"/>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B54EC97-5BD8-4B84-932A-C78CB310B10C"/>
    <w:docVar w:name="LW_COVERPAGE_TYPE" w:val="1"/>
    <w:docVar w:name="LW_CROSSREFERENCE" w:val="&lt;UNUSED&gt;"/>
    <w:docVar w:name="LW_DocType" w:val="COM"/>
    <w:docVar w:name="LW_EMISSION" w:val="28.5.2020"/>
    <w:docVar w:name="LW_EMISSION_ISODATE" w:val="2020-05-28"/>
    <w:docVar w:name="LW_EMISSION_LOCATION" w:val="BRX"/>
    <w:docVar w:name="LW_EMISSION_PREFIX" w:val="Bruselj, "/>
    <w:docVar w:name="LW_EMISSION_SUFFIX" w:val=" "/>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006"/>
    <w:docVar w:name="LW_REF.II.NEW.CP_YEAR" w:val="2020"/>
    <w:docVar w:name="LW_REF.INST.NEW" w:val="COM"/>
    <w:docVar w:name="LW_REF.INST.NEW_ADOPTED" w:val="final"/>
    <w:docVar w:name="LW_REF.INST.NEW_TEXT" w:val="(2020) 4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Spremenjeni predlog"/>
    <w:docVar w:name="LW_SUPERTITRE" w:val="&lt;UNUSED&gt;"/>
    <w:docVar w:name="LW_TITRE.OBJ.CP" w:val="o ustanovitvi Sklada za pravi\u269?ni prehod"/>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rFonts w:eastAsia="Times New Roman"/>
      <w:b/>
      <w:szCs w:val="24"/>
    </w:rPr>
  </w:style>
  <w:style w:type="character" w:styleId="CommentReference">
    <w:name w:val="annotation reference"/>
    <w:rPr>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l-SI"/>
    </w:rPr>
  </w:style>
  <w:style w:type="character" w:styleId="Emphasis">
    <w:name w:val="Emphasis"/>
    <w:uiPriority w:val="20"/>
    <w:qFormat/>
    <w:rPr>
      <w:b/>
      <w:bCs/>
      <w:i w:val="0"/>
      <w:iCs w:val="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Point2letter0">
    <w:name w:val="Point 2 letter"/>
    <w:basedOn w:val="Point2"/>
    <w:rPr>
      <w:noProof/>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szCs w:val="24"/>
      <w:lang w:eastAsia="nl-BE"/>
    </w:rPr>
  </w:style>
  <w:style w:type="paragraph" w:customStyle="1" w:styleId="Point1letter0">
    <w:name w:val="Point1 (letter)"/>
    <w:basedOn w:val="Point0letter"/>
  </w:style>
  <w:style w:type="paragraph" w:styleId="ListNumber4">
    <w:name w:val="List Number 4"/>
    <w:basedOn w:val="Normal"/>
    <w:uiPriority w:val="99"/>
    <w:semiHidden/>
    <w:unhideWhenUsed/>
    <w:pPr>
      <w:numPr>
        <w:numId w:val="5"/>
      </w:numPr>
      <w:contextualSpacing/>
    </w:pPr>
  </w:style>
  <w:style w:type="paragraph" w:customStyle="1" w:styleId="Point1letter1">
    <w:name w:val="Point 1  (letter)"/>
    <w:basedOn w:val="Point0letter"/>
  </w:style>
  <w:style w:type="character" w:customStyle="1" w:styleId="conf-macro">
    <w:name w:val="conf-macro"/>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AnnexetitreChar">
    <w:name w:val="Annexe titre Char"/>
    <w:basedOn w:val="DefaultParagraphFont"/>
    <w:rPr>
      <w:rFonts w:ascii="Times New Roman" w:hAnsi="Times New Roman" w:cs="Times New Roman"/>
      <w:b/>
      <w:sz w:val="24"/>
      <w:u w:val="single"/>
      <w:lang w:val="sl-SI"/>
    </w:rPr>
  </w:style>
  <w:style w:type="paragraph" w:customStyle="1" w:styleId="ListDash2">
    <w:name w:val="List Dash 2"/>
    <w:basedOn w:val="Normal"/>
    <w:pPr>
      <w:numPr>
        <w:numId w:val="13"/>
      </w:numPr>
    </w:pPr>
    <w:rPr>
      <w:rFonts w:eastAsia="Times New Roman"/>
      <w:lang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rFonts w:eastAsia="Times New Roman"/>
      <w:b/>
      <w:szCs w:val="24"/>
    </w:rPr>
  </w:style>
  <w:style w:type="character" w:styleId="CommentReference">
    <w:name w:val="annotation reference"/>
    <w:rPr>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l-SI"/>
    </w:rPr>
  </w:style>
  <w:style w:type="character" w:styleId="Emphasis">
    <w:name w:val="Emphasis"/>
    <w:uiPriority w:val="20"/>
    <w:qFormat/>
    <w:rPr>
      <w:b/>
      <w:bCs/>
      <w:i w:val="0"/>
      <w:iCs w:val="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Point2letter0">
    <w:name w:val="Point 2 letter"/>
    <w:basedOn w:val="Point2"/>
    <w:rPr>
      <w:noProof/>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szCs w:val="24"/>
      <w:lang w:eastAsia="nl-BE"/>
    </w:rPr>
  </w:style>
  <w:style w:type="paragraph" w:customStyle="1" w:styleId="Point1letter0">
    <w:name w:val="Point1 (letter)"/>
    <w:basedOn w:val="Point0letter"/>
  </w:style>
  <w:style w:type="paragraph" w:styleId="ListNumber4">
    <w:name w:val="List Number 4"/>
    <w:basedOn w:val="Normal"/>
    <w:uiPriority w:val="99"/>
    <w:semiHidden/>
    <w:unhideWhenUsed/>
    <w:pPr>
      <w:numPr>
        <w:numId w:val="5"/>
      </w:numPr>
      <w:contextualSpacing/>
    </w:pPr>
  </w:style>
  <w:style w:type="paragraph" w:customStyle="1" w:styleId="Point1letter1">
    <w:name w:val="Point 1  (letter)"/>
    <w:basedOn w:val="Point0letter"/>
  </w:style>
  <w:style w:type="character" w:customStyle="1" w:styleId="conf-macro">
    <w:name w:val="conf-macro"/>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AnnexetitreChar">
    <w:name w:val="Annexe titre Char"/>
    <w:basedOn w:val="DefaultParagraphFont"/>
    <w:rPr>
      <w:rFonts w:ascii="Times New Roman" w:hAnsi="Times New Roman" w:cs="Times New Roman"/>
      <w:b/>
      <w:sz w:val="24"/>
      <w:u w:val="single"/>
      <w:lang w:val="sl-SI"/>
    </w:rPr>
  </w:style>
  <w:style w:type="paragraph" w:customStyle="1" w:styleId="ListDash2">
    <w:name w:val="List Dash 2"/>
    <w:basedOn w:val="Normal"/>
    <w:pPr>
      <w:numPr>
        <w:numId w:val="13"/>
      </w:numPr>
    </w:pPr>
    <w:rPr>
      <w:rFonts w:eastAsia="Times New Roman"/>
      <w:lang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0632">
      <w:bodyDiv w:val="1"/>
      <w:marLeft w:val="0"/>
      <w:marRight w:val="0"/>
      <w:marTop w:val="0"/>
      <w:marBottom w:val="0"/>
      <w:divBdr>
        <w:top w:val="none" w:sz="0" w:space="0" w:color="auto"/>
        <w:left w:val="none" w:sz="0" w:space="0" w:color="auto"/>
        <w:bottom w:val="none" w:sz="0" w:space="0" w:color="auto"/>
        <w:right w:val="none" w:sz="0" w:space="0" w:color="auto"/>
      </w:divBdr>
    </w:div>
    <w:div w:id="470100803">
      <w:bodyDiv w:val="1"/>
      <w:marLeft w:val="0"/>
      <w:marRight w:val="0"/>
      <w:marTop w:val="0"/>
      <w:marBottom w:val="0"/>
      <w:divBdr>
        <w:top w:val="none" w:sz="0" w:space="0" w:color="auto"/>
        <w:left w:val="none" w:sz="0" w:space="0" w:color="auto"/>
        <w:bottom w:val="none" w:sz="0" w:space="0" w:color="auto"/>
        <w:right w:val="none" w:sz="0" w:space="0" w:color="auto"/>
      </w:divBdr>
    </w:div>
    <w:div w:id="711465380">
      <w:bodyDiv w:val="1"/>
      <w:marLeft w:val="0"/>
      <w:marRight w:val="0"/>
      <w:marTop w:val="0"/>
      <w:marBottom w:val="0"/>
      <w:divBdr>
        <w:top w:val="none" w:sz="0" w:space="0" w:color="auto"/>
        <w:left w:val="none" w:sz="0" w:space="0" w:color="auto"/>
        <w:bottom w:val="none" w:sz="0" w:space="0" w:color="auto"/>
        <w:right w:val="none" w:sz="0" w:space="0" w:color="auto"/>
      </w:divBdr>
    </w:div>
    <w:div w:id="999120895">
      <w:bodyDiv w:val="1"/>
      <w:marLeft w:val="0"/>
      <w:marRight w:val="0"/>
      <w:marTop w:val="0"/>
      <w:marBottom w:val="0"/>
      <w:divBdr>
        <w:top w:val="none" w:sz="0" w:space="0" w:color="auto"/>
        <w:left w:val="none" w:sz="0" w:space="0" w:color="auto"/>
        <w:bottom w:val="none" w:sz="0" w:space="0" w:color="auto"/>
        <w:right w:val="none" w:sz="0" w:space="0" w:color="auto"/>
      </w:divBdr>
    </w:div>
    <w:div w:id="1335910665">
      <w:bodyDiv w:val="1"/>
      <w:marLeft w:val="0"/>
      <w:marRight w:val="0"/>
      <w:marTop w:val="0"/>
      <w:marBottom w:val="0"/>
      <w:divBdr>
        <w:top w:val="none" w:sz="0" w:space="0" w:color="auto"/>
        <w:left w:val="none" w:sz="0" w:space="0" w:color="auto"/>
        <w:bottom w:val="none" w:sz="0" w:space="0" w:color="auto"/>
        <w:right w:val="none" w:sz="0" w:space="0" w:color="auto"/>
      </w:divBdr>
    </w:div>
    <w:div w:id="1646007962">
      <w:bodyDiv w:val="1"/>
      <w:marLeft w:val="0"/>
      <w:marRight w:val="0"/>
      <w:marTop w:val="0"/>
      <w:marBottom w:val="0"/>
      <w:divBdr>
        <w:top w:val="none" w:sz="0" w:space="0" w:color="auto"/>
        <w:left w:val="none" w:sz="0" w:space="0" w:color="auto"/>
        <w:bottom w:val="none" w:sz="0" w:space="0" w:color="auto"/>
        <w:right w:val="none" w:sz="0" w:space="0" w:color="auto"/>
      </w:divBdr>
    </w:div>
    <w:div w:id="20043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4C190-FCDB-4CD1-852E-F62DB22A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17</Pages>
  <Words>4418</Words>
  <Characters>25496</Characters>
  <Application>Microsoft Office Word</Application>
  <DocSecurity>0</DocSecurity>
  <Lines>944</Lines>
  <Paragraphs>534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2019-11-15T15:58:00Z</cp:lastPrinted>
  <dcterms:created xsi:type="dcterms:W3CDTF">2020-06-01T15:45:00Z</dcterms:created>
  <dcterms:modified xsi:type="dcterms:W3CDTF">2020-06-02T15:45:00Z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DQCStatus">
    <vt:lpwstr>Green (DQC version 03)</vt:lpwstr>
  </property>
</Properties>
</file>