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42C7497-1763-4662-A877-BDB568ABF79D"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rPr>
          <w:noProof/>
        </w:rPr>
      </w:pP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rPr>
        <w:tab/>
        <w:t>Razlozi i ciljevi prijedloga</w:t>
      </w:r>
    </w:p>
    <w:p>
      <w:pPr>
        <w:rPr>
          <w:noProof/>
        </w:rPr>
      </w:pPr>
      <w:r>
        <w:rPr>
          <w:noProof/>
        </w:rPr>
        <w:t>Europska komisija donijela je 14. siječnja 2020. zakonodavni prijedlog</w:t>
      </w:r>
      <w:r>
        <w:rPr>
          <w:rStyle w:val="FootnoteReference"/>
          <w:rFonts w:eastAsia="Arial Unicode MS"/>
          <w:noProof/>
        </w:rPr>
        <w:footnoteReference w:id="2"/>
      </w:r>
      <w:r>
        <w:rPr>
          <w:noProof/>
        </w:rPr>
        <w:t xml:space="preserve"> o osnivanju Fonda za pravednu tranziciju, zajedno s prijedlogom</w:t>
      </w:r>
      <w:r>
        <w:rPr>
          <w:rStyle w:val="FootnoteReference"/>
          <w:rFonts w:eastAsia="Arial Unicode MS"/>
          <w:noProof/>
        </w:rPr>
        <w:footnoteReference w:id="3"/>
      </w:r>
      <w:r>
        <w:rPr>
          <w:noProof/>
        </w:rPr>
        <w:t xml:space="preserve"> za izmjenu svojeg zakonodavnog prijedloga o Uredbi o zajedničkim odredbama.</w:t>
      </w:r>
    </w:p>
    <w:p>
      <w:pPr>
        <w:rPr>
          <w:noProof/>
        </w:rPr>
      </w:pPr>
      <w:r>
        <w:rPr>
          <w:noProof/>
        </w:rPr>
        <w:t>U skladu s ciljem učinkovitog i pravednog postizanja klimatske neutralnosti EU-a do 2050., svrha je Fonda za pravednu tranziciju ublažavanje gospodarskih, okolišnih i socijalnih troškova tranzicije prema klimatskoj neutralnosti, osobito na područjima koja su najteže pogođena tranzicijom. Potpora iz Fonda usmjerena je na mjere preusmjeravanja gospodarstva, prekvalifikaciju pogođenih radnika i pomoć pri traženju posla.</w:t>
      </w:r>
    </w:p>
    <w:p>
      <w:pPr>
        <w:rPr>
          <w:noProof/>
        </w:rPr>
      </w:pPr>
      <w:r>
        <w:rPr>
          <w:noProof/>
        </w:rPr>
        <w:t>Izbijanje bolesti uzrokovane koronavirusom (COVID-19) potaknula je mnoge vlade na uvođenje dosad neviđenih mjera za obuzdavanje pandemije. To je pak dovelo do naglog pada proizvodnje u mnogim gospodarstvima i ozbiljnih socijalnih posljedica. Stoga se narednih godina očekuju znatne poteškoće u području javnih financija i upravljanja dugom, što bi moglo ograničiti javna ulaganja potrebna za gospodarski oporavak.</w:t>
      </w:r>
    </w:p>
    <w:p>
      <w:pPr>
        <w:rPr>
          <w:noProof/>
        </w:rPr>
      </w:pPr>
      <w:r>
        <w:rPr>
          <w:noProof/>
        </w:rPr>
        <w:t>Osim toga, nacionalni i regionalni kapaciteti za svladavanje posljedica krize razlikuju se među državama članicama i regijama zbog razlika u gospodarskoj strukturi i fiskalnom položaju. Ako se na to ne obrati pozornost, te razlike mogu dovesti do nejednakog oporavka i povećanja regionalnih razlika, što s druge strane može ugroziti unutarnje tržište, financijsku stabilnost europodručja i našu Uniju u cjelini.</w:t>
      </w:r>
    </w:p>
    <w:p>
      <w:pPr>
        <w:rPr>
          <w:noProof/>
        </w:rPr>
      </w:pPr>
      <w:r>
        <w:rPr>
          <w:noProof/>
        </w:rPr>
        <w:t>Kako bi se spriječilo povećanje razlika i izbjegao neujednačen proces oporavka, potrebno je kratkoročno i srednjoročno pružiti dodatnu potporu državama članicama i regijama kako bi se pomoglo njihovim gospodarstvima i društvima da prevladaju trenutačnu situaciju te kako bi se osigurao brz i održiv oporavak njihovih gospodarstava.</w:t>
      </w:r>
    </w:p>
    <w:p>
      <w:pPr>
        <w:rPr>
          <w:noProof/>
        </w:rPr>
      </w:pPr>
      <w:r>
        <w:rPr>
          <w:noProof/>
        </w:rPr>
        <w:t xml:space="preserve">U tom kontekstu potrebno je ubrzati ulaganja u zelenu tranziciju kako bi se stvorili uvjeti za dugoročan rast Europe i otpornost europskog gospodarstva na buduće šokove. Sve bi se to trebalo u potpunosti odraziti u budućim programima i prioritetima ulaganja. Ubrzanim napuštanjem vađenja fosilnih goriva i aktivnosti s visokim emisijama ugljika s pomoću ciljane potpore gospodarskoj diversifikaciji i stvaranju novih gospodarskih mogućnosti i radnih mjesta stvara se ogroman potencijal za rast europskog gospodarstva. U središtu naših nastojanja mora biti omogućivanje regijama i građanima da se uspješno nose s tranzicijom prema klimatski neutralnom gospodarstvu. </w:t>
      </w:r>
    </w:p>
    <w:p>
      <w:pPr>
        <w:rPr>
          <w:noProof/>
        </w:rPr>
      </w:pPr>
      <w:r>
        <w:rPr>
          <w:noProof/>
        </w:rPr>
        <w:t>Stoga se predlaže da se za Fond za pravednu tranziciju stave na raspolaganje dodatna sredstva u iznosu od 35 613 048 000 EUR (u tekućim cijenama). Od tih dodatnih sredstava, 2 810 048 000 EUR trebalo bi potjecati iz odobrenih proračunskih sredstava, čime bi razina programa u okviru sljedećeg VFO-a dosegla 11 270 459 000 EUR; ta bi sredstva trebalo raspodijeliti tijekom tekućih pregovora na razini Europskog vijeća. Preostala dodatna sredstva u iznosu od 32 803 000 000 EUR obuhvatit će razdoblje od 2021. do 2024. i činit će vanjske namjenske prihode koji potječu iz Europskog instrumenta za oporavak.</w:t>
      </w:r>
    </w:p>
    <w:p>
      <w:pPr>
        <w:rPr>
          <w:noProof/>
        </w:rPr>
      </w:pPr>
      <w:r>
        <w:rPr>
          <w:noProof/>
        </w:rPr>
        <w:lastRenderedPageBreak/>
        <w:t xml:space="preserve">Ti će se iznosi raspodijeliti među državama članicama uzimajući u obzir njihovu sposobnost financiranja ulaganja potrebnih za suočavanje s tranzicijom prema klimatskoj neutralnosti u skladu s metodologijom utvrđenom u Prilogu I. predloženoj Uredbi o fondu za pravednu tranziciju. </w:t>
      </w:r>
    </w:p>
    <w:p>
      <w:pPr>
        <w:rPr>
          <w:noProof/>
        </w:rPr>
      </w:pPr>
      <w:r>
        <w:rPr>
          <w:noProof/>
        </w:rPr>
        <w:t>Odstupajući od pravila koja se primjenjuju na vanjske namjenske prihode navedenih u Financijskoj uredbi, nakon što se ta dodatna sredstva dodijele programima, za njih vrijede primjenjiva pravila utvrđena u Uredbi o zajedničkim odredbama, uključujući pravila o obvezama i opozivu sredstava.</w:t>
      </w:r>
    </w:p>
    <w:p>
      <w:pPr>
        <w:rPr>
          <w:noProof/>
        </w:rPr>
      </w:pPr>
      <w:r>
        <w:rPr>
          <w:noProof/>
        </w:rPr>
        <w:t>Kako bi se očuvala sposobnost država članica i regija da sredstva kohezijske politike koriste za potporu ekonomskoj, socijalnoj i teritorijalnoj koheziji, za dodatna sredstva iz Europskog instrumenta za oporavak neće biti potrebni prijenosi iz nacionalnih sredstava dodijeljenih u okviru Europskog fonda za regionalni razvoj i Europskog socijalnog fonda plus.</w:t>
      </w:r>
    </w:p>
    <w:p>
      <w:pPr>
        <w:pStyle w:val="ManualHeading2"/>
        <w:rPr>
          <w:rFonts w:eastAsia="Arial Unicode MS"/>
          <w:noProof/>
        </w:rPr>
      </w:pPr>
      <w:r>
        <w:rPr>
          <w:noProof/>
          <w:u w:color="000000"/>
          <w:bdr w:val="nil"/>
        </w:rPr>
        <w:t>•</w:t>
      </w:r>
      <w:r>
        <w:rPr>
          <w:noProof/>
        </w:rPr>
        <w:tab/>
        <w:t>Dosljednost u odnosu na druge instrumente Unije</w:t>
      </w:r>
    </w:p>
    <w:p>
      <w:pPr>
        <w:pBdr>
          <w:top w:val="nil"/>
          <w:left w:val="nil"/>
          <w:bottom w:val="nil"/>
          <w:right w:val="nil"/>
          <w:between w:val="nil"/>
          <w:bar w:val="nil"/>
        </w:pBdr>
        <w:rPr>
          <w:noProof/>
        </w:rPr>
      </w:pPr>
      <w:r>
        <w:rPr>
          <w:noProof/>
        </w:rPr>
        <w:t xml:space="preserve">Potpora koja se pruža iz Fonda za pravednu tranziciju dopunjava se posebnim programom za pravednu tranziciju u okviru programa InvestEU. Njime će se podupirati širi opseg ulaganja za potporu tranziciji, a osobito aktivnosti s niskim razinama ugljika i aktivnosti otporne na klimatske promjene, primjerice ulaganja u obnovljive izvore energije i programi energetske učinkovitosti. Tim će se programom moći financirati energetska i prometna infrastruktura, uključujući plinsku infrastrukturu i centralizirano grijanje, ali i projekti dekarbonizacije, gospodarska diversifikacija regija i socijalna infrastruktura. </w:t>
      </w:r>
    </w:p>
    <w:p>
      <w:pPr>
        <w:pBdr>
          <w:top w:val="nil"/>
          <w:left w:val="nil"/>
          <w:bottom w:val="nil"/>
          <w:right w:val="nil"/>
          <w:between w:val="nil"/>
          <w:bar w:val="nil"/>
        </w:pBdr>
        <w:rPr>
          <w:noProof/>
        </w:rPr>
      </w:pPr>
      <w:r>
        <w:rPr>
          <w:noProof/>
        </w:rPr>
        <w:t>Osim toga, novim instrumentom za kreditiranje u javnom sektoru, koji se provodi u suradnji s EIB-om, omogućit će se kombiniranje EU-ovih bespovratnih sredstava sa zajmovima koje EIB odobrava javnim subjektima u cilju ostvarivanja koristi za najteže pogođena područja utvrđena u teritorijalnim planovima za pravednu tranziciju.</w:t>
      </w:r>
    </w:p>
    <w:p>
      <w:pPr>
        <w:pBdr>
          <w:top w:val="nil"/>
          <w:left w:val="nil"/>
          <w:bottom w:val="nil"/>
          <w:right w:val="nil"/>
          <w:between w:val="nil"/>
          <w:bar w:val="nil"/>
        </w:pBdr>
        <w:rPr>
          <w:noProof/>
        </w:rPr>
      </w:pPr>
      <w:r>
        <w:rPr>
          <w:noProof/>
        </w:rPr>
        <w:t xml:space="preserve">Sinergije i komplementarnosti između triju stupova osigurat će se teritorijalnim planovima za pravednu tranziciju, u kojima će se utvrditi razvojne potrebe područja koja su najteže pogođena klimatskom tranzicijom.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osnova</w:t>
      </w:r>
    </w:p>
    <w:p>
      <w:pPr>
        <w:rPr>
          <w:noProof/>
        </w:rPr>
      </w:pPr>
      <w:r>
        <w:rPr>
          <w:noProof/>
        </w:rPr>
        <w:t xml:space="preserve">Djelovanje EU-a opravdano je člankom 174. stavkom 1. UFEU-a: „Unija razvija i provodi aktivnosti koje vode jačanju njezine ekonomske, socijalne i teritorijalne kohezije. Unija osobito nastoji smanjiti razlike u stupnju razvijenosti među različitim regijama i zaostalost regija u najnepovoljnijem položaju.” </w:t>
      </w:r>
    </w:p>
    <w:p>
      <w:pPr>
        <w:rPr>
          <w:noProof/>
        </w:rPr>
      </w:pPr>
      <w:r>
        <w:rPr>
          <w:noProof/>
        </w:rPr>
        <w:t>Kako bi se uspostavio Fond za pravednu tranziciju, potrebno je temeljiti prijedlog na članku 175. UFEU-a, kojim se izričito poziva Uniju da podupre ostvarivanje ciljeva iz članka 174. djelovanjem kroz strukturne fondove, EIB i ostale postojeće financijske instrumente.</w:t>
      </w:r>
    </w:p>
    <w:p>
      <w:pPr>
        <w:rPr>
          <w:noProof/>
        </w:rPr>
      </w:pPr>
      <w:r>
        <w:rPr>
          <w:noProof/>
        </w:rPr>
        <w:t>U članku 175. trećem stavku UFEU-a predviđa se i da „ako se pokaže potreba za određenim posebnim djelovanjima izvan okvira fondova, Vijeće može jednoglasno, na prijedlog Komisije i nakon savjetovanja s Europskim parlamentom, Gospodarskim i socijalnim odborom te Odborom regija, odlučiti o takvim djelovanjima, ne dovodeći pritom u pitanje mjere donesene u okviru drugih politika Unije.”</w:t>
      </w:r>
    </w:p>
    <w:p>
      <w:pPr>
        <w:rPr>
          <w:noProof/>
        </w:rPr>
      </w:pPr>
      <w:r>
        <w:rPr>
          <w:noProof/>
        </w:rPr>
        <w:t>Prijedlog je potrebno temeljiti i na članku 322. stavku 1. točki (a) UFEU-a kako bi se omogućila ciljana odstupanja od Financijske uredbe.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Supsidijarnost i proporcionalnost</w:t>
      </w:r>
    </w:p>
    <w:p>
      <w:pPr>
        <w:rPr>
          <w:noProof/>
        </w:rPr>
      </w:pPr>
      <w:r>
        <w:rPr>
          <w:noProof/>
        </w:rPr>
        <w:t xml:space="preserve">U skladu s člankom 4. stavkom 2. UFEU-a podijeljena nadležnost između Unije i država članica primjenjuje se u području ekonomske, socijalne i teritorijalne kohezije kao i određenih aspekata socijalne politike. Unija je nadležna i za poduzimanje djelovanja kojima se podupiru, koordiniraju ili dopunjuju djelovanja država članica u području obrazovanja i strukovnog osposobljavanja te industrije (članak 6. UFEU-a). </w:t>
      </w:r>
    </w:p>
    <w:p>
      <w:pPr>
        <w:rPr>
          <w:noProof/>
        </w:rPr>
      </w:pPr>
      <w:r>
        <w:rPr>
          <w:noProof/>
        </w:rPr>
        <w:t xml:space="preserve">Provedba Fonda za pravednu tranziciju u okviru podijeljenog upravljanja temelji se na načelu supsidijarnosti. U okviru podijeljenog upravljanja Komisija delegira zadaće strateškog programiranja i provedbe državama članicama i regijama. Time se ograničava djelovanje EU-a na ono što je nužno za postizanje ciljeva kako je utvrđeno u Ugovorima. </w:t>
      </w:r>
    </w:p>
    <w:p>
      <w:pPr>
        <w:rPr>
          <w:noProof/>
        </w:rPr>
      </w:pPr>
      <w:r>
        <w:rPr>
          <w:noProof/>
        </w:rPr>
        <w:t>Cilj je podijeljenog upravljanja osigurati da se odluke donose što je moguće bliže građanima i da je djelovanje na razini EU-a opravdano s obzirom na mogućnosti i posebnosti na nacionalnoj, regionalnoj ili lokalnoj razini. Podijeljeno upravljanje približava Europu građanima i povezuje lokalne potrebe s europskim ciljevima. Štoviše, njime se povećava odgovornost za ciljeve EU-a jer države članice i Komisija dijele ovlasti za donošenje odluka i odgovornost te zajednički financiraju programe.</w:t>
      </w:r>
    </w:p>
    <w:p>
      <w:pPr>
        <w:pStyle w:val="ManualHeading2"/>
        <w:rPr>
          <w:rFonts w:eastAsia="Arial Unicode MS"/>
          <w:noProof/>
          <w:u w:color="000000"/>
          <w:bdr w:val="nil"/>
        </w:rPr>
      </w:pPr>
      <w:r>
        <w:rPr>
          <w:noProof/>
          <w:u w:color="000000"/>
          <w:bdr w:val="nil"/>
        </w:rPr>
        <w:t>•</w:t>
      </w:r>
      <w:r>
        <w:rPr>
          <w:noProof/>
        </w:rPr>
        <w:tab/>
      </w:r>
      <w:r>
        <w:rPr>
          <w:noProof/>
          <w:u w:color="000000"/>
          <w:bdr w:val="nil"/>
        </w:rPr>
        <w:t>Odabir instrumenta</w:t>
      </w:r>
    </w:p>
    <w:p>
      <w:pPr>
        <w:rPr>
          <w:noProof/>
        </w:rPr>
      </w:pPr>
      <w:r>
        <w:rPr>
          <w:noProof/>
        </w:rPr>
        <w:t>Kohezijska politika prikladan je okvir za Fond za pravednu tranziciju jer je to glavna politika EU-a za rješavanje pitanja strukturnih promjena u europskim regijama. Pruža financijsku potporu za ulaganja u širokom rasponu područja koja doprinose stvaranju radnih mjesta i rastu te uključuje partnerstva s akterima na terenu.</w:t>
      </w:r>
    </w:p>
    <w:p>
      <w:pPr>
        <w:rPr>
          <w:noProof/>
        </w:rPr>
      </w:pPr>
      <w:r>
        <w:rPr>
          <w:noProof/>
        </w:rPr>
        <w:t xml:space="preserve">Njome se predviđa i integrirani lokalizirani pristup kojim se osiguravaju sinergije i usklađenost između ulaganja koja primaju potporu u okviru Fonda za pravednu tranziciju i ulaganja koja se podupiru u okviru glavnih programa kohezijske politike. Time će se ubrzati gospodarski razvoj i preusmjeravanje predmetnih regija. </w:t>
      </w:r>
    </w:p>
    <w:p>
      <w:pPr>
        <w:rPr>
          <w:noProof/>
        </w:rPr>
      </w:pPr>
      <w:r>
        <w:rPr>
          <w:noProof/>
        </w:rPr>
        <w:t xml:space="preserve">Osim toga, osigurava se odgovornost država članica i regija. To je ključno u kontekstu Fonda za pravednu tranziciju, koji se treba temeljiti na prilagođenim teritorijalnim strategijama tranzicije, koje uključuju na sveobuhvatan način brojne socijalne, okolišne i gospodarske probleme koje je tranzicija uzrokovala. </w:t>
      </w:r>
    </w:p>
    <w:p>
      <w:pPr>
        <w:rPr>
          <w:noProof/>
        </w:rPr>
      </w:pPr>
      <w:r>
        <w:rPr>
          <w:noProof/>
        </w:rPr>
        <w:t xml:space="preserve">U okviru kohezijske politike izbor instrumenta jest uredba Europskog parlamenta i Vijeća u skladu s redovnim zakonodavnim postupkom kako je predviđeno člankom 175. stavkom 3. Ugovora. </w:t>
      </w:r>
    </w:p>
    <w:p>
      <w:pPr>
        <w:pStyle w:val="ManualHeading1"/>
        <w:rPr>
          <w:noProof/>
        </w:rPr>
      </w:pPr>
      <w:r>
        <w:rPr>
          <w:noProof/>
        </w:rPr>
        <w:t>3.</w:t>
      </w:r>
      <w:r>
        <w:rPr>
          <w:noProof/>
        </w:rPr>
        <w:tab/>
        <w:t xml:space="preserve">REZULTATI </w:t>
      </w:r>
      <w:r>
        <w:rPr>
          <w:i/>
          <w:iCs/>
          <w:noProof/>
        </w:rPr>
        <w:t>EX POST</w:t>
      </w:r>
      <w:r>
        <w:rPr>
          <w:noProof/>
        </w:rPr>
        <w:t xml:space="preserve"> EVALUACIJA, SAVJETOVANJA S DIONICIMA I PROCJENA UČINKA</w:t>
      </w:r>
    </w:p>
    <w:p>
      <w:pPr>
        <w:pStyle w:val="ManualHeading2"/>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evaluacije/provjere primjerenosti postojećeg zakonodavstva</w:t>
      </w:r>
    </w:p>
    <w:p>
      <w:pPr>
        <w:rPr>
          <w:noProof/>
        </w:rPr>
      </w:pPr>
      <w:r>
        <w:rPr>
          <w:noProof/>
        </w:rPr>
        <w:t>Nije primjenjivo</w:t>
      </w:r>
    </w:p>
    <w:p>
      <w:pPr>
        <w:pStyle w:val="ManualHeading2"/>
        <w:rPr>
          <w:rFonts w:eastAsia="Arial Unicode MS"/>
          <w:noProof/>
          <w:u w:color="000000"/>
          <w:bdr w:val="nil"/>
        </w:rPr>
      </w:pPr>
      <w:r>
        <w:rPr>
          <w:noProof/>
          <w:u w:color="000000"/>
          <w:bdr w:val="nil"/>
        </w:rPr>
        <w:t>•</w:t>
      </w:r>
      <w:r>
        <w:rPr>
          <w:noProof/>
        </w:rPr>
        <w:tab/>
      </w:r>
      <w:r>
        <w:rPr>
          <w:noProof/>
          <w:u w:color="000000"/>
          <w:bdr w:val="nil"/>
        </w:rPr>
        <w:t>Savjetovanja s dionicima</w:t>
      </w:r>
    </w:p>
    <w:p>
      <w:pPr>
        <w:rPr>
          <w:noProof/>
        </w:rPr>
      </w:pPr>
      <w:r>
        <w:rPr>
          <w:noProof/>
        </w:rPr>
        <w:t>Nije bilo savjetovanja s vanjskim dionicima. Međutim, prijedlog se temelji na raspravama održanima s državama članicama i Europskim parlamentom tijekom posljednjih tjedana u kontekstu pregovora o prijedlogu o osnivanju Fonda za pravednu tranziciju.</w:t>
      </w:r>
    </w:p>
    <w:p>
      <w:pPr>
        <w:rPr>
          <w:noProof/>
        </w:rPr>
      </w:pPr>
      <w:r>
        <w:rPr>
          <w:noProof/>
        </w:rPr>
        <w:t>I u nacrtu izvješća izvjestitelja odbora REGI i u mišljenju odbora BUDG posebno se predlaže znatno povećanje proračuna Fonda za pravednu tranziciju.</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Prikupljanje i primjena stručnog znanja</w:t>
      </w:r>
    </w:p>
    <w:p>
      <w:pPr>
        <w:rPr>
          <w:noProof/>
        </w:rPr>
      </w:pPr>
      <w:r>
        <w:rPr>
          <w:noProof/>
        </w:rPr>
        <w:t>Nije primjenjivo</w:t>
      </w:r>
    </w:p>
    <w:p>
      <w:pPr>
        <w:pStyle w:val="ManualHeading2"/>
        <w:rPr>
          <w:rFonts w:eastAsia="Arial Unicode MS"/>
          <w:noProof/>
          <w:u w:color="000000"/>
          <w:bdr w:val="nil"/>
        </w:rPr>
      </w:pPr>
      <w:r>
        <w:rPr>
          <w:noProof/>
          <w:u w:color="000000"/>
          <w:bdr w:val="nil"/>
        </w:rPr>
        <w:t>•</w:t>
      </w:r>
      <w:r>
        <w:rPr>
          <w:noProof/>
        </w:rPr>
        <w:tab/>
      </w:r>
      <w:r>
        <w:rPr>
          <w:noProof/>
          <w:u w:color="000000"/>
          <w:bdr w:val="nil"/>
        </w:rPr>
        <w:t>Procjena učinka</w:t>
      </w:r>
    </w:p>
    <w:p>
      <w:pPr>
        <w:rPr>
          <w:noProof/>
        </w:rPr>
      </w:pPr>
      <w:r>
        <w:rPr>
          <w:noProof/>
        </w:rPr>
        <w:t>U procjeni učinka</w:t>
      </w:r>
      <w:r>
        <w:rPr>
          <w:rStyle w:val="FootnoteReference"/>
          <w:rFonts w:eastAsia="Arial Unicode MS"/>
          <w:noProof/>
        </w:rPr>
        <w:footnoteReference w:id="4"/>
      </w:r>
      <w:r>
        <w:rPr>
          <w:noProof/>
        </w:rPr>
        <w:t xml:space="preserve"> provedenoj radi pripreme prijedloga Uredbe Europskog parlamenta i Vijeća o Europskom fondu za regionalni razvoj i Kohezijskom fondu</w:t>
      </w:r>
      <w:r>
        <w:rPr>
          <w:rStyle w:val="FootnoteReference"/>
          <w:rFonts w:eastAsia="Arial Unicode MS"/>
          <w:noProof/>
        </w:rPr>
        <w:footnoteReference w:id="5"/>
      </w:r>
      <w:r>
        <w:rPr>
          <w:noProof/>
        </w:rPr>
        <w:t xml:space="preserve"> podržani su ciljevi i glavne značajke Fonda za pravednu tranziciju. </w:t>
      </w:r>
    </w:p>
    <w:p>
      <w:pPr>
        <w:rPr>
          <w:noProof/>
        </w:rPr>
      </w:pPr>
      <w:r>
        <w:rPr>
          <w:noProof/>
        </w:rPr>
        <w:t xml:space="preserve">Predloženim izmjenama prijedloga o Fondu za pravednu tranziciju uzimaju se u obzir povećani izazovi s kojima se područja suočavaju s obzirom na nedavnu pandemiju COVID-a 19. Osim povećanog iznosa sredstava, promjene su ograničene tj. ne mijenjaju se struktura ni temelji početnog prijedloga. Stoga nije provedena samostalna procjena učinka. </w:t>
      </w:r>
    </w:p>
    <w:p>
      <w:pPr>
        <w:pStyle w:val="ManualHeading2"/>
        <w:rPr>
          <w:rFonts w:eastAsia="Arial Unicode MS"/>
          <w:noProof/>
          <w:u w:color="000000"/>
          <w:bdr w:val="nil"/>
        </w:rPr>
      </w:pPr>
      <w:r>
        <w:rPr>
          <w:noProof/>
          <w:u w:color="000000"/>
          <w:bdr w:val="nil"/>
        </w:rPr>
        <w:t>•</w:t>
      </w:r>
      <w:r>
        <w:rPr>
          <w:noProof/>
        </w:rPr>
        <w:tab/>
      </w:r>
      <w:r>
        <w:rPr>
          <w:noProof/>
          <w:u w:color="000000"/>
          <w:bdr w:val="nil"/>
        </w:rPr>
        <w:t>Primjerenost i pojednostavnjenje propisa</w:t>
      </w:r>
    </w:p>
    <w:p>
      <w:pPr>
        <w:rPr>
          <w:noProof/>
        </w:rPr>
      </w:pPr>
      <w:r>
        <w:rPr>
          <w:noProof/>
        </w:rPr>
        <w:t>Nije primjenjivo</w:t>
      </w:r>
    </w:p>
    <w:p>
      <w:pPr>
        <w:pStyle w:val="ManualHeading2"/>
        <w:rPr>
          <w:rFonts w:eastAsia="Arial Unicode MS"/>
          <w:noProof/>
          <w:u w:color="000000"/>
          <w:bdr w:val="nil"/>
        </w:rPr>
      </w:pPr>
      <w:r>
        <w:rPr>
          <w:noProof/>
          <w:u w:color="000000"/>
          <w:bdr w:val="nil"/>
        </w:rPr>
        <w:t>•</w:t>
      </w:r>
      <w:r>
        <w:rPr>
          <w:noProof/>
        </w:rPr>
        <w:tab/>
      </w:r>
      <w:r>
        <w:rPr>
          <w:noProof/>
          <w:u w:color="000000"/>
          <w:bdr w:val="nil"/>
        </w:rPr>
        <w:t>Temeljna prava</w:t>
      </w:r>
    </w:p>
    <w:p>
      <w:pPr>
        <w:rPr>
          <w:noProof/>
        </w:rPr>
      </w:pPr>
      <w:r>
        <w:rPr>
          <w:noProof/>
        </w:rPr>
        <w:t>Nije primjenjivo</w:t>
      </w:r>
    </w:p>
    <w:p>
      <w:pPr>
        <w:pStyle w:val="ManualHeading1"/>
        <w:rPr>
          <w:noProof/>
        </w:rPr>
      </w:pPr>
      <w:r>
        <w:rPr>
          <w:noProof/>
        </w:rPr>
        <w:t>4.</w:t>
      </w:r>
      <w:r>
        <w:rPr>
          <w:noProof/>
        </w:rPr>
        <w:tab/>
        <w:t>UTJECAJ NA PRORAČUN</w:t>
      </w:r>
    </w:p>
    <w:p>
      <w:pPr>
        <w:rPr>
          <w:noProof/>
        </w:rPr>
      </w:pPr>
      <w:r>
        <w:rPr>
          <w:noProof/>
        </w:rPr>
        <w:t>Dodatna sredstva iz odobrenih proračunskih sredstava u okviru VFO-a za razdoblje 2021.–2027. dovest će do dodatnih obveza u razdoblju 2021.–2027. te plaćanja u razdoblju 2022.–2027. i nakon 2027.</w:t>
      </w:r>
    </w:p>
    <w:p>
      <w:pPr>
        <w:rPr>
          <w:noProof/>
        </w:rPr>
      </w:pPr>
      <w:r>
        <w:rPr>
          <w:noProof/>
        </w:rPr>
        <w:t>Dodatna sredstva koja će se financirati u okviru prijedloga Europskog instrumenta za oporavak dovest će do dodatnih obveza u 2021., 2022., 2023. i 2024. te plaćanja u godinama od 2021. do 2027. na temelju vanjskih namjenskih prihoda.</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Detaljno obrazloženje posebnih odredaba prijedloga</w:t>
      </w:r>
    </w:p>
    <w:p>
      <w:pPr>
        <w:spacing w:before="0" w:after="240"/>
        <w:rPr>
          <w:rFonts w:eastAsia="Arial Unicode MS"/>
          <w:noProof/>
        </w:rPr>
      </w:pPr>
      <w:r>
        <w:rPr>
          <w:noProof/>
        </w:rPr>
        <w:t>Predložene izmjene prijedloga o Fondu za pravednu tranziciju usmjerene su na sljedeće elemente:</w:t>
      </w:r>
    </w:p>
    <w:p>
      <w:pPr>
        <w:pStyle w:val="Bullet0"/>
        <w:numPr>
          <w:ilvl w:val="0"/>
          <w:numId w:val="10"/>
        </w:numPr>
        <w:rPr>
          <w:noProof/>
        </w:rPr>
      </w:pPr>
      <w:r>
        <w:rPr>
          <w:noProof/>
        </w:rPr>
        <w:t>povećanje sredstava putem dodatnih odobrenih proračunskih sredstava i vanjskih namjenskih prihoda,</w:t>
      </w:r>
    </w:p>
    <w:p>
      <w:pPr>
        <w:pStyle w:val="Bullet0"/>
        <w:rPr>
          <w:noProof/>
        </w:rPr>
      </w:pPr>
      <w:r>
        <w:rPr>
          <w:noProof/>
        </w:rPr>
        <w:t>nema obveze da se ta dodatna sredstva koja se financiraju u okviru Europskog instrumenta za oporavak dopunjavaju prijenosima iz EFRR-a i ESF-a plus,</w:t>
      </w:r>
    </w:p>
    <w:p>
      <w:pPr>
        <w:pStyle w:val="Bullet0"/>
        <w:rPr>
          <w:noProof/>
        </w:rPr>
      </w:pPr>
      <w:r>
        <w:rPr>
          <w:noProof/>
        </w:rPr>
        <w:t>izmjena Priloga I. radi prilagodbe predloženom povećanju sredstava.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Izmijenjeni prijedlog</w:t>
      </w:r>
    </w:p>
    <w:p>
      <w:pPr>
        <w:pStyle w:val="Typedudocument"/>
        <w:rPr>
          <w:noProof/>
        </w:rPr>
      </w:pPr>
      <w:r>
        <w:rPr>
          <w:noProof/>
        </w:rPr>
        <w:t>UREDBE EUROPSKOG PARLAMENTA I VIJEĆA</w:t>
      </w:r>
    </w:p>
    <w:p>
      <w:pPr>
        <w:pStyle w:val="Titreobjet"/>
        <w:rPr>
          <w:noProof/>
        </w:rPr>
      </w:pPr>
      <w:r>
        <w:rPr>
          <w:noProof/>
        </w:rPr>
        <w:t>o uspostavi Fonda za pravednu tranziciju</w:t>
      </w:r>
    </w:p>
    <w:p>
      <w:pPr>
        <w:rPr>
          <w:noProof/>
        </w:rPr>
      </w:pPr>
      <w:r>
        <w:rPr>
          <w:noProof/>
        </w:rPr>
        <w:t>Prijedlog Komisije COM(2020) 22 mijenja se kako slijedi:</w:t>
      </w:r>
    </w:p>
    <w:p>
      <w:pPr>
        <w:pStyle w:val="ManualNumPar1"/>
        <w:rPr>
          <w:noProof/>
        </w:rPr>
      </w:pPr>
      <w:r>
        <w:rPr>
          <w:noProof/>
        </w:rPr>
        <w:t>1.</w:t>
      </w:r>
      <w:r>
        <w:rPr>
          <w:noProof/>
        </w:rPr>
        <w:tab/>
        <w:t xml:space="preserve">Preambula se mijenja kako slijedi: </w:t>
      </w:r>
    </w:p>
    <w:p>
      <w:pPr>
        <w:pStyle w:val="Point1"/>
        <w:rPr>
          <w:noProof/>
        </w:rPr>
      </w:pPr>
      <w:r>
        <w:rPr>
          <w:noProof/>
        </w:rPr>
        <w:t>(a)</w:t>
      </w:r>
      <w:r>
        <w:rPr>
          <w:noProof/>
        </w:rPr>
        <w:tab/>
        <w:t xml:space="preserve">prvi stavak zamjenjuje se sljedećim: </w:t>
      </w:r>
    </w:p>
    <w:p>
      <w:pPr>
        <w:pStyle w:val="Text2"/>
        <w:rPr>
          <w:noProof/>
        </w:rPr>
      </w:pPr>
      <w:r>
        <w:rPr>
          <w:noProof/>
        </w:rPr>
        <w:t>„uzimajući u obzir Ugovor o funkcioniranju Europske unije, a posebno njegov članak 175. treći stavak i članak 322. stavak 1. točku (a),”</w:t>
      </w:r>
    </w:p>
    <w:p>
      <w:pPr>
        <w:pStyle w:val="Point1"/>
        <w:rPr>
          <w:noProof/>
        </w:rPr>
      </w:pPr>
      <w:r>
        <w:rPr>
          <w:noProof/>
        </w:rPr>
        <w:t>(b)</w:t>
      </w:r>
      <w:r>
        <w:rPr>
          <w:noProof/>
        </w:rPr>
        <w:tab/>
        <w:t xml:space="preserve">Umeće se novi šesti stavak: </w:t>
      </w:r>
    </w:p>
    <w:p>
      <w:pPr>
        <w:pStyle w:val="Text2"/>
        <w:rPr>
          <w:noProof/>
        </w:rPr>
      </w:pPr>
      <w:r>
        <w:rPr>
          <w:noProof/>
        </w:rPr>
        <w:t>„uzimajući u obzir mišljenje Revizorskog suda</w:t>
      </w:r>
      <w:r>
        <w:rPr>
          <w:rStyle w:val="FootnoteReference"/>
          <w:noProof/>
        </w:rPr>
        <w:footnoteReference w:id="6"/>
      </w:r>
      <w:r>
        <w:rPr>
          <w:noProof/>
        </w:rPr>
        <w:t>,”;</w:t>
      </w:r>
    </w:p>
    <w:p>
      <w:pPr>
        <w:pStyle w:val="ManualNumPar1"/>
        <w:rPr>
          <w:noProof/>
        </w:rPr>
      </w:pPr>
      <w:r>
        <w:rPr>
          <w:noProof/>
        </w:rPr>
        <w:t>2.</w:t>
      </w:r>
      <w:r>
        <w:rPr>
          <w:noProof/>
        </w:rPr>
        <w:tab/>
        <w:t>umeće se sljedeća uvodna izjava 8.a:</w:t>
      </w:r>
    </w:p>
    <w:p>
      <w:pPr>
        <w:pStyle w:val="Text1"/>
        <w:rPr>
          <w:noProof/>
        </w:rPr>
      </w:pPr>
      <w:r>
        <w:rPr>
          <w:noProof/>
        </w:rPr>
        <w:t>„(8a) Horizontalna financijska pravila koja su donijeli Europski parlament i Vijeće na temelju članka 322. Ugovora o funkcioniranju Europske unije primjenjuju se na ovu Uredbu. Ta su pravila utvrđena u Financijskoj uredbi i njima se pobliže određuje postupak za utvrđivanje i izvršenje proračuna putem bespovratnih sredstava, nabave, nagrada i neizravne provedbe te se predviđaju provjere odgovornosti financijskih izvršitelja. Pravila donesena na temelju članka 322. UFEU-a odnose se i na zaštitu proračuna Unije u slučaju općih nedostataka u pogledu vladavine prava u državama članicama, s obzirom na to da je poštovanje vladavine prava temeljni preduvjet dobrog financijskog upravljanja i djelotvornog financiranja EU-a.”;</w:t>
      </w:r>
    </w:p>
    <w:p>
      <w:pPr>
        <w:pStyle w:val="ManualNumPar1"/>
        <w:rPr>
          <w:noProof/>
        </w:rPr>
      </w:pPr>
      <w:r>
        <w:rPr>
          <w:noProof/>
        </w:rPr>
        <w:t>3.</w:t>
      </w:r>
      <w:r>
        <w:rPr>
          <w:noProof/>
        </w:rPr>
        <w:tab/>
        <w:t>umeće se sljedeća uvodna izjava 9.a:</w:t>
      </w:r>
    </w:p>
    <w:p>
      <w:pPr>
        <w:pStyle w:val="Text1"/>
        <w:rPr>
          <w:noProof/>
        </w:rPr>
      </w:pPr>
      <w:r>
        <w:rPr>
          <w:noProof/>
        </w:rPr>
        <w:t>„(9a) U skladu s Uredbom [Europski instrument za oporavak] i u okviru ograničenja sredstava koja su njome dodijeljena, trebalo bi u okviru Fonda za pravednu tranziciju provesti mjere oporavka i otpornosti kako bi se svladale dosad nezabilježene posljedice krize uzrokovane bolešću COVID-19.  Pri upotrebi takvih dodatnih sredstava potrebno je poštovati rokove utvrđene u Uredbi [ERI].”;</w:t>
      </w:r>
    </w:p>
    <w:p>
      <w:pPr>
        <w:pStyle w:val="ManualNumPar1"/>
        <w:rPr>
          <w:noProof/>
        </w:rPr>
      </w:pPr>
      <w:r>
        <w:rPr>
          <w:noProof/>
        </w:rPr>
        <w:t>4.</w:t>
      </w:r>
      <w:r>
        <w:rPr>
          <w:noProof/>
        </w:rPr>
        <w:tab/>
        <w:t>U članku 3. stavak 2. zamjenjuje se sljedećim:</w:t>
      </w:r>
    </w:p>
    <w:p>
      <w:pPr>
        <w:pStyle w:val="Text1"/>
        <w:rPr>
          <w:noProof/>
        </w:rPr>
      </w:pPr>
      <w:r>
        <w:rPr>
          <w:noProof/>
        </w:rPr>
        <w:t>„2.</w:t>
      </w:r>
      <w:r>
        <w:rPr>
          <w:noProof/>
        </w:rPr>
        <w:tab/>
        <w:t>Sredstva za FPT u okviru cilja „Ulaganje za radna mjesta i rast” koja su raspoloživa za proračunsku obvezu za razdoblje 2021.–2027. iznose 11 270 459 000 EUR u tekućim cijenama i, ovisno o slučaju, mogu se uvećati dodatnim sredstvima dodijeljenima u proračunu Unije i drugim sredstvima u skladu s primjenjivim temeljnim aktom.</w:t>
      </w:r>
    </w:p>
    <w:p>
      <w:pPr>
        <w:pStyle w:val="Text1"/>
        <w:rPr>
          <w:noProof/>
        </w:rPr>
      </w:pPr>
      <w:r>
        <w:rPr>
          <w:noProof/>
        </w:rPr>
        <w:t>Od iznosa iz prvog podstavka 0,35 % dodjeljuje se za tehničku pomoć na inicijativu Komisije.”</w:t>
      </w:r>
    </w:p>
    <w:p>
      <w:pPr>
        <w:pStyle w:val="ManualNumPar1"/>
        <w:rPr>
          <w:noProof/>
        </w:rPr>
      </w:pPr>
      <w:r>
        <w:rPr>
          <w:noProof/>
        </w:rPr>
        <w:t>5.</w:t>
      </w:r>
      <w:r>
        <w:rPr>
          <w:noProof/>
        </w:rPr>
        <w:tab/>
        <w:t>umeće se sljedeći članak 3.a:</w:t>
      </w:r>
    </w:p>
    <w:p>
      <w:pPr>
        <w:pStyle w:val="Text1"/>
        <w:jc w:val="center"/>
        <w:rPr>
          <w:i/>
          <w:noProof/>
        </w:rPr>
      </w:pPr>
      <w:r>
        <w:rPr>
          <w:i/>
          <w:noProof/>
        </w:rPr>
        <w:lastRenderedPageBreak/>
        <w:t>„Članak 3.a</w:t>
      </w:r>
    </w:p>
    <w:p>
      <w:pPr>
        <w:pStyle w:val="Text1"/>
        <w:jc w:val="center"/>
        <w:rPr>
          <w:b/>
          <w:noProof/>
        </w:rPr>
      </w:pPr>
      <w:r>
        <w:rPr>
          <w:b/>
          <w:noProof/>
        </w:rPr>
        <w:t>Sredstva iz Instrumenta Europske unije za oporavak</w:t>
      </w:r>
    </w:p>
    <w:p>
      <w:pPr>
        <w:pStyle w:val="Point1"/>
        <w:rPr>
          <w:noProof/>
        </w:rPr>
      </w:pPr>
      <w:r>
        <w:rPr>
          <w:noProof/>
        </w:rPr>
        <w:t>1.</w:t>
      </w:r>
      <w:r>
        <w:rPr>
          <w:noProof/>
        </w:rPr>
        <w:tab/>
        <w:t>Mjere iz članka 2. Uredbe [ERI] provode se u okviru Fonda za pravednu tranziciju te je za njih namijenjeno 32 803 000 000 EUR u tekućim cijenama od iznosa iz članka 3. stavka 2. točke (a) podtočke vi. te Uredbe, podložno njezinu članku 4. stavcima 3., 4. i 8.</w:t>
      </w:r>
    </w:p>
    <w:p>
      <w:pPr>
        <w:pStyle w:val="Text2"/>
        <w:rPr>
          <w:noProof/>
        </w:rPr>
      </w:pPr>
      <w:r>
        <w:rPr>
          <w:noProof/>
        </w:rPr>
        <w:t xml:space="preserve">Taj se iznos smatra drugim sredstvima kako je navedeno u članku 3. stavku 2. i čini vanjske namjenske prihode u skladu s člankom 21. stavkom 5. Uredbe (EU, Euratom) 2018/1046. </w:t>
      </w:r>
    </w:p>
    <w:p>
      <w:pPr>
        <w:pStyle w:val="Text2"/>
        <w:rPr>
          <w:noProof/>
        </w:rPr>
      </w:pPr>
      <w:r>
        <w:rPr>
          <w:noProof/>
        </w:rPr>
        <w:t>Stavljaju se na raspolaganje za proračunsku obvezu u okviru cilja „Ulaganje za rast i radna mjesta” za godine 2021.–2024. uz ukupna sredstva iz članka 3. kako slijedi:</w:t>
      </w:r>
    </w:p>
    <w:p>
      <w:pPr>
        <w:pStyle w:val="Tiret2"/>
        <w:numPr>
          <w:ilvl w:val="0"/>
          <w:numId w:val="6"/>
        </w:numPr>
        <w:rPr>
          <w:rStyle w:val="conf-macro"/>
          <w:noProof/>
        </w:rPr>
      </w:pPr>
      <w:r>
        <w:rPr>
          <w:rStyle w:val="conf-macro"/>
          <w:noProof/>
        </w:rPr>
        <w:t>2021.: 7 954 600 000 EUR;</w:t>
      </w:r>
    </w:p>
    <w:p>
      <w:pPr>
        <w:pStyle w:val="Tiret2"/>
        <w:rPr>
          <w:rStyle w:val="conf-macro"/>
          <w:noProof/>
        </w:rPr>
      </w:pPr>
      <w:r>
        <w:rPr>
          <w:rStyle w:val="conf-macro"/>
          <w:noProof/>
        </w:rPr>
        <w:t>2022.: 8 114 600 000 EUR;</w:t>
      </w:r>
    </w:p>
    <w:p>
      <w:pPr>
        <w:pStyle w:val="Tiret2"/>
        <w:rPr>
          <w:rStyle w:val="conf-macro"/>
          <w:noProof/>
        </w:rPr>
      </w:pPr>
      <w:r>
        <w:rPr>
          <w:rStyle w:val="conf-macro"/>
          <w:noProof/>
        </w:rPr>
        <w:t>2023.: 8 276 600 000 EUR;</w:t>
      </w:r>
    </w:p>
    <w:p>
      <w:pPr>
        <w:pStyle w:val="Tiret2"/>
        <w:rPr>
          <w:rStyle w:val="conf-macro"/>
          <w:noProof/>
        </w:rPr>
      </w:pPr>
      <w:r>
        <w:rPr>
          <w:rStyle w:val="conf-macro"/>
          <w:noProof/>
        </w:rPr>
        <w:t>2024.: 8 441 600 000 EUR.</w:t>
      </w:r>
    </w:p>
    <w:p>
      <w:pPr>
        <w:pStyle w:val="Text2"/>
        <w:rPr>
          <w:noProof/>
        </w:rPr>
      </w:pPr>
      <w:r>
        <w:rPr>
          <w:noProof/>
        </w:rPr>
        <w:t xml:space="preserve">Usto, 15 600 000 EUR u tekućim cijenama stavlja se na raspolaganje za administrativne rashode iz sredstava iz prvog podstavka. </w:t>
      </w:r>
    </w:p>
    <w:p>
      <w:pPr>
        <w:pStyle w:val="Point1"/>
        <w:rPr>
          <w:noProof/>
        </w:rPr>
      </w:pPr>
      <w:r>
        <w:rPr>
          <w:noProof/>
        </w:rPr>
        <w:t>2.</w:t>
      </w:r>
      <w:r>
        <w:rPr>
          <w:noProof/>
        </w:rPr>
        <w:tab/>
        <w:t>Od iznosa iz stavka 1. prvog podstavka 0,35 % dodjeljuje se za tehničku pomoć na inicijativu Komisije.</w:t>
      </w:r>
    </w:p>
    <w:p>
      <w:pPr>
        <w:pStyle w:val="Point1"/>
        <w:rPr>
          <w:noProof/>
        </w:rPr>
      </w:pPr>
      <w:r>
        <w:rPr>
          <w:noProof/>
        </w:rPr>
        <w:t>3.</w:t>
      </w:r>
      <w:r>
        <w:rPr>
          <w:noProof/>
        </w:rPr>
        <w:tab/>
        <w:t>Godišnja raspodjela iznosa iz stavka 1. po državama članicama uključuje se u odluku Komisije iz članka 3. stavka 3. u skladu s metodologijom utvrđenom u Prilogu I.</w:t>
      </w:r>
    </w:p>
    <w:p>
      <w:pPr>
        <w:pStyle w:val="Point1"/>
        <w:rPr>
          <w:noProof/>
        </w:rPr>
      </w:pPr>
      <w:r>
        <w:rPr>
          <w:noProof/>
        </w:rPr>
        <w:t>4.</w:t>
      </w:r>
      <w:r>
        <w:rPr>
          <w:noProof/>
        </w:rPr>
        <w:tab/>
        <w:t xml:space="preserve">Odstupajući od članka [21.a] Uredbe (EU) [nova Uredba o zajedničkim odredbama], za iznos iz stavka 1. nije potrebna dodatna potpora iz EFRR-a ili ESF-a plus. </w:t>
      </w:r>
    </w:p>
    <w:p>
      <w:pPr>
        <w:pStyle w:val="Point1"/>
        <w:rPr>
          <w:noProof/>
        </w:rPr>
      </w:pPr>
      <w:r>
        <w:rPr>
          <w:noProof/>
        </w:rPr>
        <w:t>5.</w:t>
      </w:r>
      <w:r>
        <w:rPr>
          <w:noProof/>
        </w:rPr>
        <w:tab/>
        <w:t>Odstupajući od članka 14. stavka 3. Financijske uredbe, na proračunske obveze koje se temelje na sredstvima iz stavka 1. primjenjuju se pravila o opozivu utvrđena u glavi VII. poglavlju IV. Uredbe (EU) [nova Uredba o zajedničkim odredbama]. Odstupajući od članka 12. stavka 4. točke (c) Financijske uredbe, ta se sredstva ne mogu upotrijebiti za sljedeći program ili djelovanje.”;</w:t>
      </w:r>
    </w:p>
    <w:p>
      <w:pPr>
        <w:pStyle w:val="ManualNumPar1"/>
        <w:rPr>
          <w:noProof/>
        </w:rPr>
      </w:pPr>
      <w:r>
        <w:rPr>
          <w:noProof/>
        </w:rPr>
        <w:t>6.</w:t>
      </w:r>
      <w:r>
        <w:rPr>
          <w:noProof/>
        </w:rPr>
        <w:tab/>
        <w:t>Članak 6. stavak 2. zamjenjuje se sljedećim:</w:t>
      </w:r>
    </w:p>
    <w:p>
      <w:pPr>
        <w:pStyle w:val="Text1"/>
        <w:rPr>
          <w:noProof/>
        </w:rPr>
      </w:pPr>
      <w:r>
        <w:rPr>
          <w:noProof/>
        </w:rPr>
        <w:t>„2. Prioriteti FPT-a sadržavaju sredstva FPT-a koja čine cjelovita ili djelomična dodjela FPT-a za države članice i sredstva prenesena u skladu s člankom [21.a] Uredbe (EU) [nova Uredba o zajedničkim odredbama]. Ukupna sredstva iz EFRR-a i ESF-a plus koja se prenose FPT-u moraju biti najmanje 1,5 puta veća od iznosa potpore FPT-a tom prioritetu isključujući sredstva iz članka 3.a stavka 1., ali ne veća od trostrukog iznosa te potpore.”;</w:t>
      </w:r>
    </w:p>
    <w:p>
      <w:pPr>
        <w:pStyle w:val="ManualNumPar1"/>
        <w:keepNext/>
        <w:keepLines/>
        <w:rPr>
          <w:noProof/>
        </w:rPr>
      </w:pPr>
      <w:r>
        <w:rPr>
          <w:noProof/>
        </w:rPr>
        <w:lastRenderedPageBreak/>
        <w:t>7.</w:t>
      </w:r>
      <w:r>
        <w:rPr>
          <w:noProof/>
        </w:rPr>
        <w:tab/>
        <w:t>Prilog I. mijenja se u skladu s Prilogom ovoj Uredbi.</w:t>
      </w:r>
      <w:r>
        <w:rPr>
          <w:noProof/>
        </w:rPr>
        <w:tab/>
        <w:t xml:space="preserve"> </w:t>
      </w:r>
      <w:r>
        <w:rPr>
          <w:noProof/>
        </w:rPr>
        <w:br/>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40" w:code="9"/>
          <w:pgMar w:top="1134" w:right="1418" w:bottom="1134" w:left="1418" w:header="709" w:footer="709" w:gutter="0"/>
          <w:cols w:space="708"/>
          <w:docGrid w:linePitch="360"/>
        </w:sectPr>
      </w:pPr>
    </w:p>
    <w:p>
      <w:pPr>
        <w:pStyle w:val="Fichefinanciretitre"/>
        <w:rPr>
          <w:noProof/>
        </w:rPr>
      </w:pPr>
      <w:bookmarkStart w:id="1" w:name="_Toc514941970"/>
      <w:r>
        <w:rPr>
          <w:noProof/>
        </w:rPr>
        <w:lastRenderedPageBreak/>
        <w:t>ZAKONODAVNI FINANCIJSKI IZVJEŠTAJ</w:t>
      </w:r>
      <w:bookmarkEnd w:id="1"/>
    </w:p>
    <w:p>
      <w:pPr>
        <w:pStyle w:val="ManualHeading1"/>
        <w:rPr>
          <w:noProof/>
        </w:rPr>
      </w:pPr>
      <w:bookmarkStart w:id="2" w:name="_Toc514941971"/>
      <w:bookmarkStart w:id="3" w:name="_Toc39839391"/>
      <w:r>
        <w:t>1.</w:t>
      </w:r>
      <w:r>
        <w:tab/>
      </w:r>
      <w:r>
        <w:rPr>
          <w:noProof/>
        </w:rPr>
        <w:t>OKVIR PRIJEDLOGA/INICIJATIVE</w:t>
      </w:r>
      <w:bookmarkEnd w:id="2"/>
      <w:bookmarkEnd w:id="3"/>
      <w:r>
        <w:rPr>
          <w:noProof/>
        </w:rPr>
        <w:t xml:space="preserve"> </w:t>
      </w:r>
    </w:p>
    <w:p>
      <w:pPr>
        <w:pStyle w:val="ManualHeading2"/>
        <w:rPr>
          <w:noProof/>
        </w:rPr>
      </w:pPr>
      <w:bookmarkStart w:id="4" w:name="_Toc514941972"/>
      <w:bookmarkStart w:id="5" w:name="_Toc39839392"/>
      <w:r>
        <w:t>1.1.</w:t>
      </w:r>
      <w:r>
        <w:tab/>
      </w:r>
      <w:r>
        <w:rPr>
          <w:noProof/>
        </w:rPr>
        <w:t>Naslov prijedloga/inicijative</w:t>
      </w:r>
      <w:bookmarkEnd w:id="4"/>
      <w:bookmarkEnd w:id="5"/>
      <w:r>
        <w:rPr>
          <w:noProof/>
        </w:rPr>
        <w:t xml:space="preserve"> </w:t>
      </w:r>
    </w:p>
    <w:p>
      <w:pPr>
        <w:pBdr>
          <w:top w:val="single" w:sz="4" w:space="1" w:color="auto"/>
          <w:left w:val="single" w:sz="4" w:space="4" w:color="auto"/>
          <w:bottom w:val="single" w:sz="4" w:space="1" w:color="auto"/>
          <w:right w:val="single" w:sz="4" w:space="4" w:color="auto"/>
        </w:pBdr>
        <w:ind w:left="850"/>
        <w:rPr>
          <w:noProof/>
        </w:rPr>
      </w:pPr>
      <w:bookmarkStart w:id="6" w:name="_Toc514941973"/>
      <w:bookmarkStart w:id="7" w:name="_Toc39839393"/>
      <w:r>
        <w:rPr>
          <w:noProof/>
        </w:rPr>
        <w:t>Izmijenjeni prijedlog Uredbe Europskog parlamenta i Vijeća o uspostavi Fonda za pravednu tranziciju</w:t>
      </w:r>
    </w:p>
    <w:p>
      <w:pPr>
        <w:pStyle w:val="ManualHeading2"/>
        <w:rPr>
          <w:noProof/>
        </w:rPr>
      </w:pPr>
      <w:r>
        <w:t>1.2.</w:t>
      </w:r>
      <w:r>
        <w:tab/>
      </w:r>
      <w:r>
        <w:rPr>
          <w:noProof/>
        </w:rPr>
        <w:t xml:space="preserve">Predmetna područja politike </w:t>
      </w:r>
      <w:r>
        <w:rPr>
          <w:i/>
          <w:noProof/>
        </w:rPr>
        <w:t>(klaster programa)</w:t>
      </w:r>
      <w:bookmarkEnd w:id="6"/>
      <w:bookmarkEnd w:id="7"/>
    </w:p>
    <w:p>
      <w:pPr>
        <w:pBdr>
          <w:top w:val="single" w:sz="4" w:space="1" w:color="auto"/>
          <w:left w:val="single" w:sz="4" w:space="4" w:color="auto"/>
          <w:bottom w:val="single" w:sz="4" w:space="1" w:color="auto"/>
          <w:right w:val="single" w:sz="4" w:space="4" w:color="auto"/>
        </w:pBdr>
        <w:ind w:left="850"/>
        <w:rPr>
          <w:noProof/>
        </w:rPr>
      </w:pPr>
      <w:bookmarkStart w:id="8" w:name="_Toc514941974"/>
      <w:r>
        <w:rPr>
          <w:noProof/>
        </w:rPr>
        <w:t>9. Okoliš i klimatske aktivnosti (2021.–2027.)</w:t>
      </w:r>
    </w:p>
    <w:p>
      <w:pPr>
        <w:pBdr>
          <w:top w:val="single" w:sz="4" w:space="1" w:color="auto"/>
          <w:left w:val="single" w:sz="4" w:space="4" w:color="auto"/>
          <w:bottom w:val="single" w:sz="4" w:space="1" w:color="auto"/>
          <w:right w:val="single" w:sz="4" w:space="4" w:color="auto"/>
        </w:pBdr>
        <w:ind w:left="850"/>
        <w:rPr>
          <w:noProof/>
        </w:rPr>
      </w:pPr>
    </w:p>
    <w:p>
      <w:pPr>
        <w:pStyle w:val="ManualHeading2"/>
        <w:rPr>
          <w:noProof/>
          <w:szCs w:val="24"/>
        </w:rPr>
      </w:pPr>
      <w:bookmarkStart w:id="9" w:name="_Toc39839394"/>
      <w:r>
        <w:t>1.3.</w:t>
      </w:r>
      <w:r>
        <w:tab/>
      </w:r>
      <w:r>
        <w:rPr>
          <w:noProof/>
        </w:rPr>
        <w:t>Prijedlog/inicijativa odnosi se na:</w:t>
      </w:r>
      <w:bookmarkEnd w:id="8"/>
      <w:bookmarkEnd w:id="9"/>
      <w:r>
        <w:rPr>
          <w:noProof/>
        </w:rPr>
        <w:t xml:space="preserve"> </w:t>
      </w:r>
    </w:p>
    <w:p>
      <w:pPr>
        <w:ind w:left="850"/>
        <w:rPr>
          <w:b/>
          <w:noProof/>
          <w:sz w:val="22"/>
        </w:rPr>
      </w:pPr>
      <w:r>
        <w:rPr>
          <w:noProof/>
          <w:sz w:val="22"/>
        </w:rPr>
        <w:sym w:font="Wingdings" w:char="F0A8"/>
      </w:r>
      <w:r>
        <w:rPr>
          <w:noProof/>
        </w:rPr>
        <w:t xml:space="preserve"> </w:t>
      </w:r>
      <w:r>
        <w:rPr>
          <w:b/>
          <w:noProof/>
        </w:rPr>
        <w:t>novo djelovanje</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novo djelovanje nakon pilot-projekta/pripremnog djelovanja</w:t>
      </w:r>
      <w:r>
        <w:rPr>
          <w:rStyle w:val="FootnoteReference"/>
          <w:b/>
          <w:noProof/>
        </w:rPr>
        <w:footnoteReference w:id="7"/>
      </w:r>
      <w:r>
        <w:rPr>
          <w:noProof/>
          <w:sz w:val="22"/>
        </w:rPr>
        <w:t xml:space="preserve"> </w:t>
      </w:r>
    </w:p>
    <w:p>
      <w:pPr>
        <w:ind w:left="850"/>
        <w:rPr>
          <w:noProof/>
          <w:sz w:val="22"/>
        </w:rPr>
      </w:pPr>
      <w:r>
        <w:rPr>
          <w:noProof/>
          <w:sz w:val="22"/>
        </w:rPr>
        <w:t xml:space="preserve">X </w:t>
      </w:r>
      <w:r>
        <w:rPr>
          <w:i/>
          <w:noProof/>
          <w:sz w:val="22"/>
        </w:rPr>
        <w:t xml:space="preserve"> </w:t>
      </w:r>
      <w:r>
        <w:rPr>
          <w:b/>
          <w:noProof/>
        </w:rPr>
        <w:t>produženje postojećeg djelovanja</w:t>
      </w:r>
      <w:r>
        <w:rPr>
          <w:noProof/>
          <w:sz w:val="22"/>
        </w:rPr>
        <w:t xml:space="preserve"> </w:t>
      </w:r>
    </w:p>
    <w:p>
      <w:pPr>
        <w:ind w:left="850"/>
        <w:rPr>
          <w:noProof/>
        </w:rPr>
      </w:pPr>
      <w:r>
        <w:rPr>
          <w:noProof/>
          <w:sz w:val="22"/>
        </w:rPr>
        <w:sym w:font="Wingdings" w:char="F0A8"/>
      </w:r>
      <w:r>
        <w:rPr>
          <w:i/>
          <w:noProof/>
          <w:sz w:val="22"/>
        </w:rPr>
        <w:t xml:space="preserve"> </w:t>
      </w:r>
      <w:r>
        <w:rPr>
          <w:b/>
          <w:noProof/>
        </w:rPr>
        <w:t>spajanje ili preusmjeravanje jednog ili više djelovanja u drugo/novo djelovanje</w:t>
      </w:r>
      <w:r>
        <w:rPr>
          <w:noProof/>
        </w:rPr>
        <w:t xml:space="preserve"> </w:t>
      </w:r>
    </w:p>
    <w:p>
      <w:pPr>
        <w:pStyle w:val="ManualHeading2"/>
        <w:rPr>
          <w:noProof/>
          <w:szCs w:val="24"/>
        </w:rPr>
      </w:pPr>
      <w:bookmarkStart w:id="10" w:name="_Toc514941975"/>
      <w:bookmarkStart w:id="11" w:name="_Toc39839395"/>
      <w:r>
        <w:t>1.4.</w:t>
      </w:r>
      <w:r>
        <w:tab/>
      </w:r>
      <w:r>
        <w:rPr>
          <w:noProof/>
        </w:rPr>
        <w:t>Osnova prijedloga/inicijative</w:t>
      </w:r>
      <w:bookmarkEnd w:id="10"/>
      <w:r>
        <w:rPr>
          <w:noProof/>
        </w:rPr>
        <w:t xml:space="preserve"> </w:t>
      </w:r>
      <w:bookmarkEnd w:id="11"/>
    </w:p>
    <w:p>
      <w:pPr>
        <w:pStyle w:val="ManualHeading3"/>
        <w:rPr>
          <w:rStyle w:val="Heading3Char"/>
          <w:i/>
          <w:noProof/>
          <w:lang w:val="hr-HR"/>
        </w:rPr>
      </w:pPr>
      <w:bookmarkStart w:id="12" w:name="_Toc514941976"/>
      <w:bookmarkStart w:id="13" w:name="_Toc39839396"/>
      <w:r>
        <w:rPr>
          <w:rStyle w:val="Heading3Char"/>
        </w:rPr>
        <w:t>1.4.1.</w:t>
      </w:r>
      <w:r>
        <w:rPr>
          <w:rStyle w:val="Heading3Char"/>
        </w:rPr>
        <w:tab/>
      </w:r>
      <w:r>
        <w:rPr>
          <w:noProof/>
        </w:rPr>
        <w:t xml:space="preserve">Zahtjevi koje treba ispuniti u kratkoročnom ili dugoročnom razdoblju, uključujući detaljan vremenski plan </w:t>
      </w:r>
      <w:r>
        <w:rPr>
          <w:rStyle w:val="Heading3Char"/>
          <w:noProof/>
          <w:lang w:val="hr-HR"/>
        </w:rPr>
        <w:t>provedbe inicijative</w:t>
      </w:r>
      <w:bookmarkEnd w:id="12"/>
      <w:bookmarkEnd w:id="13"/>
    </w:p>
    <w:p>
      <w:pPr>
        <w:pBdr>
          <w:top w:val="single" w:sz="4" w:space="1" w:color="auto"/>
          <w:left w:val="single" w:sz="4" w:space="4" w:color="auto"/>
          <w:bottom w:val="single" w:sz="4" w:space="1" w:color="auto"/>
          <w:right w:val="single" w:sz="4" w:space="4" w:color="auto"/>
        </w:pBdr>
        <w:ind w:left="850"/>
        <w:rPr>
          <w:noProof/>
        </w:rPr>
      </w:pPr>
      <w:r>
        <w:rPr>
          <w:noProof/>
        </w:rPr>
        <w:t>Predlaže se izmjena Prijedloga uredbe o osnivanju Fonda za pravednu tranziciju kako bi se ubrzala potrebna ulaganja u zelenu tranziciju kako bi se stvorili uvjeti za dugoročan rast Europe i otpornost europskog gospodarstva na buduće šokove. Stoga se predlaže da se za Fond za pravednu tranziciju stave na raspolaganje dodatna sredstva u iznosu od 35 613 048 000 EUR (u tekućim cijenama). Od tih dodatnih sredstava, 2 810 048 000 EUR u tekućim cijenama trebalo bi potjecati iz odobrenih proračunskih sredstava, čime bi razina programa u okviru sljedećeg VFO-a dosegla 11 270 459 000 EUR; ta bi sredstva trebalo raspodijeliti tijekom tekućih pregovora na razini Europskog vijeća. Preostala dodatna sredstva u iznosu od 32 803 000 000 EUR obuhvatit će razdoblje od 2021. do 2024. i činit će vanjske namjenske prihode koji potječu iz Europskog instrumenta za oporavak.</w:t>
      </w:r>
    </w:p>
    <w:p>
      <w:pPr>
        <w:pStyle w:val="ManualHeading3"/>
        <w:rPr>
          <w:noProof/>
        </w:rPr>
      </w:pPr>
      <w:bookmarkStart w:id="14" w:name="_Toc514941977"/>
      <w:bookmarkStart w:id="15" w:name="_Toc39839397"/>
      <w:r>
        <w:t>1.4.2.</w:t>
      </w:r>
      <w:r>
        <w:tab/>
      </w:r>
      <w:r>
        <w:rPr>
          <w:noProof/>
        </w:rPr>
        <w:t>Dodana vrijednost sudjelovanja Unije (može proizlaziti iz različitih čimbenika, npr. prednosti koordinacije, pravne sigurnosti, veće djelotvornosti ili komplementarnosti). Za potrebe ove točke „dodana vrijednost sudjelovanja Unije” vrijednost je koja proizlazi iz intervencije Unije i predstavlja dodatnu vrijednost u odnosu na vrijednost koju bi države članice inače ostvarile same.</w:t>
      </w:r>
      <w:bookmarkEnd w:id="14"/>
      <w:bookmarkEnd w:id="15"/>
    </w:p>
    <w:p>
      <w:pPr>
        <w:pBdr>
          <w:top w:val="single" w:sz="4" w:space="1" w:color="auto"/>
          <w:left w:val="single" w:sz="4" w:space="4" w:color="auto"/>
          <w:bottom w:val="single" w:sz="4" w:space="1" w:color="auto"/>
          <w:right w:val="single" w:sz="4" w:space="4" w:color="auto"/>
        </w:pBdr>
        <w:ind w:left="850"/>
        <w:rPr>
          <w:noProof/>
        </w:rPr>
      </w:pPr>
      <w:r>
        <w:rPr>
          <w:noProof/>
        </w:rPr>
        <w:t xml:space="preserve">U skladu s ciljem učinkovitog i pravednog postizanja klimatske neutralnosti EU-a do 2050., svrha je Fonda za pravednu tranziciju ublažavanje gospodarskih, okolišnih i socijalnih troškova tranzicije prema klimatskoj neutralnosti, osobito u područjima koja su najteže pogođena tranzicijom. Potpora iz Fonda usmjerena je na mjere preusmjeravanja gospodarstva, prekvalifikaciju pogođenih radnika i pomoć pri traženju posla. </w:t>
      </w:r>
    </w:p>
    <w:p>
      <w:pPr>
        <w:pBdr>
          <w:top w:val="single" w:sz="4" w:space="1" w:color="auto"/>
          <w:left w:val="single" w:sz="4" w:space="4" w:color="auto"/>
          <w:bottom w:val="single" w:sz="4" w:space="1" w:color="auto"/>
          <w:right w:val="single" w:sz="4" w:space="4" w:color="auto"/>
        </w:pBdr>
        <w:ind w:left="850"/>
        <w:rPr>
          <w:noProof/>
        </w:rPr>
      </w:pPr>
      <w:r>
        <w:rPr>
          <w:noProof/>
        </w:rPr>
        <w:t>Izbijanje bolesti uzrokovane koronavirusom (COVID-19) potaknula je mnoge vlade na uvođenje dosad neviđenih mjera za obuzdavanje pandemije. To je pak dovelo do naglog pada proizvodnje u mnogim gospodarstvima i ozbiljnih socijalnih posljedica. Stoga se narednih godina očekuju znatne poteškoće u području javnih financija i upravljanju dugom, što bi moglo ograničiti javna ulaganja potrebna za gospodarski oporavak.</w:t>
      </w:r>
    </w:p>
    <w:p>
      <w:pPr>
        <w:pBdr>
          <w:top w:val="single" w:sz="4" w:space="1" w:color="auto"/>
          <w:left w:val="single" w:sz="4" w:space="4" w:color="auto"/>
          <w:bottom w:val="single" w:sz="4" w:space="1" w:color="auto"/>
          <w:right w:val="single" w:sz="4" w:space="4" w:color="auto"/>
        </w:pBdr>
        <w:ind w:left="850"/>
        <w:rPr>
          <w:noProof/>
        </w:rPr>
      </w:pPr>
      <w:r>
        <w:rPr>
          <w:noProof/>
        </w:rPr>
        <w:t>Osim toga, nacionalni i regionalni kapaciteti za svladavanje posljedica krize razlikuju se među državama članicama i regijama zbog razlika u gospodarskoj strukturi i fiskalnom položaju. Ako se na to ne obrati pozornost, te razlike mogu dovesti do nejednakog oporavka i povećanja regionalnih razlika, što s druge strane može ugroziti unutarnje tržište, financijsku stabilnost europodručja i našu Uniju u cjelini.</w:t>
      </w:r>
    </w:p>
    <w:p>
      <w:pPr>
        <w:pBdr>
          <w:top w:val="single" w:sz="4" w:space="1" w:color="auto"/>
          <w:left w:val="single" w:sz="4" w:space="4" w:color="auto"/>
          <w:bottom w:val="single" w:sz="4" w:space="1" w:color="auto"/>
          <w:right w:val="single" w:sz="4" w:space="4" w:color="auto"/>
        </w:pBdr>
        <w:ind w:left="850"/>
        <w:rPr>
          <w:noProof/>
        </w:rPr>
      </w:pPr>
      <w:r>
        <w:rPr>
          <w:noProof/>
        </w:rPr>
        <w:t>Kako bi se spriječilo povećanje razlika i izbjegao neujednačen proces oporavka, potrebno je kratkoročno i srednjoročno pružiti dodatnu potporu državama članicama i regijama kako bi se pomoglo njihovim gospodarstvima i društvima da prevladaju trenutačnu situaciju te kako bi se osigurao brz i održiv oporavak njihovih gospodarstava.</w:t>
      </w:r>
    </w:p>
    <w:p>
      <w:pPr>
        <w:pStyle w:val="ManualHeading3"/>
        <w:rPr>
          <w:noProof/>
        </w:rPr>
      </w:pPr>
      <w:bookmarkStart w:id="16" w:name="_Toc514941978"/>
      <w:bookmarkStart w:id="17" w:name="_Toc39839398"/>
      <w:r>
        <w:t>1.4.3.</w:t>
      </w:r>
      <w:r>
        <w:tab/>
      </w:r>
      <w:r>
        <w:rPr>
          <w:noProof/>
        </w:rPr>
        <w:t>Pouke iz prijašnjih sličnih iskustava</w:t>
      </w:r>
      <w:bookmarkEnd w:id="16"/>
      <w:bookmarkEnd w:id="17"/>
    </w:p>
    <w:p>
      <w:pPr>
        <w:pStyle w:val="ManualHeading3"/>
        <w:rPr>
          <w:noProof/>
        </w:rPr>
      </w:pPr>
      <w:bookmarkStart w:id="18" w:name="_Toc514941979"/>
      <w:bookmarkStart w:id="19" w:name="_Toc39839399"/>
      <w:r>
        <w:t>1.4.4.</w:t>
      </w:r>
      <w:r>
        <w:tab/>
      </w:r>
      <w:r>
        <w:rPr>
          <w:noProof/>
        </w:rPr>
        <w:t>Usklađenost i moguća sinergija s drugim prikladnim instrumentima</w:t>
      </w:r>
      <w:bookmarkEnd w:id="18"/>
      <w:bookmarkEnd w:id="19"/>
    </w:p>
    <w:p>
      <w:pPr>
        <w:pBdr>
          <w:top w:val="single" w:sz="4" w:space="1" w:color="auto"/>
          <w:left w:val="single" w:sz="4" w:space="4" w:color="auto"/>
          <w:bottom w:val="single" w:sz="4" w:space="1" w:color="auto"/>
          <w:right w:val="single" w:sz="4" w:space="4" w:color="auto"/>
        </w:pBdr>
        <w:ind w:left="850"/>
        <w:rPr>
          <w:noProof/>
        </w:rPr>
      </w:pPr>
      <w:r>
        <w:rPr>
          <w:noProof/>
        </w:rPr>
        <w:t xml:space="preserve">Potpora koja se pruža iz Fonda za pravednu tranziciju dopunjava se posebnim programom za pravednu tranziciju u okviru programa InvestEU. Njime će se podupirati širi opseg ulaganja za potporu tranziciji, a osobito aktivnosti s niskim razinama ugljika i aktivnosti otporne na klimatske promjene, primjerice ulaganja u obnovljive izvore energije i programi energetske učinkovitosti. Tim će se programom moći financirati energetska i prometna infrastruktura, uključujući plinsku infrastrukturu i centralizirano grijanje, ali i projekti dekarbonizacije, gospodarska diversifikacija regija i socijalna infrastruktura. </w:t>
      </w:r>
    </w:p>
    <w:p>
      <w:pPr>
        <w:pBdr>
          <w:top w:val="single" w:sz="4" w:space="1" w:color="auto"/>
          <w:left w:val="single" w:sz="4" w:space="4" w:color="auto"/>
          <w:bottom w:val="single" w:sz="4" w:space="1" w:color="auto"/>
          <w:right w:val="single" w:sz="4" w:space="4" w:color="auto"/>
        </w:pBdr>
        <w:ind w:left="850"/>
        <w:rPr>
          <w:noProof/>
        </w:rPr>
      </w:pPr>
      <w:r>
        <w:rPr>
          <w:noProof/>
        </w:rPr>
        <w:t>Osim toga, novim instrumentom za kreditiranje u javnom sektoru, koji se provodi s EIB-om, omogućit će se kombiniranje EU-ovih bespovratnih sredstava sa zajmovima koje EIB odobrava javnim subjektima u cilju ostvarivanja koristi za najteže pogođena područja utvrđena u teritorijalnim planovima za pravednu tranziciju.</w:t>
      </w:r>
    </w:p>
    <w:p>
      <w:pPr>
        <w:pBdr>
          <w:top w:val="single" w:sz="4" w:space="1" w:color="auto"/>
          <w:left w:val="single" w:sz="4" w:space="4" w:color="auto"/>
          <w:bottom w:val="single" w:sz="4" w:space="1" w:color="auto"/>
          <w:right w:val="single" w:sz="4" w:space="4" w:color="auto"/>
        </w:pBdr>
        <w:ind w:left="850"/>
        <w:rPr>
          <w:noProof/>
        </w:rPr>
      </w:pPr>
      <w:r>
        <w:rPr>
          <w:noProof/>
        </w:rPr>
        <w:t>Sinergije i komplementarnosti između triju stupova osigurat će se teritorijalnim planovima za pravednu tranziciju, u kojima će se utvrditi razvojne potrebe područja koja su najteže pogođena klimatskom tranzicijom.</w:t>
      </w:r>
    </w:p>
    <w:p>
      <w:pPr>
        <w:pBdr>
          <w:top w:val="single" w:sz="4" w:space="1" w:color="auto"/>
          <w:left w:val="single" w:sz="4" w:space="4" w:color="auto"/>
          <w:bottom w:val="single" w:sz="4" w:space="1" w:color="auto"/>
          <w:right w:val="single" w:sz="4" w:space="4" w:color="auto"/>
        </w:pBdr>
        <w:ind w:left="850"/>
        <w:rPr>
          <w:noProof/>
        </w:rPr>
      </w:pPr>
      <w:r>
        <w:rPr>
          <w:noProof/>
        </w:rPr>
        <w:t xml:space="preserve">Prijedlog je ograničen na ciljane izmjene koje su potrebne za utvrđivanje pravila za stavljanje na raspolaganje dodatnih sredstava i upravljanje njihovim izvršavanjem. Prijedlog je u skladu s Uredbom o zajedničkim odredbama. Mjere su u skladu s prijedlogom Komisije o fondu za oporavak. </w:t>
      </w:r>
    </w:p>
    <w:p>
      <w:pPr>
        <w:pBdr>
          <w:top w:val="single" w:sz="4" w:space="1" w:color="auto"/>
          <w:left w:val="single" w:sz="4" w:space="4" w:color="auto"/>
          <w:bottom w:val="single" w:sz="4" w:space="1" w:color="auto"/>
          <w:right w:val="single" w:sz="4" w:space="4" w:color="auto"/>
        </w:pBdr>
        <w:ind w:left="850"/>
        <w:rPr>
          <w:noProof/>
        </w:rPr>
      </w:pPr>
      <w:r>
        <w:rPr>
          <w:noProof/>
        </w:rPr>
        <w:t>Dodatni će se iznosi raspodijeliti među državama članicama uzimajući u obzir njihovu sposobnost financiranja ulaganja potrebnih za suočavanje s tranzicijom prema klimatskoj neutralnosti u skladu s metodologijom utvrđenom u Prilogu I. predloženoj Uredbi o fondu za pravednu tranziciju. Kako bi se očuvala sposobnost država članica i regija da sredstva kohezijske politike koriste za potporu ekonomskoj, socijalnoj i teritorijalnoj koheziji, za dodatna sredstva iz Europskog instrumenta za oporavak neće biti potrebni prijenosi iz nacionalnih sredstava dodijeljenih u okviru Europskog fonda za regionalni razvoj i Europskog socijalnog fonda plus.</w:t>
      </w:r>
    </w:p>
    <w:p>
      <w:pPr>
        <w:pStyle w:val="ManualHeading2"/>
        <w:rPr>
          <w:noProof/>
          <w:szCs w:val="24"/>
        </w:rPr>
      </w:pPr>
      <w:r>
        <w:rPr>
          <w:noProof/>
        </w:rPr>
        <w:br w:type="page"/>
      </w:r>
      <w:bookmarkStart w:id="20" w:name="_Toc514941980"/>
      <w:bookmarkStart w:id="21" w:name="_Toc39839400"/>
      <w:r>
        <w:t>1.5.</w:t>
      </w:r>
      <w:r>
        <w:tab/>
      </w:r>
      <w:r>
        <w:rPr>
          <w:noProof/>
        </w:rPr>
        <w:t>Trajanje i financijski učinak</w:t>
      </w:r>
      <w:bookmarkEnd w:id="20"/>
      <w:bookmarkEnd w:id="21"/>
      <w:r>
        <w:rPr>
          <w:noProof/>
        </w:rPr>
        <w:t xml:space="preserve"> </w:t>
      </w:r>
    </w:p>
    <w:p>
      <w:pPr>
        <w:ind w:left="850"/>
        <w:rPr>
          <w:noProof/>
        </w:rPr>
      </w:pPr>
      <w:r>
        <w:rPr>
          <w:noProof/>
        </w:rPr>
        <w:t xml:space="preserve">X </w:t>
      </w:r>
      <w:r>
        <w:rPr>
          <w:b/>
          <w:noProof/>
        </w:rPr>
        <w:t xml:space="preserve">Ograničeno trajanje </w:t>
      </w:r>
    </w:p>
    <w:p>
      <w:pPr>
        <w:tabs>
          <w:tab w:val="num" w:pos="1134"/>
        </w:tabs>
        <w:ind w:left="1134" w:hanging="283"/>
        <w:rPr>
          <w:rFonts w:eastAsia="Times New Roman"/>
          <w:noProof/>
        </w:rPr>
      </w:pPr>
      <w:r>
        <w:rPr>
          <w:noProof/>
        </w:rPr>
        <w:sym w:font="Wingdings" w:char="F0A8"/>
      </w:r>
      <w:r>
        <w:rPr>
          <w:noProof/>
        </w:rPr>
        <w:tab/>
        <w:t xml:space="preserve">na snazi od [DD/MM]GGGG do [DD/MM]GGGG </w:t>
      </w:r>
    </w:p>
    <w:p>
      <w:pPr>
        <w:tabs>
          <w:tab w:val="num" w:pos="1134"/>
        </w:tabs>
        <w:ind w:left="1134" w:hanging="283"/>
        <w:rPr>
          <w:rFonts w:eastAsia="Times New Roman"/>
          <w:noProof/>
        </w:rPr>
      </w:pPr>
      <w:r>
        <w:rPr>
          <w:noProof/>
        </w:rPr>
        <w:t>X</w:t>
      </w:r>
      <w:r>
        <w:rPr>
          <w:noProof/>
        </w:rPr>
        <w:tab/>
        <w:t xml:space="preserve">financijski učinak od 2021. do 2027. za odobrena sredstva za preuzete obveze i od 2021. do 2027. za odobrena sredstva za plaćanje </w:t>
      </w:r>
    </w:p>
    <w:p>
      <w:pPr>
        <w:ind w:left="850"/>
        <w:rPr>
          <w:noProof/>
        </w:rPr>
      </w:pPr>
      <w:r>
        <w:rPr>
          <w:noProof/>
        </w:rPr>
        <w:sym w:font="Wingdings" w:char="F0A8"/>
      </w:r>
      <w:r>
        <w:rPr>
          <w:noProof/>
        </w:rPr>
        <w:t xml:space="preserve"> </w:t>
      </w:r>
      <w:r>
        <w:rPr>
          <w:b/>
          <w:noProof/>
        </w:rPr>
        <w:t>Neograničeno trajanje</w:t>
      </w:r>
    </w:p>
    <w:p>
      <w:pPr>
        <w:tabs>
          <w:tab w:val="num" w:pos="1134"/>
        </w:tabs>
        <w:ind w:left="1134" w:hanging="283"/>
        <w:rPr>
          <w:rFonts w:eastAsia="Times New Roman"/>
          <w:noProof/>
        </w:rPr>
      </w:pPr>
      <w:r>
        <w:rPr>
          <w:noProof/>
        </w:rPr>
        <w:t>provedba s početnim razdobljem od 2021. nadalje</w:t>
      </w:r>
    </w:p>
    <w:p>
      <w:pPr>
        <w:tabs>
          <w:tab w:val="num" w:pos="1134"/>
        </w:tabs>
        <w:ind w:left="1134" w:hanging="283"/>
        <w:rPr>
          <w:rFonts w:eastAsia="Times New Roman"/>
          <w:noProof/>
        </w:rPr>
      </w:pPr>
      <w:r>
        <w:rPr>
          <w:noProof/>
        </w:rPr>
        <w:t>nakon čega slijedi redovna provedba.</w:t>
      </w:r>
    </w:p>
    <w:p>
      <w:pPr>
        <w:pStyle w:val="ManualHeading2"/>
        <w:rPr>
          <w:noProof/>
          <w:szCs w:val="24"/>
        </w:rPr>
      </w:pPr>
      <w:bookmarkStart w:id="22" w:name="_Toc514941981"/>
      <w:bookmarkStart w:id="23" w:name="_Toc39839401"/>
      <w:r>
        <w:t>1.6.</w:t>
      </w:r>
      <w:r>
        <w:tab/>
      </w:r>
      <w:r>
        <w:rPr>
          <w:noProof/>
        </w:rPr>
        <w:t>Predviđeni načini upravljanja</w:t>
      </w:r>
      <w:bookmarkEnd w:id="22"/>
      <w:bookmarkEnd w:id="23"/>
      <w:r>
        <w:rPr>
          <w:rStyle w:val="FootnoteReference"/>
          <w:noProof/>
        </w:rPr>
        <w:footnoteReference w:id="8"/>
      </w:r>
      <w:r>
        <w:rPr>
          <w:noProof/>
          <w:vertAlign w:val="superscript"/>
        </w:rPr>
        <w:t xml:space="preserve"> </w:t>
      </w:r>
    </w:p>
    <w:p>
      <w:pPr>
        <w:ind w:left="850"/>
        <w:rPr>
          <w:noProof/>
        </w:rPr>
      </w:pPr>
      <w:r>
        <w:rPr>
          <w:noProof/>
        </w:rPr>
        <w:t>X</w:t>
      </w:r>
      <w:r>
        <w:rPr>
          <w:i/>
          <w:noProof/>
        </w:rPr>
        <w:t xml:space="preserve"> </w:t>
      </w:r>
      <w:r>
        <w:rPr>
          <w:b/>
          <w:noProof/>
        </w:rPr>
        <w:t>Izravno upravljanje</w:t>
      </w:r>
      <w:r>
        <w:rPr>
          <w:noProof/>
        </w:rPr>
        <w:t xml:space="preserve"> koje provodi Komisija (za 0,35% sredstava dodijeljenih za tehničku pomoć)</w:t>
      </w:r>
    </w:p>
    <w:p>
      <w:pPr>
        <w:tabs>
          <w:tab w:val="num" w:pos="1134"/>
        </w:tabs>
        <w:ind w:left="1134" w:hanging="283"/>
        <w:rPr>
          <w:rFonts w:eastAsia="Times New Roman" w:cs="EUAlbertina"/>
          <w:noProof/>
        </w:rPr>
      </w:pPr>
      <w:r>
        <w:rPr>
          <w:noProof/>
        </w:rPr>
        <w:t xml:space="preserve">X putem svojih službi, uključujući osoblje u delegacijama Unije </w:t>
      </w:r>
    </w:p>
    <w:p>
      <w:pPr>
        <w:tabs>
          <w:tab w:val="num" w:pos="1134"/>
        </w:tabs>
        <w:ind w:left="1134" w:hanging="283"/>
        <w:rPr>
          <w:rFonts w:eastAsia="Times New Roman"/>
          <w:noProof/>
        </w:rPr>
      </w:pPr>
      <w:r>
        <w:rPr>
          <w:noProof/>
        </w:rPr>
        <w:sym w:font="Wingdings" w:char="F0A8"/>
      </w:r>
      <w:r>
        <w:rPr>
          <w:noProof/>
        </w:rPr>
        <w:tab/>
        <w:t xml:space="preserve">putem izvršnih agencija </w:t>
      </w:r>
    </w:p>
    <w:p>
      <w:pPr>
        <w:ind w:left="850"/>
        <w:rPr>
          <w:noProof/>
        </w:rPr>
      </w:pPr>
      <w:r>
        <w:rPr>
          <w:noProof/>
        </w:rPr>
        <w:t xml:space="preserve">X </w:t>
      </w:r>
      <w:r>
        <w:rPr>
          <w:b/>
          <w:noProof/>
        </w:rPr>
        <w:t>Podijeljeno upravljanje</w:t>
      </w:r>
      <w:r>
        <w:rPr>
          <w:noProof/>
        </w:rPr>
        <w:t xml:space="preserve"> s državama članicama </w:t>
      </w:r>
    </w:p>
    <w:p>
      <w:pPr>
        <w:ind w:left="850"/>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pPr>
        <w:tabs>
          <w:tab w:val="num" w:pos="1134"/>
        </w:tabs>
        <w:ind w:left="1134" w:hanging="283"/>
        <w:rPr>
          <w:rFonts w:eastAsia="Times New Roman"/>
          <w:noProof/>
        </w:rPr>
      </w:pPr>
      <w:r>
        <w:rPr>
          <w:noProof/>
        </w:rPr>
        <w:sym w:font="Wingdings" w:char="F0A8"/>
      </w:r>
      <w:r>
        <w:rPr>
          <w:noProof/>
        </w:rPr>
        <w:t xml:space="preserve"> trećim zemljama ili tijelima koja su one odredile</w:t>
      </w:r>
    </w:p>
    <w:p>
      <w:pPr>
        <w:tabs>
          <w:tab w:val="num" w:pos="1134"/>
        </w:tabs>
        <w:ind w:left="1134" w:hanging="283"/>
        <w:rPr>
          <w:rFonts w:eastAsia="Times New Roman"/>
          <w:noProof/>
        </w:rPr>
      </w:pPr>
      <w:r>
        <w:rPr>
          <w:noProof/>
        </w:rPr>
        <w:sym w:font="Wingdings" w:char="F0A8"/>
      </w:r>
      <w:r>
        <w:rPr>
          <w:noProof/>
        </w:rPr>
        <w:t xml:space="preserve"> međunarodnim organizacijama i njihovim agencijama (navesti)</w:t>
      </w:r>
    </w:p>
    <w:p>
      <w:pPr>
        <w:tabs>
          <w:tab w:val="num" w:pos="1134"/>
        </w:tabs>
        <w:ind w:left="1134" w:hanging="283"/>
        <w:rPr>
          <w:rFonts w:eastAsia="Times New Roman"/>
          <w:noProof/>
        </w:rPr>
      </w:pPr>
      <w:r>
        <w:rPr>
          <w:noProof/>
        </w:rPr>
        <w:sym w:font="Wingdings" w:char="F0A8"/>
      </w:r>
      <w:r>
        <w:rPr>
          <w:noProof/>
        </w:rPr>
        <w:t xml:space="preserve"> EIB-u i Europskom investicijskom fondu</w:t>
      </w:r>
    </w:p>
    <w:p>
      <w:pPr>
        <w:tabs>
          <w:tab w:val="num" w:pos="1134"/>
        </w:tabs>
        <w:ind w:left="1134" w:hanging="283"/>
        <w:rPr>
          <w:rFonts w:eastAsia="Times New Roman"/>
          <w:noProof/>
        </w:rPr>
      </w:pPr>
      <w:r>
        <w:rPr>
          <w:noProof/>
        </w:rPr>
        <w:sym w:font="Wingdings" w:char="F0A8"/>
      </w:r>
      <w:r>
        <w:rPr>
          <w:noProof/>
        </w:rPr>
        <w:t xml:space="preserve"> tijelima iz članaka 70. i 71. Financijske uredbe</w:t>
      </w:r>
    </w:p>
    <w:p>
      <w:pPr>
        <w:tabs>
          <w:tab w:val="num" w:pos="1134"/>
        </w:tabs>
        <w:ind w:left="1134" w:hanging="283"/>
        <w:rPr>
          <w:rFonts w:eastAsia="Times New Roman"/>
          <w:noProof/>
        </w:rPr>
      </w:pPr>
      <w:r>
        <w:rPr>
          <w:noProof/>
        </w:rPr>
        <w:sym w:font="Wingdings" w:char="F0A8"/>
      </w:r>
      <w:r>
        <w:rPr>
          <w:noProof/>
        </w:rPr>
        <w:t xml:space="preserve"> tijelima javnog prava</w:t>
      </w:r>
    </w:p>
    <w:p>
      <w:pPr>
        <w:tabs>
          <w:tab w:val="num" w:pos="1134"/>
        </w:tabs>
        <w:ind w:left="1134" w:hanging="283"/>
        <w:rPr>
          <w:rFonts w:eastAsia="Times New Roman"/>
          <w:noProof/>
        </w:rPr>
      </w:pPr>
      <w:r>
        <w:rPr>
          <w:noProof/>
        </w:rPr>
        <w:sym w:font="Wingdings" w:char="F0A8"/>
      </w:r>
      <w:r>
        <w:rPr>
          <w:noProof/>
        </w:rPr>
        <w:t xml:space="preserve"> tijelima uređenima privatnim pravom koja pružaju javne usluge u mjeri u kojoj daju odgovarajuća financijska jamstva</w:t>
      </w:r>
    </w:p>
    <w:p>
      <w:pPr>
        <w:tabs>
          <w:tab w:val="num" w:pos="1134"/>
        </w:tabs>
        <w:ind w:left="1134" w:hanging="283"/>
        <w:rPr>
          <w:rFonts w:eastAsia="Times New Roman"/>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tabs>
          <w:tab w:val="num" w:pos="1134"/>
        </w:tabs>
        <w:ind w:left="1134" w:hanging="283"/>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4" w:name="_Toc514941982"/>
      <w:bookmarkStart w:id="25" w:name="_Toc39837055"/>
      <w:bookmarkStart w:id="26" w:name="_Toc39839402"/>
      <w:r>
        <w:t>2.</w:t>
      </w:r>
      <w:r>
        <w:tab/>
      </w:r>
      <w:r>
        <w:rPr>
          <w:noProof/>
        </w:rPr>
        <w:t>MJERE UPRAVLJANJA</w:t>
      </w:r>
      <w:bookmarkEnd w:id="24"/>
      <w:bookmarkEnd w:id="25"/>
      <w:bookmarkEnd w:id="26"/>
      <w:r>
        <w:rPr>
          <w:noProof/>
        </w:rPr>
        <w:t xml:space="preserve"> </w:t>
      </w:r>
    </w:p>
    <w:p>
      <w:pPr>
        <w:pStyle w:val="ManualHeading2"/>
        <w:rPr>
          <w:noProof/>
        </w:rPr>
      </w:pPr>
      <w:bookmarkStart w:id="27" w:name="_Toc514941983"/>
      <w:bookmarkStart w:id="28" w:name="_Toc39837056"/>
      <w:bookmarkStart w:id="29" w:name="_Toc39839403"/>
      <w:r>
        <w:t>2.1.</w:t>
      </w:r>
      <w:r>
        <w:tab/>
      </w:r>
      <w:r>
        <w:rPr>
          <w:noProof/>
        </w:rPr>
        <w:t>Pravila praćenja i izvješćivanja</w:t>
      </w:r>
      <w:bookmarkEnd w:id="27"/>
      <w:bookmarkEnd w:id="28"/>
      <w:bookmarkEnd w:id="29"/>
      <w:r>
        <w:rPr>
          <w:noProof/>
        </w:rPr>
        <w:t xml:space="preserve"> </w:t>
      </w:r>
    </w:p>
    <w:p>
      <w:pPr>
        <w:ind w:left="850"/>
        <w:rPr>
          <w:i/>
          <w:noProof/>
          <w:sz w:val="20"/>
        </w:rPr>
      </w:pPr>
      <w:r>
        <w:rPr>
          <w:i/>
          <w:noProof/>
          <w:sz w:val="20"/>
        </w:rPr>
        <w:t>Navesti učestalost i uvjete.</w:t>
      </w:r>
    </w:p>
    <w:p>
      <w:pPr>
        <w:pBdr>
          <w:top w:val="single" w:sz="4" w:space="1" w:color="auto"/>
          <w:left w:val="single" w:sz="4" w:space="4" w:color="auto"/>
          <w:bottom w:val="single" w:sz="4" w:space="1" w:color="auto"/>
          <w:right w:val="single" w:sz="4" w:space="4" w:color="auto"/>
        </w:pBdr>
        <w:ind w:left="850"/>
        <w:rPr>
          <w:noProof/>
        </w:rPr>
      </w:pPr>
      <w:r>
        <w:rPr>
          <w:noProof/>
        </w:rPr>
        <w:t>Prijedlog je ograničen i usmjeren na utvrđivanje nužnih pravila kojih se treba pridržavati pri stavljanju na raspolaganje dodatnih sredstava.  Ta pravila ne prelaze ono što je potrebno da bi se dodatna sredstva stavila na raspolaganje te se utvrđuju primjenjiva pravila za izvršavanje tih sredstava.</w:t>
      </w:r>
    </w:p>
    <w:p>
      <w:pPr>
        <w:pStyle w:val="ManualHeading2"/>
        <w:rPr>
          <w:noProof/>
          <w:szCs w:val="24"/>
        </w:rPr>
      </w:pPr>
      <w:bookmarkStart w:id="30" w:name="_Toc514941984"/>
      <w:bookmarkStart w:id="31" w:name="_Toc39837057"/>
      <w:bookmarkStart w:id="32" w:name="_Toc39839404"/>
      <w:r>
        <w:t>2.2.</w:t>
      </w:r>
      <w:r>
        <w:tab/>
      </w:r>
      <w:r>
        <w:rPr>
          <w:noProof/>
        </w:rPr>
        <w:t>Sustavi upravljanja i kontrole</w:t>
      </w:r>
      <w:bookmarkEnd w:id="30"/>
      <w:bookmarkEnd w:id="31"/>
      <w:bookmarkEnd w:id="32"/>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 xml:space="preserve">Prijedlog je ograničen i usmjeren na utvrđivanje nužnih pravila kojih se treba pridržavati pri stavljanju na raspolaganje dodatnih sredstava.  Ta pravila ne prelaze ono što je potrebno da bi se dodatna sredstva stavila na raspolaganje te se utvrđuju primjenjiva pravila za izvršavanje tih sredstava. </w:t>
      </w:r>
    </w:p>
    <w:p>
      <w:pPr>
        <w:pStyle w:val="ManualHeading2"/>
        <w:rPr>
          <w:noProof/>
          <w:szCs w:val="24"/>
        </w:rPr>
      </w:pPr>
      <w:bookmarkStart w:id="33" w:name="_Toc514941988"/>
      <w:bookmarkStart w:id="34" w:name="_Toc39837061"/>
      <w:bookmarkStart w:id="35" w:name="_Toc39839408"/>
      <w:r>
        <w:t>2.3.</w:t>
      </w:r>
      <w:r>
        <w:tab/>
      </w:r>
      <w:r>
        <w:rPr>
          <w:noProof/>
        </w:rPr>
        <w:t>Mjere za sprečavanje prijevara i nepravilnosti</w:t>
      </w:r>
      <w:bookmarkEnd w:id="33"/>
      <w:bookmarkEnd w:id="34"/>
      <w:bookmarkEnd w:id="35"/>
      <w:r>
        <w:rPr>
          <w:noProof/>
        </w:rPr>
        <w:t xml:space="preserve"> </w:t>
      </w:r>
    </w:p>
    <w:p>
      <w:pPr>
        <w:ind w:left="850"/>
        <w:rPr>
          <w:i/>
          <w:noProof/>
          <w:sz w:val="20"/>
        </w:rPr>
      </w:pPr>
      <w:r>
        <w:rPr>
          <w:i/>
          <w:noProof/>
          <w:sz w:val="20"/>
        </w:rPr>
        <w:t>Navesti postojeće ili predviđene mjere za sprečavanje i zaštitu, npr. iz strategije za borbu protiv prijevara.</w:t>
      </w:r>
    </w:p>
    <w:p>
      <w:pPr>
        <w:pBdr>
          <w:top w:val="single" w:sz="4" w:space="1" w:color="auto"/>
          <w:left w:val="single" w:sz="4" w:space="4" w:color="auto"/>
          <w:bottom w:val="single" w:sz="4" w:space="1" w:color="auto"/>
          <w:right w:val="single" w:sz="4" w:space="4" w:color="auto"/>
        </w:pBdr>
        <w:ind w:left="850"/>
        <w:rPr>
          <w:noProof/>
        </w:rPr>
      </w:pPr>
      <w:r>
        <w:rPr>
          <w:noProof/>
        </w:rPr>
        <w:t>Prijedlog je ograničen i usmjeren na utvrđivanje nužnih pravila kojih se treba pridržavati pri stavljanju na raspolaganje dodatnih sredstava.  Ta pravila ne prelaze ono što je potrebno da bi se dodatna sredstva stavila na raspolaganje te se utvrđuju primjenjiva pravila za izvršavanje tih sredstava.</w:t>
      </w:r>
    </w:p>
    <w:p>
      <w:pPr>
        <w:pStyle w:val="ManualHeading1"/>
        <w:rPr>
          <w:noProof/>
          <w:szCs w:val="24"/>
        </w:rPr>
      </w:pPr>
      <w:bookmarkStart w:id="36" w:name="_Toc514941989"/>
      <w:bookmarkStart w:id="37" w:name="_Toc39839409"/>
      <w:r>
        <w:t>3.</w:t>
      </w:r>
      <w:r>
        <w:tab/>
      </w:r>
      <w:r>
        <w:rPr>
          <w:noProof/>
        </w:rPr>
        <w:t>PROCIJENJENI FINANCIJSKI UČINAK PRIJEDLOGA/INICIJATIVE</w:t>
      </w:r>
      <w:bookmarkEnd w:id="36"/>
      <w:bookmarkEnd w:id="37"/>
      <w:r>
        <w:rPr>
          <w:noProof/>
        </w:rPr>
        <w:t xml:space="preserve"> </w:t>
      </w:r>
    </w:p>
    <w:p>
      <w:pPr>
        <w:pStyle w:val="ManualHeading2"/>
        <w:rPr>
          <w:noProof/>
        </w:rPr>
      </w:pPr>
      <w:bookmarkStart w:id="38" w:name="_Toc514941990"/>
      <w:bookmarkStart w:id="39" w:name="_Toc39839410"/>
      <w:r>
        <w:t>3.1.</w:t>
      </w:r>
      <w:r>
        <w:tab/>
      </w:r>
      <w:r>
        <w:rPr>
          <w:noProof/>
        </w:rPr>
        <w:t>Naslov višegodišnjeg financijskog okvira i predložene nove proračunske linije rashoda</w:t>
      </w:r>
      <w:bookmarkEnd w:id="38"/>
      <w:bookmarkEnd w:id="39"/>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rPr>
              <w:t xml:space="preserve"> </w:t>
            </w:r>
            <w:r>
              <w:rPr>
                <w:noProof/>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p>
        </w:tc>
        <w:tc>
          <w:tcPr>
            <w:tcW w:w="1080" w:type="dxa"/>
            <w:vAlign w:val="center"/>
          </w:tcPr>
          <w:p>
            <w:pPr>
              <w:jc w:val="center"/>
              <w:rPr>
                <w:noProof/>
              </w:rPr>
            </w:pPr>
            <w:r>
              <w:rPr>
                <w:noProof/>
                <w:sz w:val="18"/>
              </w:rPr>
              <w:t>dif./nedif.</w:t>
            </w:r>
            <w:r>
              <w:rPr>
                <w:rStyle w:val="FootnoteReference"/>
                <w:noProof/>
                <w:sz w:val="18"/>
              </w:rPr>
              <w:footnoteReference w:id="9"/>
            </w:r>
            <w:r>
              <w:rPr>
                <w:noProof/>
              </w:rPr>
              <w:t xml:space="preserve"> </w:t>
            </w:r>
          </w:p>
        </w:tc>
        <w:tc>
          <w:tcPr>
            <w:tcW w:w="1044" w:type="dxa"/>
            <w:vAlign w:val="center"/>
          </w:tcPr>
          <w:p>
            <w:pPr>
              <w:jc w:val="center"/>
              <w:rPr>
                <w:noProof/>
              </w:rPr>
            </w:pPr>
            <w:r>
              <w:rPr>
                <w:noProof/>
                <w:sz w:val="18"/>
              </w:rPr>
              <w:t>zemalja EFTA-e</w:t>
            </w:r>
            <w:r>
              <w:rPr>
                <w:rStyle w:val="FootnoteReference"/>
                <w:noProof/>
                <w:sz w:val="18"/>
              </w:rPr>
              <w:footnoteReference w:id="10"/>
            </w:r>
          </w:p>
          <w:p>
            <w:pPr>
              <w:spacing w:before="0" w:after="0"/>
              <w:jc w:val="center"/>
              <w:rPr>
                <w:b/>
                <w:noProof/>
                <w:sz w:val="18"/>
              </w:rPr>
            </w:pPr>
          </w:p>
        </w:tc>
        <w:tc>
          <w:tcPr>
            <w:tcW w:w="1134" w:type="dxa"/>
            <w:vAlign w:val="center"/>
          </w:tcPr>
          <w:p>
            <w:pPr>
              <w:jc w:val="center"/>
              <w:rPr>
                <w:noProof/>
              </w:rPr>
            </w:pPr>
            <w:r>
              <w:rPr>
                <w:noProof/>
                <w:sz w:val="18"/>
              </w:rPr>
              <w:t>zemalja kandidatkinja</w:t>
            </w:r>
            <w:r>
              <w:rPr>
                <w:rStyle w:val="FootnoteReference"/>
                <w:noProof/>
                <w:sz w:val="18"/>
              </w:rPr>
              <w:footnoteReference w:id="11"/>
            </w:r>
          </w:p>
          <w:p>
            <w:pPr>
              <w:spacing w:before="0" w:after="0"/>
              <w:jc w:val="center"/>
              <w:rPr>
                <w:noProof/>
                <w:sz w:val="18"/>
              </w:rPr>
            </w:pPr>
          </w:p>
        </w:tc>
        <w:tc>
          <w:tcPr>
            <w:tcW w:w="814"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rPr>
            </w:pPr>
            <w:r>
              <w:rPr>
                <w:noProof/>
              </w:rPr>
              <w:t>3</w:t>
            </w:r>
          </w:p>
        </w:tc>
        <w:tc>
          <w:tcPr>
            <w:tcW w:w="3960" w:type="dxa"/>
            <w:vAlign w:val="center"/>
          </w:tcPr>
          <w:p>
            <w:pPr>
              <w:spacing w:after="60"/>
              <w:rPr>
                <w:noProof/>
              </w:rPr>
            </w:pPr>
            <w:r>
              <w:rPr>
                <w:noProof/>
                <w:sz w:val="22"/>
              </w:rPr>
              <w:t>09 01 02 Rashodi za potporu za Fond za pravednu tranziciju (FPT)</w:t>
            </w:r>
          </w:p>
        </w:tc>
        <w:tc>
          <w:tcPr>
            <w:tcW w:w="1080" w:type="dxa"/>
            <w:vAlign w:val="center"/>
          </w:tcPr>
          <w:p>
            <w:pPr>
              <w:jc w:val="center"/>
              <w:rPr>
                <w:noProof/>
                <w:color w:val="0000FF"/>
              </w:rPr>
            </w:pPr>
            <w:r>
              <w:rPr>
                <w:noProof/>
                <w:sz w:val="22"/>
              </w:rPr>
              <w:t>nedif.</w:t>
            </w:r>
          </w:p>
        </w:tc>
        <w:tc>
          <w:tcPr>
            <w:tcW w:w="1044" w:type="dxa"/>
            <w:vAlign w:val="center"/>
          </w:tcPr>
          <w:p>
            <w:pPr>
              <w:jc w:val="center"/>
              <w:rPr>
                <w:noProof/>
              </w:rPr>
            </w:pPr>
            <w:r>
              <w:rPr>
                <w:noProof/>
                <w:sz w:val="22"/>
              </w:rPr>
              <w:t>NE</w:t>
            </w:r>
          </w:p>
        </w:tc>
        <w:tc>
          <w:tcPr>
            <w:tcW w:w="1134" w:type="dxa"/>
            <w:vAlign w:val="center"/>
          </w:tcPr>
          <w:p>
            <w:pPr>
              <w:jc w:val="center"/>
              <w:rPr>
                <w:noProof/>
              </w:rPr>
            </w:pPr>
            <w:r>
              <w:rPr>
                <w:noProof/>
                <w:sz w:val="22"/>
              </w:rPr>
              <w:t>NE</w:t>
            </w:r>
          </w:p>
        </w:tc>
        <w:tc>
          <w:tcPr>
            <w:tcW w:w="814"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rPr>
            </w:pPr>
            <w:r>
              <w:rPr>
                <w:noProof/>
              </w:rPr>
              <w:t>3</w:t>
            </w:r>
          </w:p>
        </w:tc>
        <w:tc>
          <w:tcPr>
            <w:tcW w:w="3960" w:type="dxa"/>
            <w:vAlign w:val="center"/>
          </w:tcPr>
          <w:p>
            <w:pPr>
              <w:spacing w:before="60"/>
              <w:rPr>
                <w:noProof/>
                <w:sz w:val="22"/>
              </w:rPr>
            </w:pPr>
            <w:r>
              <w:rPr>
                <w:noProof/>
                <w:sz w:val="22"/>
              </w:rPr>
              <w:t>09 03 02 Fond za pravednu tranziciju (FPT) – Operativna tehnička pomoć</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r>
              <w:rPr>
                <w:noProof/>
              </w:rPr>
              <w:t>3</w:t>
            </w:r>
          </w:p>
        </w:tc>
        <w:tc>
          <w:tcPr>
            <w:tcW w:w="3960" w:type="dxa"/>
            <w:vAlign w:val="center"/>
          </w:tcPr>
          <w:p>
            <w:pPr>
              <w:spacing w:before="60"/>
              <w:rPr>
                <w:noProof/>
              </w:rPr>
            </w:pPr>
            <w:r>
              <w:rPr>
                <w:noProof/>
              </w:rPr>
              <w:t>09 03 03 – FPT financiran iz Europskog instrumenta za oporavak</w:t>
            </w:r>
          </w:p>
          <w:p>
            <w:pPr>
              <w:spacing w:before="60"/>
              <w:rPr>
                <w:noProof/>
                <w:sz w:val="22"/>
              </w:rPr>
            </w:pP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bookmarkStart w:id="40" w:name="_Toc514941991"/>
      <w:bookmarkStart w:id="41" w:name="_Toc39839411"/>
      <w:r>
        <w:t>3.2.</w:t>
      </w:r>
      <w:r>
        <w:tab/>
      </w:r>
      <w:r>
        <w:rPr>
          <w:noProof/>
        </w:rPr>
        <w:t>Procijenjeni učinak na rashode</w:t>
      </w:r>
      <w:bookmarkEnd w:id="40"/>
      <w:bookmarkEnd w:id="41"/>
      <w:r>
        <w:rPr>
          <w:noProof/>
        </w:rPr>
        <w:t xml:space="preserve"> </w:t>
      </w:r>
    </w:p>
    <w:p>
      <w:pPr>
        <w:pStyle w:val="ManualHeading3"/>
        <w:rPr>
          <w:noProof/>
          <w:u w:val="single"/>
        </w:rPr>
      </w:pPr>
      <w:bookmarkStart w:id="42" w:name="_Toc514941992"/>
      <w:bookmarkStart w:id="43" w:name="_Toc39839412"/>
      <w:r>
        <w:t>3.2.1.</w:t>
      </w:r>
      <w:r>
        <w:tab/>
      </w:r>
      <w:r>
        <w:rPr>
          <w:noProof/>
        </w:rPr>
        <w:t>Sažetak procijenjenog učinka na rashode</w:t>
      </w:r>
      <w:bookmarkEnd w:id="42"/>
      <w:bookmarkEnd w:id="43"/>
      <w:r>
        <w:rPr>
          <w:noProof/>
        </w:rPr>
        <w:t xml:space="preserve"> </w:t>
      </w:r>
    </w:p>
    <w:p>
      <w:pPr>
        <w:jc w:val="right"/>
        <w:rPr>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Naslov višegodišnjeg financijskog </w:t>
            </w:r>
            <w:r>
              <w:rPr>
                <w:noProof/>
              </w:rPr>
              <w:t xml:space="preserve"> </w:t>
            </w:r>
            <w:r>
              <w:rPr>
                <w:noProof/>
              </w:rPr>
              <w:br/>
            </w:r>
            <w:r>
              <w:rPr>
                <w:b/>
                <w:noProof/>
                <w:sz w:val="22"/>
              </w:rPr>
              <w:t xml:space="preserve">okvira </w:t>
            </w:r>
          </w:p>
        </w:tc>
        <w:tc>
          <w:tcPr>
            <w:tcW w:w="1080" w:type="dxa"/>
            <w:vAlign w:val="center"/>
          </w:tcPr>
          <w:p>
            <w:pPr>
              <w:spacing w:before="60" w:after="60"/>
              <w:jc w:val="center"/>
              <w:rPr>
                <w:noProof/>
              </w:rPr>
            </w:pPr>
            <w:r>
              <w:rPr>
                <w:b/>
                <w:noProof/>
                <w:sz w:val="22"/>
              </w:rPr>
              <w:t>3</w:t>
            </w:r>
          </w:p>
        </w:tc>
        <w:tc>
          <w:tcPr>
            <w:tcW w:w="7817" w:type="dxa"/>
            <w:vAlign w:val="center"/>
          </w:tcPr>
          <w:p>
            <w:pPr>
              <w:spacing w:before="60" w:after="60"/>
              <w:jc w:val="left"/>
              <w:rPr>
                <w:noProof/>
              </w:rPr>
            </w:pPr>
          </w:p>
        </w:tc>
      </w:tr>
    </w:tbl>
    <w:p>
      <w:pPr>
        <w:rPr>
          <w:i/>
          <w:iCs/>
          <w:noProof/>
        </w:rPr>
      </w:pPr>
      <w:r>
        <w:rPr>
          <w:i/>
          <w:iCs/>
          <w:noProof/>
        </w:rPr>
        <w:t>Prijedlog će dovesti do dodatnih obveza u razdoblju 2021.–2027. te plaćanja u razdoblju od 2021. do 2027. i nakon 2027.</w:t>
      </w:r>
    </w:p>
    <w:p>
      <w:pPr>
        <w:rPr>
          <w:i/>
          <w:iCs/>
          <w:noProof/>
        </w:rPr>
      </w:pPr>
      <w:r>
        <w:rPr>
          <w:i/>
          <w:iCs/>
          <w:noProof/>
        </w:rPr>
        <w:t xml:space="preserve">Od tih dodatnih sredstava, 2 810 048 000 EUR u tekućim cijenama trebalo bi potjecati iz odobrenih proračunskih sredstava, čime bi razina programa u okviru sljedećeg VFO-a dosegla 11 270 459 000 EUR u tekućim cijenama; ta bi sredstva trebalo raspodijeliti tijekom tekućih pregovora na razini Europskog vijeća. </w:t>
      </w:r>
    </w:p>
    <w:p>
      <w:pPr>
        <w:rPr>
          <w:i/>
          <w:iCs/>
          <w:noProof/>
        </w:rPr>
      </w:pPr>
      <w:r>
        <w:rPr>
          <w:i/>
          <w:iCs/>
          <w:noProof/>
        </w:rPr>
        <w:t>Preostala dodatna sredstva obuhvatit će razdoblje od 2021. do 2024. i činit će vanjske namjenske prihode koji potječu iz Europskog instrumenta za oporavak na temelju vanjskih namjenskih prihoda.</w:t>
      </w:r>
      <w:r>
        <w:rPr>
          <w:noProof/>
        </w:rPr>
        <w:t xml:space="preserve"> </w:t>
      </w:r>
      <w:r>
        <w:rPr>
          <w:i/>
          <w:iCs/>
          <w:noProof/>
        </w:rPr>
        <w:t>Iznosi dostupni kao vanjski namjenski prihodi u smislu članka 21. stavka 5. Financijske uredbe koji potječu iz Unijinih operacija zaduživanja kako je utvrđeno u Uredbi (EU) XXX/XX (Uredba ERI). Od tih vanjskih namjenskih prihoda do 15 600 000 EUR može se namijeniti za administrativne rashode, uključujući troškove vanjskog osoblja.</w:t>
      </w:r>
    </w:p>
    <w:p>
      <w:pPr>
        <w:rPr>
          <w:i/>
          <w:iCs/>
          <w:noProof/>
        </w:rPr>
      </w:pPr>
      <w:r>
        <w:rPr>
          <w:i/>
          <w:iCs/>
          <w:noProof/>
        </w:rPr>
        <w:t>Okvirna raspodjela odobrenih sredstava koja se financiraju u okviru VFO-a 2021.–2027.:</w:t>
      </w: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28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289" w:type="dxa"/>
          </w:tcPr>
          <w:p>
            <w:pPr>
              <w:jc w:val="center"/>
              <w:rPr>
                <w:b/>
                <w:noProof/>
                <w:sz w:val="20"/>
              </w:rPr>
            </w:pPr>
            <w:r>
              <w:rPr>
                <w:b/>
                <w:noProof/>
                <w:sz w:val="20"/>
              </w:rPr>
              <w:t>Nakon 2027.</w:t>
            </w:r>
          </w:p>
        </w:tc>
        <w:tc>
          <w:tcPr>
            <w:tcW w:w="1289" w:type="dxa"/>
            <w:vAlign w:val="center"/>
          </w:tcPr>
          <w:p>
            <w:pPr>
              <w:jc w:val="center"/>
              <w:rPr>
                <w:b/>
                <w:noProof/>
                <w:sz w:val="20"/>
              </w:rPr>
            </w:pPr>
            <w:r>
              <w:rPr>
                <w:b/>
                <w:noProof/>
                <w:sz w:val="20"/>
              </w:rPr>
              <w:t>UKUPNO</w:t>
            </w:r>
          </w:p>
        </w:tc>
      </w:tr>
      <w:tr>
        <w:trPr>
          <w:trHeight w:val="433"/>
          <w:jc w:val="center"/>
        </w:trPr>
        <w:tc>
          <w:tcPr>
            <w:tcW w:w="4103" w:type="dxa"/>
            <w:vMerge w:val="restart"/>
            <w:vAlign w:val="center"/>
          </w:tcPr>
          <w:p>
            <w:pPr>
              <w:rPr>
                <w:noProof/>
              </w:rPr>
            </w:pPr>
            <w:r>
              <w:rPr>
                <w:noProof/>
                <w:sz w:val="20"/>
              </w:rPr>
              <w:t xml:space="preserve">Odobrena sredstva za poslovanje </w:t>
            </w:r>
          </w:p>
        </w:tc>
        <w:tc>
          <w:tcPr>
            <w:tcW w:w="1440" w:type="dxa"/>
            <w:vAlign w:val="center"/>
          </w:tcPr>
          <w:p>
            <w:pPr>
              <w:spacing w:before="20" w:after="20"/>
              <w:jc w:val="left"/>
              <w:rPr>
                <w:noProof/>
                <w:sz w:val="18"/>
              </w:rPr>
            </w:pPr>
            <w:r>
              <w:rPr>
                <w:noProof/>
                <w:sz w:val="18"/>
              </w:rPr>
              <w:t>Obveze</w:t>
            </w:r>
          </w:p>
        </w:tc>
        <w:tc>
          <w:tcPr>
            <w:tcW w:w="654" w:type="dxa"/>
            <w:vAlign w:val="center"/>
          </w:tcPr>
          <w:p>
            <w:pPr>
              <w:spacing w:before="20" w:after="20"/>
              <w:jc w:val="center"/>
              <w:rPr>
                <w:noProof/>
                <w:sz w:val="14"/>
              </w:rPr>
            </w:pPr>
            <w:r>
              <w:rPr>
                <w:noProof/>
                <w:sz w:val="14"/>
              </w:rPr>
              <w:t>(1)</w:t>
            </w:r>
          </w:p>
        </w:tc>
        <w:tc>
          <w:tcPr>
            <w:tcW w:w="868" w:type="dxa"/>
          </w:tcPr>
          <w:p>
            <w:pPr>
              <w:jc w:val="center"/>
              <w:rPr>
                <w:noProof/>
                <w:sz w:val="16"/>
                <w:szCs w:val="16"/>
              </w:rPr>
            </w:pPr>
            <w:r>
              <w:rPr>
                <w:noProof/>
                <w:sz w:val="16"/>
                <w:szCs w:val="16"/>
              </w:rPr>
              <w:t>416,600</w:t>
            </w:r>
          </w:p>
        </w:tc>
        <w:tc>
          <w:tcPr>
            <w:tcW w:w="868" w:type="dxa"/>
          </w:tcPr>
          <w:p>
            <w:pPr>
              <w:jc w:val="center"/>
              <w:rPr>
                <w:noProof/>
                <w:sz w:val="16"/>
                <w:szCs w:val="16"/>
              </w:rPr>
            </w:pPr>
            <w:r>
              <w:rPr>
                <w:noProof/>
                <w:sz w:val="16"/>
                <w:szCs w:val="16"/>
              </w:rPr>
              <w:t>413,025</w:t>
            </w:r>
          </w:p>
        </w:tc>
        <w:tc>
          <w:tcPr>
            <w:tcW w:w="868" w:type="dxa"/>
          </w:tcPr>
          <w:p>
            <w:pPr>
              <w:jc w:val="center"/>
              <w:rPr>
                <w:noProof/>
                <w:sz w:val="16"/>
                <w:szCs w:val="16"/>
              </w:rPr>
            </w:pPr>
            <w:r>
              <w:rPr>
                <w:noProof/>
                <w:sz w:val="16"/>
                <w:szCs w:val="16"/>
              </w:rPr>
              <w:t>408,037</w:t>
            </w:r>
          </w:p>
        </w:tc>
        <w:tc>
          <w:tcPr>
            <w:tcW w:w="868" w:type="dxa"/>
          </w:tcPr>
          <w:p>
            <w:pPr>
              <w:jc w:val="center"/>
              <w:rPr>
                <w:noProof/>
                <w:sz w:val="16"/>
                <w:szCs w:val="16"/>
              </w:rPr>
            </w:pPr>
            <w:r>
              <w:rPr>
                <w:noProof/>
                <w:sz w:val="16"/>
                <w:szCs w:val="16"/>
              </w:rPr>
              <w:t>402,684</w:t>
            </w:r>
          </w:p>
        </w:tc>
        <w:tc>
          <w:tcPr>
            <w:tcW w:w="868" w:type="dxa"/>
          </w:tcPr>
          <w:p>
            <w:pPr>
              <w:jc w:val="center"/>
              <w:rPr>
                <w:noProof/>
                <w:sz w:val="16"/>
                <w:szCs w:val="16"/>
              </w:rPr>
            </w:pPr>
            <w:r>
              <w:rPr>
                <w:noProof/>
                <w:sz w:val="16"/>
                <w:szCs w:val="16"/>
              </w:rPr>
              <w:t>396,953</w:t>
            </w:r>
          </w:p>
        </w:tc>
        <w:tc>
          <w:tcPr>
            <w:tcW w:w="868" w:type="dxa"/>
          </w:tcPr>
          <w:p>
            <w:pPr>
              <w:jc w:val="center"/>
              <w:rPr>
                <w:noProof/>
                <w:sz w:val="16"/>
                <w:szCs w:val="16"/>
              </w:rPr>
            </w:pPr>
            <w:r>
              <w:rPr>
                <w:noProof/>
                <w:sz w:val="16"/>
                <w:szCs w:val="16"/>
              </w:rPr>
              <w:t>390,832</w:t>
            </w:r>
          </w:p>
        </w:tc>
        <w:tc>
          <w:tcPr>
            <w:tcW w:w="868" w:type="dxa"/>
          </w:tcPr>
          <w:p>
            <w:pPr>
              <w:jc w:val="center"/>
              <w:rPr>
                <w:noProof/>
                <w:sz w:val="16"/>
                <w:szCs w:val="16"/>
              </w:rPr>
            </w:pPr>
            <w:r>
              <w:rPr>
                <w:noProof/>
                <w:sz w:val="16"/>
                <w:szCs w:val="16"/>
              </w:rPr>
              <w:t>381,917</w:t>
            </w:r>
          </w:p>
        </w:tc>
        <w:tc>
          <w:tcPr>
            <w:tcW w:w="1289" w:type="dxa"/>
          </w:tcPr>
          <w:p>
            <w:pPr>
              <w:jc w:val="center"/>
              <w:rPr>
                <w:noProof/>
              </w:rPr>
            </w:pPr>
          </w:p>
        </w:tc>
        <w:tc>
          <w:tcPr>
            <w:tcW w:w="1289" w:type="dxa"/>
          </w:tcPr>
          <w:p>
            <w:pPr>
              <w:jc w:val="center"/>
              <w:rPr>
                <w:b/>
                <w:noProof/>
              </w:rPr>
            </w:pPr>
            <w:r>
              <w:rPr>
                <w:b/>
                <w:noProof/>
              </w:rPr>
              <w:t>2 810,048</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Plaćanja</w:t>
            </w:r>
          </w:p>
        </w:tc>
        <w:tc>
          <w:tcPr>
            <w:tcW w:w="654" w:type="dxa"/>
            <w:vAlign w:val="center"/>
          </w:tcPr>
          <w:p>
            <w:pPr>
              <w:spacing w:before="20" w:after="20"/>
              <w:jc w:val="center"/>
              <w:rPr>
                <w:noProof/>
                <w:sz w:val="14"/>
              </w:rPr>
            </w:pPr>
            <w:r>
              <w:rPr>
                <w:noProof/>
                <w:sz w:val="14"/>
              </w:rPr>
              <w:t>(2)</w:t>
            </w:r>
          </w:p>
        </w:tc>
        <w:tc>
          <w:tcPr>
            <w:tcW w:w="868" w:type="dxa"/>
          </w:tcPr>
          <w:p>
            <w:pPr>
              <w:jc w:val="center"/>
              <w:rPr>
                <w:noProof/>
                <w:sz w:val="16"/>
                <w:szCs w:val="16"/>
              </w:rPr>
            </w:pPr>
          </w:p>
        </w:tc>
        <w:tc>
          <w:tcPr>
            <w:tcW w:w="868" w:type="dxa"/>
          </w:tcPr>
          <w:p>
            <w:pPr>
              <w:jc w:val="center"/>
              <w:rPr>
                <w:noProof/>
                <w:sz w:val="16"/>
                <w:szCs w:val="16"/>
              </w:rPr>
            </w:pPr>
            <w:r>
              <w:rPr>
                <w:noProof/>
                <w:sz w:val="16"/>
                <w:szCs w:val="16"/>
              </w:rPr>
              <w:t>60,055</w:t>
            </w:r>
          </w:p>
        </w:tc>
        <w:tc>
          <w:tcPr>
            <w:tcW w:w="868" w:type="dxa"/>
          </w:tcPr>
          <w:p>
            <w:pPr>
              <w:jc w:val="center"/>
              <w:rPr>
                <w:noProof/>
                <w:sz w:val="16"/>
                <w:szCs w:val="16"/>
              </w:rPr>
            </w:pPr>
            <w:r>
              <w:rPr>
                <w:noProof/>
                <w:sz w:val="16"/>
                <w:szCs w:val="16"/>
              </w:rPr>
              <w:t>343,229</w:t>
            </w:r>
          </w:p>
        </w:tc>
        <w:tc>
          <w:tcPr>
            <w:tcW w:w="868" w:type="dxa"/>
          </w:tcPr>
          <w:p>
            <w:pPr>
              <w:jc w:val="center"/>
              <w:rPr>
                <w:noProof/>
                <w:sz w:val="16"/>
                <w:szCs w:val="16"/>
              </w:rPr>
            </w:pPr>
            <w:r>
              <w:rPr>
                <w:noProof/>
                <w:sz w:val="16"/>
                <w:szCs w:val="16"/>
              </w:rPr>
              <w:t>444,024</w:t>
            </w:r>
          </w:p>
        </w:tc>
        <w:tc>
          <w:tcPr>
            <w:tcW w:w="868" w:type="dxa"/>
          </w:tcPr>
          <w:p>
            <w:pPr>
              <w:jc w:val="center"/>
              <w:rPr>
                <w:noProof/>
                <w:sz w:val="16"/>
                <w:szCs w:val="16"/>
              </w:rPr>
            </w:pPr>
            <w:r>
              <w:rPr>
                <w:noProof/>
                <w:sz w:val="16"/>
                <w:szCs w:val="16"/>
              </w:rPr>
              <w:t>343,665</w:t>
            </w:r>
          </w:p>
        </w:tc>
        <w:tc>
          <w:tcPr>
            <w:tcW w:w="868" w:type="dxa"/>
          </w:tcPr>
          <w:p>
            <w:pPr>
              <w:jc w:val="center"/>
              <w:rPr>
                <w:noProof/>
                <w:sz w:val="16"/>
                <w:szCs w:val="16"/>
              </w:rPr>
            </w:pPr>
            <w:r>
              <w:rPr>
                <w:noProof/>
                <w:sz w:val="16"/>
                <w:szCs w:val="16"/>
              </w:rPr>
              <w:t>409,011</w:t>
            </w:r>
          </w:p>
        </w:tc>
        <w:tc>
          <w:tcPr>
            <w:tcW w:w="868" w:type="dxa"/>
          </w:tcPr>
          <w:p>
            <w:pPr>
              <w:jc w:val="center"/>
              <w:rPr>
                <w:noProof/>
                <w:sz w:val="16"/>
                <w:szCs w:val="16"/>
              </w:rPr>
            </w:pPr>
            <w:r>
              <w:rPr>
                <w:noProof/>
                <w:sz w:val="16"/>
                <w:szCs w:val="16"/>
              </w:rPr>
              <w:t>461,055</w:t>
            </w:r>
          </w:p>
        </w:tc>
        <w:tc>
          <w:tcPr>
            <w:tcW w:w="1289" w:type="dxa"/>
          </w:tcPr>
          <w:p>
            <w:pPr>
              <w:jc w:val="center"/>
              <w:rPr>
                <w:noProof/>
                <w:sz w:val="20"/>
              </w:rPr>
            </w:pPr>
            <w:r>
              <w:rPr>
                <w:noProof/>
                <w:sz w:val="20"/>
              </w:rPr>
              <w:t>749 008</w:t>
            </w:r>
          </w:p>
        </w:tc>
        <w:tc>
          <w:tcPr>
            <w:tcW w:w="1289" w:type="dxa"/>
          </w:tcPr>
          <w:p>
            <w:pPr>
              <w:jc w:val="center"/>
              <w:rPr>
                <w:b/>
                <w:noProof/>
                <w:sz w:val="20"/>
              </w:rPr>
            </w:pPr>
            <w:r>
              <w:rPr>
                <w:b/>
                <w:noProof/>
                <w:sz w:val="20"/>
              </w:rPr>
              <w:t>2 810,048</w:t>
            </w:r>
          </w:p>
        </w:tc>
      </w:tr>
      <w:tr>
        <w:trPr>
          <w:jc w:val="center"/>
        </w:trPr>
        <w:tc>
          <w:tcPr>
            <w:tcW w:w="4103" w:type="dxa"/>
            <w:vMerge w:val="restart"/>
            <w:vAlign w:val="center"/>
          </w:tcPr>
          <w:p>
            <w:pPr>
              <w:jc w:val="left"/>
              <w:rPr>
                <w:b/>
                <w:noProof/>
              </w:rPr>
            </w:pPr>
            <w:r>
              <w:rPr>
                <w:b/>
                <w:noProof/>
                <w:sz w:val="22"/>
              </w:rPr>
              <w:t xml:space="preserve">UKUPNA odobrena sredstva </w:t>
            </w:r>
          </w:p>
        </w:tc>
        <w:tc>
          <w:tcPr>
            <w:tcW w:w="1440" w:type="dxa"/>
            <w:vAlign w:val="center"/>
          </w:tcPr>
          <w:p>
            <w:pPr>
              <w:jc w:val="left"/>
              <w:rPr>
                <w:noProof/>
                <w:sz w:val="18"/>
              </w:rPr>
            </w:pPr>
            <w:r>
              <w:rPr>
                <w:noProof/>
                <w:sz w:val="18"/>
              </w:rPr>
              <w:t>Obveze</w:t>
            </w:r>
          </w:p>
        </w:tc>
        <w:tc>
          <w:tcPr>
            <w:tcW w:w="654" w:type="dxa"/>
            <w:vAlign w:val="center"/>
          </w:tcPr>
          <w:p>
            <w:pPr>
              <w:jc w:val="center"/>
              <w:rPr>
                <w:noProof/>
                <w:sz w:val="14"/>
              </w:rPr>
            </w:pPr>
            <w:r>
              <w:rPr>
                <w:noProof/>
                <w:sz w:val="14"/>
              </w:rPr>
              <w:t>=1+3</w:t>
            </w:r>
          </w:p>
        </w:tc>
        <w:tc>
          <w:tcPr>
            <w:tcW w:w="868" w:type="dxa"/>
          </w:tcPr>
          <w:p>
            <w:pPr>
              <w:jc w:val="center"/>
              <w:rPr>
                <w:noProof/>
                <w:sz w:val="16"/>
                <w:szCs w:val="16"/>
              </w:rPr>
            </w:pPr>
            <w:r>
              <w:rPr>
                <w:noProof/>
                <w:sz w:val="16"/>
                <w:szCs w:val="16"/>
              </w:rPr>
              <w:t>416,600</w:t>
            </w:r>
          </w:p>
        </w:tc>
        <w:tc>
          <w:tcPr>
            <w:tcW w:w="868" w:type="dxa"/>
          </w:tcPr>
          <w:p>
            <w:pPr>
              <w:jc w:val="center"/>
              <w:rPr>
                <w:noProof/>
                <w:sz w:val="16"/>
                <w:szCs w:val="16"/>
              </w:rPr>
            </w:pPr>
            <w:r>
              <w:rPr>
                <w:noProof/>
                <w:sz w:val="16"/>
                <w:szCs w:val="16"/>
              </w:rPr>
              <w:t>413,025</w:t>
            </w:r>
          </w:p>
        </w:tc>
        <w:tc>
          <w:tcPr>
            <w:tcW w:w="868" w:type="dxa"/>
          </w:tcPr>
          <w:p>
            <w:pPr>
              <w:jc w:val="center"/>
              <w:rPr>
                <w:noProof/>
                <w:sz w:val="16"/>
                <w:szCs w:val="16"/>
              </w:rPr>
            </w:pPr>
            <w:r>
              <w:rPr>
                <w:noProof/>
                <w:sz w:val="16"/>
                <w:szCs w:val="16"/>
              </w:rPr>
              <w:t>408,037</w:t>
            </w:r>
          </w:p>
        </w:tc>
        <w:tc>
          <w:tcPr>
            <w:tcW w:w="868" w:type="dxa"/>
          </w:tcPr>
          <w:p>
            <w:pPr>
              <w:jc w:val="center"/>
              <w:rPr>
                <w:noProof/>
                <w:sz w:val="16"/>
                <w:szCs w:val="16"/>
              </w:rPr>
            </w:pPr>
            <w:r>
              <w:rPr>
                <w:noProof/>
                <w:sz w:val="16"/>
                <w:szCs w:val="16"/>
              </w:rPr>
              <w:t>402,684</w:t>
            </w:r>
          </w:p>
        </w:tc>
        <w:tc>
          <w:tcPr>
            <w:tcW w:w="868" w:type="dxa"/>
          </w:tcPr>
          <w:p>
            <w:pPr>
              <w:jc w:val="center"/>
              <w:rPr>
                <w:noProof/>
                <w:sz w:val="16"/>
                <w:szCs w:val="16"/>
              </w:rPr>
            </w:pPr>
            <w:r>
              <w:rPr>
                <w:noProof/>
                <w:sz w:val="16"/>
                <w:szCs w:val="16"/>
              </w:rPr>
              <w:t>396,953</w:t>
            </w:r>
          </w:p>
        </w:tc>
        <w:tc>
          <w:tcPr>
            <w:tcW w:w="868" w:type="dxa"/>
          </w:tcPr>
          <w:p>
            <w:pPr>
              <w:jc w:val="center"/>
              <w:rPr>
                <w:noProof/>
                <w:sz w:val="16"/>
                <w:szCs w:val="16"/>
              </w:rPr>
            </w:pPr>
            <w:r>
              <w:rPr>
                <w:noProof/>
                <w:sz w:val="16"/>
                <w:szCs w:val="16"/>
              </w:rPr>
              <w:t>390,832</w:t>
            </w:r>
          </w:p>
        </w:tc>
        <w:tc>
          <w:tcPr>
            <w:tcW w:w="868" w:type="dxa"/>
          </w:tcPr>
          <w:p>
            <w:pPr>
              <w:jc w:val="center"/>
              <w:rPr>
                <w:noProof/>
                <w:sz w:val="16"/>
                <w:szCs w:val="16"/>
              </w:rPr>
            </w:pPr>
            <w:r>
              <w:rPr>
                <w:noProof/>
                <w:sz w:val="16"/>
                <w:szCs w:val="16"/>
              </w:rPr>
              <w:t>381,917</w:t>
            </w:r>
          </w:p>
        </w:tc>
        <w:tc>
          <w:tcPr>
            <w:tcW w:w="1289" w:type="dxa"/>
          </w:tcPr>
          <w:p>
            <w:pPr>
              <w:jc w:val="center"/>
              <w:rPr>
                <w:noProof/>
              </w:rPr>
            </w:pPr>
          </w:p>
        </w:tc>
        <w:tc>
          <w:tcPr>
            <w:tcW w:w="1289" w:type="dxa"/>
          </w:tcPr>
          <w:p>
            <w:pPr>
              <w:jc w:val="center"/>
              <w:rPr>
                <w:noProof/>
              </w:rPr>
            </w:pPr>
            <w:r>
              <w:rPr>
                <w:b/>
                <w:noProof/>
              </w:rPr>
              <w:t>2 810,048</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Plaćanja</w:t>
            </w:r>
          </w:p>
        </w:tc>
        <w:tc>
          <w:tcPr>
            <w:tcW w:w="654" w:type="dxa"/>
            <w:vAlign w:val="center"/>
          </w:tcPr>
          <w:p>
            <w:pPr>
              <w:jc w:val="center"/>
              <w:rPr>
                <w:noProof/>
                <w:sz w:val="14"/>
              </w:rPr>
            </w:pPr>
            <w:r>
              <w:rPr>
                <w:noProof/>
                <w:sz w:val="14"/>
              </w:rPr>
              <w:t>=2+3</w:t>
            </w:r>
          </w:p>
        </w:tc>
        <w:tc>
          <w:tcPr>
            <w:tcW w:w="868" w:type="dxa"/>
          </w:tcPr>
          <w:p>
            <w:pPr>
              <w:jc w:val="center"/>
              <w:rPr>
                <w:noProof/>
                <w:sz w:val="16"/>
                <w:szCs w:val="16"/>
              </w:rPr>
            </w:pPr>
          </w:p>
        </w:tc>
        <w:tc>
          <w:tcPr>
            <w:tcW w:w="868" w:type="dxa"/>
          </w:tcPr>
          <w:p>
            <w:pPr>
              <w:jc w:val="center"/>
              <w:rPr>
                <w:noProof/>
                <w:sz w:val="16"/>
                <w:szCs w:val="16"/>
              </w:rPr>
            </w:pPr>
            <w:r>
              <w:rPr>
                <w:noProof/>
                <w:sz w:val="16"/>
                <w:szCs w:val="16"/>
              </w:rPr>
              <w:t>60,055</w:t>
            </w:r>
          </w:p>
        </w:tc>
        <w:tc>
          <w:tcPr>
            <w:tcW w:w="868" w:type="dxa"/>
          </w:tcPr>
          <w:p>
            <w:pPr>
              <w:jc w:val="center"/>
              <w:rPr>
                <w:noProof/>
                <w:sz w:val="16"/>
                <w:szCs w:val="16"/>
              </w:rPr>
            </w:pPr>
            <w:r>
              <w:rPr>
                <w:noProof/>
                <w:sz w:val="16"/>
                <w:szCs w:val="16"/>
              </w:rPr>
              <w:t>343,229</w:t>
            </w:r>
          </w:p>
        </w:tc>
        <w:tc>
          <w:tcPr>
            <w:tcW w:w="868" w:type="dxa"/>
          </w:tcPr>
          <w:p>
            <w:pPr>
              <w:jc w:val="center"/>
              <w:rPr>
                <w:noProof/>
                <w:sz w:val="16"/>
                <w:szCs w:val="16"/>
              </w:rPr>
            </w:pPr>
            <w:r>
              <w:rPr>
                <w:noProof/>
                <w:sz w:val="16"/>
                <w:szCs w:val="16"/>
              </w:rPr>
              <w:t>444,024</w:t>
            </w:r>
          </w:p>
        </w:tc>
        <w:tc>
          <w:tcPr>
            <w:tcW w:w="868" w:type="dxa"/>
          </w:tcPr>
          <w:p>
            <w:pPr>
              <w:jc w:val="center"/>
              <w:rPr>
                <w:noProof/>
                <w:sz w:val="16"/>
                <w:szCs w:val="16"/>
              </w:rPr>
            </w:pPr>
            <w:r>
              <w:rPr>
                <w:noProof/>
                <w:sz w:val="16"/>
                <w:szCs w:val="16"/>
              </w:rPr>
              <w:t>343,665</w:t>
            </w:r>
          </w:p>
        </w:tc>
        <w:tc>
          <w:tcPr>
            <w:tcW w:w="868" w:type="dxa"/>
          </w:tcPr>
          <w:p>
            <w:pPr>
              <w:jc w:val="center"/>
              <w:rPr>
                <w:noProof/>
                <w:sz w:val="16"/>
                <w:szCs w:val="16"/>
              </w:rPr>
            </w:pPr>
            <w:r>
              <w:rPr>
                <w:noProof/>
                <w:sz w:val="16"/>
                <w:szCs w:val="16"/>
              </w:rPr>
              <w:t>409,011</w:t>
            </w:r>
          </w:p>
        </w:tc>
        <w:tc>
          <w:tcPr>
            <w:tcW w:w="868" w:type="dxa"/>
          </w:tcPr>
          <w:p>
            <w:pPr>
              <w:jc w:val="center"/>
              <w:rPr>
                <w:noProof/>
                <w:sz w:val="16"/>
                <w:szCs w:val="16"/>
              </w:rPr>
            </w:pPr>
            <w:r>
              <w:rPr>
                <w:noProof/>
                <w:sz w:val="16"/>
                <w:szCs w:val="16"/>
              </w:rPr>
              <w:t>461,055</w:t>
            </w:r>
          </w:p>
        </w:tc>
        <w:tc>
          <w:tcPr>
            <w:tcW w:w="1289" w:type="dxa"/>
          </w:tcPr>
          <w:p>
            <w:pPr>
              <w:jc w:val="center"/>
              <w:rPr>
                <w:noProof/>
              </w:rPr>
            </w:pPr>
            <w:r>
              <w:rPr>
                <w:noProof/>
                <w:sz w:val="20"/>
              </w:rPr>
              <w:t>749,008</w:t>
            </w:r>
          </w:p>
        </w:tc>
        <w:tc>
          <w:tcPr>
            <w:tcW w:w="1289" w:type="dxa"/>
          </w:tcPr>
          <w:p>
            <w:pPr>
              <w:jc w:val="center"/>
              <w:rPr>
                <w:noProof/>
              </w:rPr>
            </w:pPr>
            <w:r>
              <w:rPr>
                <w:b/>
                <w:noProof/>
                <w:sz w:val="20"/>
              </w:rPr>
              <w:t>2 810,048</w:t>
            </w:r>
          </w:p>
        </w:tc>
      </w:tr>
    </w:tbl>
    <w:p>
      <w:pPr>
        <w:rPr>
          <w:i/>
          <w:noProof/>
        </w:rPr>
      </w:pPr>
    </w:p>
    <w:p>
      <w:pPr>
        <w:rPr>
          <w:i/>
          <w:noProof/>
        </w:rPr>
      </w:pPr>
      <w:r>
        <w:rPr>
          <w:i/>
          <w:noProof/>
        </w:rPr>
        <w:t>Okvirna raspodjela rashoda iz vanjskih namjenskih prihoda:</w:t>
      </w:r>
    </w:p>
    <w:tbl>
      <w:tblPr>
        <w:tblW w:w="13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440"/>
        <w:gridCol w:w="742"/>
        <w:gridCol w:w="716"/>
        <w:gridCol w:w="716"/>
        <w:gridCol w:w="716"/>
        <w:gridCol w:w="716"/>
        <w:gridCol w:w="716"/>
        <w:gridCol w:w="716"/>
        <w:gridCol w:w="716"/>
        <w:gridCol w:w="1017"/>
      </w:tblGrid>
      <w:tr>
        <w:tc>
          <w:tcPr>
            <w:tcW w:w="4252" w:type="dxa"/>
            <w:vAlign w:val="center"/>
          </w:tcPr>
          <w:p>
            <w:pPr>
              <w:jc w:val="center"/>
              <w:rPr>
                <w:noProof/>
                <w:sz w:val="20"/>
                <w:szCs w:val="20"/>
              </w:rPr>
            </w:pPr>
          </w:p>
        </w:tc>
        <w:tc>
          <w:tcPr>
            <w:tcW w:w="2440" w:type="dxa"/>
          </w:tcPr>
          <w:p>
            <w:pPr>
              <w:jc w:val="center"/>
              <w:rPr>
                <w:noProof/>
                <w:sz w:val="20"/>
                <w:szCs w:val="20"/>
              </w:rPr>
            </w:pPr>
          </w:p>
        </w:tc>
        <w:tc>
          <w:tcPr>
            <w:tcW w:w="742" w:type="dxa"/>
          </w:tcPr>
          <w:p>
            <w:pPr>
              <w:jc w:val="center"/>
              <w:rPr>
                <w:noProof/>
                <w:sz w:val="20"/>
                <w:szCs w:val="20"/>
              </w:rPr>
            </w:pPr>
          </w:p>
        </w:tc>
        <w:tc>
          <w:tcPr>
            <w:tcW w:w="716" w:type="dxa"/>
            <w:vAlign w:val="center"/>
          </w:tcPr>
          <w:p>
            <w:pPr>
              <w:jc w:val="center"/>
              <w:rPr>
                <w:noProof/>
                <w:sz w:val="20"/>
                <w:szCs w:val="20"/>
              </w:rPr>
            </w:pPr>
            <w:r>
              <w:rPr>
                <w:b/>
                <w:noProof/>
                <w:sz w:val="20"/>
                <w:szCs w:val="20"/>
              </w:rPr>
              <w:t>2021.</w:t>
            </w:r>
          </w:p>
        </w:tc>
        <w:tc>
          <w:tcPr>
            <w:tcW w:w="716" w:type="dxa"/>
            <w:vAlign w:val="center"/>
          </w:tcPr>
          <w:p>
            <w:pPr>
              <w:jc w:val="center"/>
              <w:rPr>
                <w:noProof/>
                <w:sz w:val="20"/>
                <w:szCs w:val="20"/>
              </w:rPr>
            </w:pPr>
            <w:r>
              <w:rPr>
                <w:b/>
                <w:noProof/>
                <w:sz w:val="20"/>
                <w:szCs w:val="20"/>
              </w:rPr>
              <w:t>2022.</w:t>
            </w:r>
          </w:p>
        </w:tc>
        <w:tc>
          <w:tcPr>
            <w:tcW w:w="716" w:type="dxa"/>
            <w:vAlign w:val="center"/>
          </w:tcPr>
          <w:p>
            <w:pPr>
              <w:jc w:val="center"/>
              <w:rPr>
                <w:noProof/>
                <w:sz w:val="20"/>
                <w:szCs w:val="20"/>
              </w:rPr>
            </w:pPr>
            <w:r>
              <w:rPr>
                <w:b/>
                <w:noProof/>
                <w:sz w:val="20"/>
                <w:szCs w:val="20"/>
              </w:rPr>
              <w:t>2023.</w:t>
            </w:r>
          </w:p>
        </w:tc>
        <w:tc>
          <w:tcPr>
            <w:tcW w:w="716" w:type="dxa"/>
            <w:vAlign w:val="center"/>
          </w:tcPr>
          <w:p>
            <w:pPr>
              <w:jc w:val="center"/>
              <w:rPr>
                <w:noProof/>
                <w:sz w:val="20"/>
                <w:szCs w:val="20"/>
              </w:rPr>
            </w:pPr>
            <w:r>
              <w:rPr>
                <w:b/>
                <w:noProof/>
                <w:sz w:val="20"/>
                <w:szCs w:val="20"/>
              </w:rPr>
              <w:t>2024.</w:t>
            </w:r>
          </w:p>
        </w:tc>
        <w:tc>
          <w:tcPr>
            <w:tcW w:w="716" w:type="dxa"/>
            <w:vAlign w:val="center"/>
          </w:tcPr>
          <w:p>
            <w:pPr>
              <w:jc w:val="center"/>
              <w:rPr>
                <w:b/>
                <w:noProof/>
                <w:sz w:val="20"/>
                <w:szCs w:val="20"/>
              </w:rPr>
            </w:pPr>
            <w:r>
              <w:rPr>
                <w:b/>
                <w:noProof/>
                <w:sz w:val="20"/>
                <w:szCs w:val="20"/>
              </w:rPr>
              <w:t>2025.</w:t>
            </w:r>
          </w:p>
        </w:tc>
        <w:tc>
          <w:tcPr>
            <w:tcW w:w="716" w:type="dxa"/>
          </w:tcPr>
          <w:p>
            <w:pPr>
              <w:jc w:val="center"/>
              <w:rPr>
                <w:b/>
                <w:noProof/>
                <w:sz w:val="20"/>
                <w:szCs w:val="20"/>
              </w:rPr>
            </w:pPr>
            <w:r>
              <w:rPr>
                <w:b/>
                <w:noProof/>
                <w:sz w:val="20"/>
                <w:szCs w:val="20"/>
              </w:rPr>
              <w:t>2026.</w:t>
            </w:r>
          </w:p>
        </w:tc>
        <w:tc>
          <w:tcPr>
            <w:tcW w:w="716" w:type="dxa"/>
          </w:tcPr>
          <w:p>
            <w:pPr>
              <w:jc w:val="center"/>
              <w:rPr>
                <w:b/>
                <w:noProof/>
                <w:sz w:val="20"/>
                <w:szCs w:val="20"/>
              </w:rPr>
            </w:pPr>
            <w:r>
              <w:rPr>
                <w:b/>
                <w:noProof/>
                <w:sz w:val="20"/>
                <w:szCs w:val="20"/>
              </w:rPr>
              <w:t>2027.</w:t>
            </w:r>
          </w:p>
        </w:tc>
        <w:tc>
          <w:tcPr>
            <w:tcW w:w="1017" w:type="dxa"/>
            <w:vAlign w:val="center"/>
          </w:tcPr>
          <w:p>
            <w:pPr>
              <w:jc w:val="center"/>
              <w:rPr>
                <w:b/>
                <w:noProof/>
                <w:sz w:val="20"/>
                <w:szCs w:val="20"/>
              </w:rPr>
            </w:pPr>
            <w:r>
              <w:rPr>
                <w:b/>
                <w:noProof/>
                <w:sz w:val="20"/>
                <w:szCs w:val="20"/>
              </w:rPr>
              <w:t>UKUPNO</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Rashodi poslovanja koji se financiraju iz vanjskih namjenskih prihoda iz Europskog instrumenta za oporavak</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Obveze</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noProof/>
                <w:color w:val="000000"/>
                <w:sz w:val="20"/>
                <w:szCs w:val="20"/>
              </w:rPr>
              <w:t>7 954,600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noProof/>
                <w:color w:val="000000"/>
                <w:sz w:val="20"/>
                <w:szCs w:val="20"/>
              </w:rPr>
              <w:t>8 114,600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8 276,600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8 441,600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32 787,400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Plaćanja</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7 310,645</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7 726,658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7 212,000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6 294,109</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4 243,988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p>
        </w:tc>
        <w:tc>
          <w:tcPr>
            <w:tcW w:w="1017"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32 787,400</w:t>
            </w:r>
          </w:p>
        </w:tc>
      </w:tr>
      <w:tr>
        <w:tc>
          <w:tcPr>
            <w:tcW w:w="425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Rashodi za administrativnu potporu koji se financiraju iz vanjskih namjenskih prihoda iz Europskog instrumenta za oporavak</w:t>
            </w:r>
          </w:p>
        </w:tc>
        <w:tc>
          <w:tcPr>
            <w:tcW w:w="2440"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Obveze = plaćanja</w:t>
            </w:r>
          </w:p>
        </w:tc>
        <w:tc>
          <w:tcPr>
            <w:tcW w:w="74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(3)</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15,600</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Ukupni rashodi koji se financiraju iz vanjskih namjenskih prihoda iz Europskog instrumenta za oporavak</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Obveze</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=1+3</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7 957,000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8 117,000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8 279,000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8 444,000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32 803,000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Plaćanja</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=2+3</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7 313,045</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7 729,058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7 214,400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6 296,509</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4 245,988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2,000</w:t>
            </w:r>
          </w:p>
        </w:tc>
        <w:tc>
          <w:tcPr>
            <w:tcW w:w="1017"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32 803,000</w:t>
            </w:r>
          </w:p>
        </w:tc>
      </w:tr>
    </w:tbl>
    <w:p>
      <w:pPr>
        <w:rPr>
          <w: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Naslov višegodišnjeg financijskog </w:t>
            </w:r>
            <w:r>
              <w:rPr>
                <w:noProof/>
              </w:rPr>
              <w:t xml:space="preserve"> </w:t>
            </w:r>
            <w:r>
              <w:rPr>
                <w:noProof/>
              </w:rPr>
              <w:br/>
            </w:r>
            <w:r>
              <w:rPr>
                <w:b/>
                <w:noProof/>
                <w:sz w:val="22"/>
              </w:rPr>
              <w:t xml:space="preserve">okvira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„Administrativni rashodi”</w:t>
            </w:r>
          </w:p>
        </w:tc>
      </w:tr>
    </w:tbl>
    <w:p>
      <w:pPr>
        <w:jc w:val="left"/>
        <w:rPr>
          <w:noProof/>
        </w:rPr>
      </w:pPr>
    </w:p>
    <w:p>
      <w:pPr>
        <w:jc w:val="right"/>
        <w:rPr>
          <w:noProof/>
          <w:sz w:val="20"/>
        </w:rPr>
      </w:pPr>
      <w:r>
        <w:rPr>
          <w:noProof/>
          <w:sz w:val="20"/>
        </w:rPr>
        <w:t>U milijunima EUR (do 3 decimalna mjesta)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Nakon 2027.</w:t>
            </w:r>
          </w:p>
        </w:tc>
        <w:tc>
          <w:tcPr>
            <w:tcW w:w="1291" w:type="dxa"/>
            <w:vAlign w:val="center"/>
          </w:tcPr>
          <w:p>
            <w:pPr>
              <w:jc w:val="center"/>
              <w:rPr>
                <w:b/>
                <w:noProof/>
                <w:sz w:val="20"/>
              </w:rPr>
            </w:pPr>
            <w:r>
              <w:rPr>
                <w:b/>
                <w:noProof/>
                <w:sz w:val="20"/>
              </w:rPr>
              <w:t>UKUPNO</w:t>
            </w:r>
          </w:p>
        </w:tc>
      </w:tr>
      <w:tr>
        <w:trPr>
          <w:trHeight w:val="313"/>
          <w:jc w:val="center"/>
        </w:trPr>
        <w:tc>
          <w:tcPr>
            <w:tcW w:w="6245" w:type="dxa"/>
            <w:gridSpan w:val="2"/>
            <w:vAlign w:val="center"/>
          </w:tcPr>
          <w:p>
            <w:pPr>
              <w:spacing w:before="20" w:after="20"/>
              <w:rPr>
                <w:noProof/>
              </w:rPr>
            </w:pPr>
            <w:r>
              <w:rPr>
                <w:noProof/>
                <w:sz w:val="22"/>
              </w:rPr>
              <w:t xml:space="preserve">Ljudski resursi </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b/>
                <w:noProof/>
                <w:sz w:val="20"/>
              </w:rPr>
            </w:pPr>
            <w:r>
              <w:rPr>
                <w:b/>
                <w:noProof/>
                <w:sz w:val="20"/>
              </w:rPr>
              <w:t>1,500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10,500</w:t>
            </w:r>
          </w:p>
        </w:tc>
      </w:tr>
      <w:tr>
        <w:trPr>
          <w:trHeight w:val="351"/>
          <w:jc w:val="center"/>
        </w:trPr>
        <w:tc>
          <w:tcPr>
            <w:tcW w:w="6245" w:type="dxa"/>
            <w:gridSpan w:val="2"/>
            <w:vAlign w:val="center"/>
          </w:tcPr>
          <w:p>
            <w:pPr>
              <w:spacing w:before="20" w:after="20"/>
              <w:rPr>
                <w:noProof/>
              </w:rPr>
            </w:pPr>
            <w:r>
              <w:rPr>
                <w:noProof/>
                <w:sz w:val="22"/>
              </w:rPr>
              <w:t xml:space="preserve">Ostali administrativni rashodi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UKUPNA odobrena sredstva iz NASLOVA 7. višegodišnjeg financijskog okvira</w:t>
            </w:r>
          </w:p>
        </w:tc>
        <w:tc>
          <w:tcPr>
            <w:tcW w:w="2046" w:type="dxa"/>
            <w:vAlign w:val="center"/>
          </w:tcPr>
          <w:p>
            <w:pPr>
              <w:spacing w:before="20" w:after="20"/>
              <w:rPr>
                <w:noProof/>
                <w:sz w:val="22"/>
              </w:rPr>
            </w:pPr>
            <w:r>
              <w:rPr>
                <w:noProof/>
                <w:sz w:val="18"/>
              </w:rPr>
              <w:t>(ukupne obveze = ukupna plaćanja)</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10,500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bookmarkStart w:id="44" w:name="_Toc514941993"/>
      <w:bookmarkStart w:id="45" w:name="_Toc39839413"/>
      <w:r>
        <w:t>3.2.2.</w:t>
      </w:r>
      <w:r>
        <w:tab/>
      </w:r>
      <w:r>
        <w:rPr>
          <w:noProof/>
        </w:rPr>
        <w:t>Sažetak procijenjenog učinka na administrativna odobrena sredstva</w:t>
      </w:r>
      <w:bookmarkEnd w:id="44"/>
      <w:bookmarkEnd w:id="45"/>
    </w:p>
    <w:p>
      <w:pPr>
        <w:tabs>
          <w:tab w:val="num" w:pos="1134"/>
        </w:tabs>
        <w:ind w:left="1134" w:hanging="283"/>
        <w:rPr>
          <w:rFonts w:eastAsia="Times New Roman"/>
          <w:noProof/>
        </w:rPr>
      </w:pPr>
      <w:r>
        <w:rPr>
          <w:noProof/>
        </w:rPr>
        <w:sym w:font="Wingdings" w:char="F0A8"/>
      </w:r>
      <w:r>
        <w:rPr>
          <w:noProof/>
        </w:rPr>
        <w:tab/>
        <w:t xml:space="preserve">Za prijedlog/inicijativu nisu potrebna administrativna odobrena sredstva. </w:t>
      </w:r>
    </w:p>
    <w:p>
      <w:pPr>
        <w:tabs>
          <w:tab w:val="num" w:pos="1134"/>
        </w:tabs>
        <w:ind w:left="1134" w:hanging="283"/>
        <w:rPr>
          <w:rFonts w:eastAsia="Times New Roman"/>
          <w:noProof/>
        </w:rPr>
      </w:pPr>
      <w:r>
        <w:rPr>
          <w:noProof/>
        </w:rPr>
        <w:t>X</w:t>
      </w:r>
      <w:r>
        <w:rPr>
          <w:noProof/>
        </w:rPr>
        <w:tab/>
        <w:t>Za prijedlog/inicijativu potrebna su sljedeća administrativna odobrena sredstva:</w:t>
      </w:r>
    </w:p>
    <w:p>
      <w:pPr>
        <w:rPr>
          <w:noProof/>
          <w:sz w:val="20"/>
        </w:rPr>
      </w:pPr>
      <w:r>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Godine</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18"/>
              </w:rPr>
              <w:t>2024.</w:t>
            </w:r>
          </w:p>
        </w:tc>
        <w:tc>
          <w:tcPr>
            <w:tcW w:w="1080" w:type="dxa"/>
            <w:vAlign w:val="center"/>
          </w:tcPr>
          <w:p>
            <w:pPr>
              <w:spacing w:line="200" w:lineRule="exact"/>
              <w:jc w:val="center"/>
              <w:rPr>
                <w:b/>
                <w:noProof/>
                <w:sz w:val="16"/>
                <w:szCs w:val="16"/>
              </w:rPr>
            </w:pPr>
            <w:r>
              <w:rPr>
                <w:b/>
                <w:noProof/>
                <w:sz w:val="18"/>
              </w:rPr>
              <w:t>2025.</w:t>
            </w:r>
          </w:p>
        </w:tc>
        <w:tc>
          <w:tcPr>
            <w:tcW w:w="1080" w:type="dxa"/>
          </w:tcPr>
          <w:p>
            <w:pPr>
              <w:spacing w:before="60" w:after="60" w:line="200" w:lineRule="exact"/>
              <w:jc w:val="center"/>
              <w:rPr>
                <w:b/>
                <w:noProof/>
                <w:sz w:val="16"/>
              </w:rPr>
            </w:pPr>
            <w:r>
              <w:rPr>
                <w:b/>
                <w:noProof/>
                <w:sz w:val="16"/>
              </w:rPr>
              <w:t>2026.</w:t>
            </w:r>
          </w:p>
        </w:tc>
        <w:tc>
          <w:tcPr>
            <w:tcW w:w="1080" w:type="dxa"/>
          </w:tcPr>
          <w:p>
            <w:pPr>
              <w:spacing w:before="60" w:after="60" w:line="200" w:lineRule="exact"/>
              <w:jc w:val="center"/>
              <w:rPr>
                <w:b/>
                <w:noProof/>
                <w:sz w:val="16"/>
              </w:rPr>
            </w:pPr>
            <w:r>
              <w:rPr>
                <w:b/>
                <w:noProof/>
                <w:sz w:val="16"/>
              </w:rPr>
              <w:t>2027.</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7.</w:t>
            </w:r>
            <w:r>
              <w:rPr>
                <w:noProof/>
              </w:rPr>
              <w:t xml:space="preserve"> </w:t>
            </w:r>
            <w:r>
              <w:rPr>
                <w:noProof/>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b/>
                <w:noProof/>
                <w:sz w:val="16"/>
                <w:szCs w:val="16"/>
              </w:rPr>
            </w:pPr>
            <w:r>
              <w:rPr>
                <w:b/>
                <w:noProof/>
                <w:sz w:val="16"/>
                <w:szCs w:val="16"/>
              </w:rPr>
              <w:t>1,500</w:t>
            </w:r>
          </w:p>
        </w:tc>
        <w:tc>
          <w:tcPr>
            <w:tcW w:w="1080" w:type="dxa"/>
          </w:tcPr>
          <w:p>
            <w:pPr>
              <w:spacing w:before="60" w:after="60" w:line="200" w:lineRule="exact"/>
              <w:jc w:val="right"/>
              <w:rPr>
                <w:b/>
                <w:noProof/>
                <w:sz w:val="16"/>
                <w:szCs w:val="16"/>
              </w:rPr>
            </w:pPr>
            <w:r>
              <w:rPr>
                <w:b/>
                <w:noProof/>
                <w:sz w:val="16"/>
                <w:szCs w:val="16"/>
              </w:rPr>
              <w:t>1,500</w:t>
            </w:r>
          </w:p>
        </w:tc>
        <w:tc>
          <w:tcPr>
            <w:tcW w:w="1080" w:type="dxa"/>
          </w:tcPr>
          <w:p>
            <w:pPr>
              <w:spacing w:before="60" w:after="60" w:line="200" w:lineRule="exact"/>
              <w:jc w:val="right"/>
              <w:rPr>
                <w:b/>
                <w:noProof/>
                <w:sz w:val="16"/>
                <w:szCs w:val="16"/>
              </w:rPr>
            </w:pPr>
            <w:r>
              <w:rPr>
                <w:b/>
                <w:noProof/>
                <w:sz w:val="16"/>
                <w:szCs w:val="16"/>
              </w:rPr>
              <w:t>10,500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7.</w:t>
            </w:r>
            <w:r>
              <w:rPr>
                <w:noProof/>
              </w:rPr>
              <w:t xml:space="preserve"> </w:t>
            </w:r>
            <w:r>
              <w:rPr>
                <w:noProof/>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7.</w:t>
            </w:r>
            <w:r>
              <w:rPr>
                <w:noProof/>
              </w:rPr>
              <w:t xml:space="preserve"> </w:t>
            </w:r>
            <w:r>
              <w:rPr>
                <w:noProof/>
              </w:rPr>
              <w:br/>
            </w:r>
            <w:r>
              <w:rPr>
                <w:b/>
                <w:noProof/>
                <w:sz w:val="16"/>
              </w:rPr>
              <w:t xml:space="preserve">višegodišnjeg financijskog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tcPr>
          <w:p>
            <w:pPr>
              <w:spacing w:before="60" w:after="60" w:line="200" w:lineRule="exact"/>
              <w:jc w:val="right"/>
              <w:rPr>
                <w:noProof/>
                <w:sz w:val="16"/>
                <w:szCs w:val="16"/>
              </w:rPr>
            </w:pPr>
            <w:r>
              <w:rPr>
                <w:noProof/>
                <w:sz w:val="20"/>
                <w:szCs w:val="20"/>
              </w:rPr>
              <w:t>2,400</w:t>
            </w:r>
          </w:p>
        </w:tc>
        <w:tc>
          <w:tcPr>
            <w:tcW w:w="1080" w:type="dxa"/>
          </w:tcPr>
          <w:p>
            <w:pPr>
              <w:spacing w:before="60" w:after="60" w:line="200" w:lineRule="exact"/>
              <w:jc w:val="right"/>
              <w:rPr>
                <w:noProof/>
                <w:sz w:val="16"/>
                <w:szCs w:val="16"/>
              </w:rPr>
            </w:pPr>
            <w:r>
              <w:rPr>
                <w:noProof/>
                <w:sz w:val="20"/>
                <w:szCs w:val="20"/>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15,600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w:t>
            </w:r>
            <w:r>
              <w:rPr>
                <w:noProof/>
              </w:rPr>
              <w:t xml:space="preserve"> </w:t>
            </w:r>
            <w:r>
              <w:rPr>
                <w:noProof/>
              </w:rPr>
              <w:br/>
            </w:r>
            <w:r>
              <w:rPr>
                <w:noProof/>
                <w:sz w:val="16"/>
              </w:rPr>
              <w:t>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rPr>
              <w:t xml:space="preserve"> </w:t>
            </w:r>
            <w:r>
              <w:rPr>
                <w:noProof/>
              </w:rPr>
              <w:br/>
            </w:r>
            <w:r>
              <w:rPr>
                <w:b/>
                <w:noProof/>
                <w:sz w:val="16"/>
              </w:rPr>
              <w:t>izvan NASLOVA 7.</w:t>
            </w:r>
            <w:r>
              <w:rPr>
                <w:noProof/>
              </w:rPr>
              <w:t xml:space="preserve"> </w:t>
            </w:r>
            <w:r>
              <w:rPr>
                <w:noProof/>
              </w:rPr>
              <w:br/>
            </w:r>
            <w:r>
              <w:rPr>
                <w:b/>
                <w:noProof/>
                <w:sz w:val="16"/>
              </w:rPr>
              <w:t xml:space="preserve">višegodišnjeg financijskog okvira </w:t>
            </w:r>
          </w:p>
        </w:tc>
        <w:tc>
          <w:tcPr>
            <w:tcW w:w="1080" w:type="dxa"/>
          </w:tcPr>
          <w:p>
            <w:pPr>
              <w:spacing w:before="60" w:after="60" w:line="200" w:lineRule="exact"/>
              <w:jc w:val="right"/>
              <w:rPr>
                <w:noProof/>
                <w:sz w:val="16"/>
                <w:szCs w:val="16"/>
              </w:rPr>
            </w:pPr>
            <w:r>
              <w:rPr>
                <w:noProof/>
                <w:sz w:val="20"/>
                <w:szCs w:val="20"/>
              </w:rPr>
              <w:t>2,400</w:t>
            </w:r>
          </w:p>
        </w:tc>
        <w:tc>
          <w:tcPr>
            <w:tcW w:w="1080" w:type="dxa"/>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15,600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3,900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3,900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3,900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3,900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b/>
                <w:noProof/>
                <w:sz w:val="16"/>
                <w:szCs w:val="16"/>
              </w:rPr>
              <w:t>26,100</w:t>
            </w:r>
          </w:p>
        </w:tc>
      </w:tr>
    </w:tbl>
    <w:p>
      <w:pPr>
        <w:rPr>
          <w:noProof/>
          <w:sz w:val="18"/>
        </w:r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dodatnim sredstvima koja se mogu dodijeliti nadležnoj glavnoj upravi u okviru godišnjeg postupka dodjele sredstava uzimajući u obzir proračunska ograničenja.</w:t>
      </w:r>
    </w:p>
    <w:p>
      <w:pPr>
        <w:spacing w:before="0" w:after="200" w:line="276" w:lineRule="auto"/>
        <w:jc w:val="left"/>
        <w:rPr>
          <w:noProof/>
          <w:sz w:val="18"/>
        </w:rPr>
      </w:pPr>
      <w:r>
        <w:rPr>
          <w:noProof/>
        </w:rPr>
        <w:br w:type="page"/>
      </w:r>
    </w:p>
    <w:p>
      <w:pPr>
        <w:pStyle w:val="ManualHeading4"/>
        <w:rPr>
          <w:noProof/>
          <w:szCs w:val="24"/>
        </w:rPr>
      </w:pPr>
      <w:r>
        <w:t>3.2.2.1.</w:t>
      </w:r>
      <w:r>
        <w:tab/>
      </w:r>
      <w:r>
        <w:rPr>
          <w:noProof/>
        </w:rPr>
        <w:t>Procijenjene potrebe u pogledu ljudskih resursa</w:t>
      </w:r>
    </w:p>
    <w:p>
      <w:pPr>
        <w:tabs>
          <w:tab w:val="num" w:pos="1134"/>
        </w:tabs>
        <w:ind w:left="1134" w:hanging="283"/>
        <w:rPr>
          <w:rFonts w:eastAsia="Times New Roman"/>
          <w:noProof/>
        </w:rPr>
      </w:pPr>
      <w:r>
        <w:rPr>
          <w:noProof/>
        </w:rPr>
        <w:sym w:font="Wingdings" w:char="F0A8"/>
      </w:r>
      <w:r>
        <w:rPr>
          <w:noProof/>
        </w:rPr>
        <w:tab/>
        <w:t xml:space="preserve">Za prijedlog/inicijativu nisu potrebni ljudski resursi. </w:t>
      </w:r>
    </w:p>
    <w:p>
      <w:pPr>
        <w:tabs>
          <w:tab w:val="num" w:pos="1134"/>
        </w:tabs>
        <w:ind w:left="1134" w:hanging="283"/>
        <w:rPr>
          <w:rFonts w:eastAsia="Times New Roman"/>
          <w:noProof/>
        </w:rPr>
      </w:pPr>
      <w:r>
        <w:rPr>
          <w:noProof/>
        </w:rPr>
        <w:t>X</w:t>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324"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38"/>
        <w:gridCol w:w="1442"/>
        <w:gridCol w:w="1044"/>
        <w:gridCol w:w="912"/>
        <w:gridCol w:w="1044"/>
        <w:gridCol w:w="1042"/>
        <w:gridCol w:w="914"/>
        <w:gridCol w:w="1028"/>
        <w:gridCol w:w="1025"/>
      </w:tblGrid>
      <w:tr>
        <w:trPr>
          <w:trHeight w:val="289"/>
        </w:trPr>
        <w:tc>
          <w:tcPr>
            <w:tcW w:w="1456" w:type="pct"/>
            <w:gridSpan w:val="2"/>
            <w:vAlign w:val="center"/>
          </w:tcPr>
          <w:p>
            <w:pPr>
              <w:spacing w:before="40" w:after="40"/>
              <w:jc w:val="center"/>
              <w:rPr>
                <w:i/>
                <w:noProof/>
                <w:sz w:val="16"/>
                <w:szCs w:val="16"/>
              </w:rPr>
            </w:pPr>
            <w:r>
              <w:rPr>
                <w:b/>
                <w:noProof/>
                <w:sz w:val="16"/>
                <w:szCs w:val="16"/>
              </w:rPr>
              <w:t>Godine</w:t>
            </w:r>
          </w:p>
        </w:tc>
        <w:tc>
          <w:tcPr>
            <w:tcW w:w="528" w:type="pct"/>
            <w:shd w:val="clear" w:color="auto" w:fill="auto"/>
            <w:vAlign w:val="center"/>
          </w:tcPr>
          <w:p>
            <w:pPr>
              <w:spacing w:before="20" w:after="20"/>
              <w:jc w:val="center"/>
              <w:rPr>
                <w:b/>
                <w:noProof/>
                <w:sz w:val="20"/>
              </w:rPr>
            </w:pPr>
            <w:r>
              <w:rPr>
                <w:b/>
                <w:noProof/>
                <w:sz w:val="20"/>
              </w:rPr>
              <w:t>2021.</w:t>
            </w:r>
          </w:p>
        </w:tc>
        <w:tc>
          <w:tcPr>
            <w:tcW w:w="461" w:type="pct"/>
            <w:shd w:val="clear" w:color="auto" w:fill="auto"/>
            <w:vAlign w:val="center"/>
          </w:tcPr>
          <w:p>
            <w:pPr>
              <w:spacing w:before="20" w:after="20"/>
              <w:jc w:val="center"/>
              <w:rPr>
                <w:b/>
                <w:noProof/>
                <w:sz w:val="20"/>
              </w:rPr>
            </w:pPr>
            <w:r>
              <w:rPr>
                <w:b/>
                <w:noProof/>
                <w:sz w:val="20"/>
              </w:rPr>
              <w:t>2022.</w:t>
            </w:r>
          </w:p>
        </w:tc>
        <w:tc>
          <w:tcPr>
            <w:tcW w:w="528" w:type="pct"/>
            <w:shd w:val="clear" w:color="auto" w:fill="auto"/>
            <w:vAlign w:val="center"/>
          </w:tcPr>
          <w:p>
            <w:pPr>
              <w:spacing w:before="20" w:after="20"/>
              <w:jc w:val="center"/>
              <w:rPr>
                <w:b/>
                <w:noProof/>
                <w:sz w:val="20"/>
              </w:rPr>
            </w:pPr>
            <w:r>
              <w:rPr>
                <w:b/>
                <w:noProof/>
                <w:sz w:val="20"/>
              </w:rPr>
              <w:t>2023.</w:t>
            </w:r>
          </w:p>
        </w:tc>
        <w:tc>
          <w:tcPr>
            <w:tcW w:w="527" w:type="pct"/>
            <w:shd w:val="clear" w:color="auto" w:fill="auto"/>
            <w:vAlign w:val="center"/>
          </w:tcPr>
          <w:p>
            <w:pPr>
              <w:jc w:val="center"/>
              <w:rPr>
                <w:b/>
                <w:noProof/>
                <w:sz w:val="20"/>
              </w:rPr>
            </w:pPr>
            <w:r>
              <w:rPr>
                <w:b/>
                <w:noProof/>
                <w:sz w:val="20"/>
              </w:rPr>
              <w:t>2024.</w:t>
            </w:r>
          </w:p>
        </w:tc>
        <w:tc>
          <w:tcPr>
            <w:tcW w:w="462" w:type="pct"/>
            <w:shd w:val="clear" w:color="auto" w:fill="auto"/>
            <w:vAlign w:val="center"/>
          </w:tcPr>
          <w:p>
            <w:pPr>
              <w:jc w:val="center"/>
              <w:rPr>
                <w:b/>
                <w:noProof/>
                <w:sz w:val="20"/>
              </w:rPr>
            </w:pPr>
            <w:r>
              <w:rPr>
                <w:b/>
                <w:noProof/>
                <w:sz w:val="20"/>
              </w:rPr>
              <w:t>2025.</w:t>
            </w:r>
          </w:p>
        </w:tc>
        <w:tc>
          <w:tcPr>
            <w:tcW w:w="520" w:type="pct"/>
            <w:shd w:val="clear" w:color="auto" w:fill="auto"/>
            <w:vAlign w:val="center"/>
          </w:tcPr>
          <w:p>
            <w:pPr>
              <w:jc w:val="center"/>
              <w:rPr>
                <w:b/>
                <w:noProof/>
                <w:sz w:val="20"/>
              </w:rPr>
            </w:pPr>
            <w:r>
              <w:rPr>
                <w:b/>
                <w:noProof/>
                <w:sz w:val="20"/>
              </w:rPr>
              <w:t>2026.</w:t>
            </w:r>
          </w:p>
        </w:tc>
        <w:tc>
          <w:tcPr>
            <w:tcW w:w="518" w:type="pct"/>
          </w:tcPr>
          <w:p>
            <w:pPr>
              <w:jc w:val="center"/>
              <w:rPr>
                <w:b/>
                <w:noProof/>
                <w:sz w:val="20"/>
              </w:rPr>
            </w:pPr>
            <w:r>
              <w:rPr>
                <w:b/>
                <w:noProof/>
                <w:sz w:val="20"/>
              </w:rPr>
              <w:t>2027.</w:t>
            </w:r>
          </w:p>
        </w:tc>
      </w:tr>
      <w:tr>
        <w:trPr>
          <w:trHeight w:val="289"/>
        </w:trPr>
        <w:tc>
          <w:tcPr>
            <w:tcW w:w="1456" w:type="pct"/>
            <w:gridSpan w:val="2"/>
          </w:tcPr>
          <w:p>
            <w:pPr>
              <w:spacing w:beforeLines="20" w:before="48" w:afterLines="20" w:after="48"/>
              <w:ind w:left="134"/>
              <w:jc w:val="left"/>
              <w:rPr>
                <w:b/>
                <w:noProof/>
                <w:sz w:val="16"/>
                <w:szCs w:val="16"/>
              </w:rPr>
            </w:pPr>
            <w:r>
              <w:rPr>
                <w:noProof/>
                <w:sz w:val="16"/>
              </w:rPr>
              <w:t>Sjedište i predstavništva Komisije</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10</w:t>
            </w:r>
          </w:p>
        </w:tc>
        <w:tc>
          <w:tcPr>
            <w:tcW w:w="461"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10</w:t>
            </w:r>
          </w:p>
        </w:tc>
        <w:tc>
          <w:tcPr>
            <w:tcW w:w="462"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0"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18" w:type="pct"/>
          </w:tcPr>
          <w:p>
            <w:pPr>
              <w:spacing w:beforeLines="20" w:before="48" w:afterLines="20" w:after="48"/>
              <w:jc w:val="center"/>
              <w:rPr>
                <w:noProof/>
                <w:sz w:val="16"/>
                <w:szCs w:val="16"/>
              </w:rPr>
            </w:pPr>
            <w:r>
              <w:rPr>
                <w:noProof/>
                <w:sz w:val="16"/>
                <w:szCs w:val="16"/>
              </w:rPr>
              <w:t>10</w:t>
            </w:r>
          </w:p>
        </w:tc>
      </w:tr>
      <w:tr>
        <w:trPr>
          <w:trHeight w:val="289"/>
        </w:trPr>
        <w:tc>
          <w:tcPr>
            <w:tcW w:w="1456" w:type="pct"/>
            <w:gridSpan w:val="2"/>
          </w:tcPr>
          <w:p>
            <w:pPr>
              <w:spacing w:beforeLines="20" w:before="48" w:afterLines="20" w:after="48"/>
              <w:ind w:left="134"/>
              <w:jc w:val="left"/>
              <w:rPr>
                <w:noProof/>
                <w:sz w:val="16"/>
                <w:szCs w:val="16"/>
              </w:rPr>
            </w:pPr>
            <w:r>
              <w:rPr>
                <w:noProof/>
                <w:sz w:val="16"/>
              </w:rPr>
              <w:t>Delegacije</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Pr>
          <w:p>
            <w:pPr>
              <w:spacing w:beforeLines="20" w:before="48" w:afterLines="20" w:after="48"/>
              <w:ind w:left="134"/>
              <w:jc w:val="left"/>
              <w:rPr>
                <w:noProof/>
                <w:sz w:val="16"/>
                <w:szCs w:val="16"/>
              </w:rPr>
            </w:pPr>
            <w:r>
              <w:rPr>
                <w:noProof/>
                <w:sz w:val="16"/>
              </w:rPr>
              <w:t>Istraživanje</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485"/>
        </w:trPr>
        <w:tc>
          <w:tcPr>
            <w:tcW w:w="727" w:type="pct"/>
            <w:vMerge w:val="restart"/>
            <w:vAlign w:val="center"/>
          </w:tcPr>
          <w:p>
            <w:pPr>
              <w:spacing w:beforeLines="20" w:before="48" w:afterLines="20" w:after="48"/>
              <w:ind w:left="136"/>
              <w:jc w:val="left"/>
              <w:rPr>
                <w:b/>
                <w:noProof/>
                <w:sz w:val="16"/>
                <w:szCs w:val="16"/>
              </w:rPr>
            </w:pPr>
            <w:r>
              <w:rPr>
                <w:noProof/>
                <w:sz w:val="16"/>
                <w:szCs w:val="16"/>
              </w:rPr>
              <w:t>Financirano iz NASLOVA 7. višegodišnjeg financijskog okvira</w:t>
            </w:r>
            <w:r>
              <w:rPr>
                <w:b/>
                <w:noProof/>
                <w:sz w:val="16"/>
              </w:rPr>
              <w:t xml:space="preserve"> </w:t>
            </w:r>
          </w:p>
        </w:tc>
        <w:tc>
          <w:tcPr>
            <w:tcW w:w="729" w:type="pct"/>
            <w:vAlign w:val="center"/>
          </w:tcPr>
          <w:p>
            <w:pPr>
              <w:spacing w:beforeLines="20" w:before="48" w:afterLines="20" w:after="48"/>
              <w:ind w:left="136"/>
              <w:jc w:val="left"/>
              <w:rPr>
                <w:b/>
                <w:noProof/>
                <w:sz w:val="16"/>
                <w:szCs w:val="16"/>
              </w:rPr>
            </w:pPr>
            <w:r>
              <w:rPr>
                <w:noProof/>
                <w:sz w:val="16"/>
              </w:rPr>
              <w:t>– u sjedištima</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727" w:type="pct"/>
            <w:vMerge/>
            <w:vAlign w:val="center"/>
          </w:tcPr>
          <w:p>
            <w:pPr>
              <w:spacing w:beforeLines="20" w:before="48" w:afterLines="20" w:after="48"/>
              <w:ind w:left="136"/>
              <w:jc w:val="left"/>
              <w:rPr>
                <w:noProof/>
                <w:sz w:val="16"/>
                <w:szCs w:val="16"/>
              </w:rPr>
            </w:pPr>
          </w:p>
        </w:tc>
        <w:tc>
          <w:tcPr>
            <w:tcW w:w="729" w:type="pct"/>
            <w:vAlign w:val="center"/>
          </w:tcPr>
          <w:p>
            <w:pPr>
              <w:spacing w:beforeLines="20" w:before="48" w:afterLines="20" w:after="48"/>
              <w:ind w:left="136"/>
              <w:jc w:val="left"/>
              <w:rPr>
                <w:noProof/>
                <w:sz w:val="16"/>
                <w:szCs w:val="16"/>
              </w:rPr>
            </w:pPr>
            <w:r>
              <w:rPr>
                <w:noProof/>
                <w:sz w:val="16"/>
              </w:rPr>
              <w:t xml:space="preserve">– u delegacijama </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370"/>
        </w:trPr>
        <w:tc>
          <w:tcPr>
            <w:tcW w:w="727" w:type="pct"/>
            <w:vMerge w:val="restart"/>
            <w:vAlign w:val="center"/>
          </w:tcPr>
          <w:p>
            <w:pPr>
              <w:spacing w:beforeLines="20" w:before="48" w:afterLines="20" w:after="48"/>
              <w:ind w:left="136"/>
              <w:jc w:val="left"/>
              <w:rPr>
                <w:b/>
                <w:noProof/>
                <w:sz w:val="16"/>
                <w:szCs w:val="16"/>
              </w:rPr>
            </w:pPr>
            <w:r>
              <w:rPr>
                <w:noProof/>
                <w:sz w:val="16"/>
                <w:szCs w:val="16"/>
              </w:rPr>
              <w:t>Financirano iz omotnice programa</w:t>
            </w:r>
            <w:r>
              <w:rPr>
                <w:b/>
                <w:noProof/>
                <w:sz w:val="16"/>
                <w:szCs w:val="16"/>
              </w:rPr>
              <w:t xml:space="preserve"> </w:t>
            </w:r>
            <w:r>
              <w:rPr>
                <w:rStyle w:val="FootnoteReference"/>
                <w:b/>
                <w:noProof/>
                <w:sz w:val="16"/>
                <w:szCs w:val="16"/>
              </w:rPr>
              <w:footnoteReference w:id="12"/>
            </w:r>
          </w:p>
        </w:tc>
        <w:tc>
          <w:tcPr>
            <w:tcW w:w="729" w:type="pct"/>
            <w:shd w:val="clear" w:color="auto" w:fill="auto"/>
            <w:vAlign w:val="center"/>
          </w:tcPr>
          <w:p>
            <w:pPr>
              <w:spacing w:beforeLines="20" w:before="48" w:afterLines="20" w:after="48"/>
              <w:ind w:left="136"/>
              <w:jc w:val="left"/>
              <w:rPr>
                <w:b/>
                <w:noProof/>
                <w:sz w:val="16"/>
                <w:szCs w:val="16"/>
              </w:rPr>
            </w:pPr>
            <w:r>
              <w:rPr>
                <w:noProof/>
                <w:sz w:val="16"/>
              </w:rPr>
              <w:t>– u sjedištima</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727" w:type="pct"/>
            <w:vMerge/>
          </w:tcPr>
          <w:p>
            <w:pPr>
              <w:spacing w:beforeLines="20" w:before="48" w:afterLines="20" w:after="48"/>
              <w:ind w:left="136"/>
              <w:jc w:val="left"/>
              <w:rPr>
                <w:b/>
                <w:noProof/>
                <w:sz w:val="16"/>
                <w:szCs w:val="16"/>
              </w:rPr>
            </w:pPr>
          </w:p>
        </w:tc>
        <w:tc>
          <w:tcPr>
            <w:tcW w:w="729" w:type="pct"/>
            <w:shd w:val="clear" w:color="auto" w:fill="auto"/>
            <w:vAlign w:val="center"/>
          </w:tcPr>
          <w:p>
            <w:pPr>
              <w:spacing w:beforeLines="20" w:before="48" w:afterLines="20" w:after="48"/>
              <w:ind w:left="136"/>
              <w:jc w:val="left"/>
              <w:rPr>
                <w:b/>
                <w:noProof/>
                <w:sz w:val="16"/>
                <w:szCs w:val="16"/>
              </w:rPr>
            </w:pPr>
            <w:r>
              <w:rPr>
                <w:noProof/>
                <w:sz w:val="16"/>
              </w:rPr>
              <w:t xml:space="preserve">– u delegacijama </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Pr>
          <w:p>
            <w:pPr>
              <w:spacing w:beforeLines="20" w:before="48" w:afterLines="20" w:after="48"/>
              <w:ind w:left="136"/>
              <w:jc w:val="left"/>
              <w:rPr>
                <w:noProof/>
                <w:sz w:val="16"/>
                <w:szCs w:val="16"/>
              </w:rPr>
            </w:pPr>
            <w:r>
              <w:rPr>
                <w:noProof/>
                <w:sz w:val="16"/>
                <w:szCs w:val="16"/>
              </w:rPr>
              <w:t>Istraživanje</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Borders>
              <w:top w:val="single" w:sz="6" w:space="0" w:color="auto"/>
              <w:left w:val="single" w:sz="6" w:space="0" w:color="auto"/>
              <w:bottom w:val="double" w:sz="4" w:space="0" w:color="auto"/>
              <w:right w:val="single" w:sz="6" w:space="0" w:color="auto"/>
            </w:tcBorders>
          </w:tcPr>
          <w:p>
            <w:pPr>
              <w:spacing w:beforeLines="20" w:before="48" w:afterLines="20" w:after="48"/>
              <w:ind w:left="134"/>
              <w:jc w:val="left"/>
              <w:rPr>
                <w:noProof/>
                <w:sz w:val="16"/>
              </w:rPr>
            </w:pPr>
            <w:r>
              <w:rPr>
                <w:noProof/>
                <w:sz w:val="16"/>
              </w:rPr>
              <w:t>Ostalo (namjenski prihodi)</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30</w:t>
            </w:r>
          </w:p>
        </w:tc>
        <w:tc>
          <w:tcPr>
            <w:tcW w:w="461" w:type="pct"/>
            <w:shd w:val="clear" w:color="auto" w:fill="auto"/>
            <w:vAlign w:val="center"/>
          </w:tcPr>
          <w:p>
            <w:pPr>
              <w:spacing w:beforeLines="20" w:before="48" w:afterLines="20" w:after="48"/>
              <w:jc w:val="center"/>
              <w:rPr>
                <w:noProof/>
                <w:sz w:val="16"/>
                <w:szCs w:val="16"/>
              </w:rPr>
            </w:pPr>
            <w:r>
              <w:rPr>
                <w:noProof/>
                <w:sz w:val="16"/>
                <w:szCs w:val="16"/>
              </w:rPr>
              <w:t>30</w:t>
            </w:r>
          </w:p>
        </w:tc>
        <w:tc>
          <w:tcPr>
            <w:tcW w:w="528"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527"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462"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25</w:t>
            </w:r>
          </w:p>
        </w:tc>
        <w:tc>
          <w:tcPr>
            <w:tcW w:w="520"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25</w:t>
            </w:r>
          </w:p>
        </w:tc>
        <w:tc>
          <w:tcPr>
            <w:tcW w:w="518" w:type="pct"/>
            <w:tcBorders>
              <w:top w:val="single" w:sz="6" w:space="0" w:color="auto"/>
              <w:left w:val="single" w:sz="6" w:space="0" w:color="auto"/>
              <w:bottom w:val="double" w:sz="4" w:space="0" w:color="auto"/>
              <w:right w:val="single" w:sz="6" w:space="0" w:color="auto"/>
            </w:tcBorders>
          </w:tcPr>
          <w:p>
            <w:pPr>
              <w:spacing w:beforeLines="20" w:before="48" w:afterLines="20" w:after="48"/>
              <w:jc w:val="center"/>
              <w:rPr>
                <w:noProof/>
                <w:sz w:val="16"/>
                <w:szCs w:val="16"/>
              </w:rPr>
            </w:pPr>
            <w:r>
              <w:rPr>
                <w:noProof/>
                <w:sz w:val="16"/>
                <w:szCs w:val="16"/>
              </w:rPr>
              <w:t>25</w:t>
            </w:r>
          </w:p>
        </w:tc>
      </w:tr>
      <w:tr>
        <w:trPr>
          <w:trHeight w:val="289"/>
        </w:trPr>
        <w:tc>
          <w:tcPr>
            <w:tcW w:w="1456" w:type="pct"/>
            <w:gridSpan w:val="2"/>
            <w:tcBorders>
              <w:top w:val="double" w:sz="4" w:space="0" w:color="auto"/>
            </w:tcBorders>
          </w:tcPr>
          <w:p>
            <w:pPr>
              <w:spacing w:beforeLines="20" w:before="48" w:afterLines="20" w:after="48"/>
              <w:ind w:left="136"/>
              <w:jc w:val="left"/>
              <w:rPr>
                <w:noProof/>
                <w:sz w:val="16"/>
                <w:szCs w:val="16"/>
              </w:rPr>
            </w:pPr>
            <w:r>
              <w:rPr>
                <w:b/>
                <w:noProof/>
                <w:sz w:val="16"/>
              </w:rPr>
              <w:t>UKUPNO</w:t>
            </w:r>
          </w:p>
        </w:tc>
        <w:tc>
          <w:tcPr>
            <w:tcW w:w="5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35</w:t>
            </w:r>
          </w:p>
        </w:tc>
        <w:tc>
          <w:tcPr>
            <w:tcW w:w="52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35</w:t>
            </w:r>
          </w:p>
        </w:tc>
        <w:tc>
          <w:tcPr>
            <w:tcW w:w="518" w:type="pct"/>
            <w:tcBorders>
              <w:top w:val="double" w:sz="4" w:space="0" w:color="auto"/>
            </w:tcBorders>
          </w:tcPr>
          <w:p>
            <w:pPr>
              <w:spacing w:beforeLines="20" w:before="48" w:afterLines="20" w:after="48"/>
              <w:jc w:val="center"/>
              <w:rPr>
                <w:b/>
                <w:noProof/>
                <w:sz w:val="16"/>
                <w:szCs w:val="16"/>
              </w:rPr>
            </w:pPr>
            <w:r>
              <w:rPr>
                <w:b/>
                <w:noProof/>
                <w:sz w:val="16"/>
                <w:szCs w:val="16"/>
              </w:rPr>
              <w:t>35</w:t>
            </w:r>
          </w:p>
        </w:tc>
      </w:tr>
    </w:tbl>
    <w:p>
      <w:pPr>
        <w:ind w:left="850"/>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r>
        <w:rPr>
          <w:noProof/>
        </w:rPr>
        <w:t xml:space="preserve"> </w:t>
      </w:r>
      <w:r>
        <w:rPr>
          <w:noProof/>
          <w:sz w:val="18"/>
        </w:rPr>
        <w:t>Dodatno osoblje bit će samo vanjsko osoblje koje će se financirati isključivo iz namjenskih prihoda.</w:t>
      </w:r>
    </w:p>
    <w:p>
      <w:pPr>
        <w:rPr>
          <w:noProof/>
          <w:sz w:val="20"/>
        </w:rPr>
      </w:pPr>
      <w:r>
        <w:rPr>
          <w:noProof/>
          <w:sz w:val="20"/>
        </w:rPr>
        <w:t>Opis zadaća:</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Dužnosnici i privremeno osoblje</w:t>
            </w:r>
          </w:p>
        </w:tc>
        <w:tc>
          <w:tcPr>
            <w:tcW w:w="7392" w:type="dxa"/>
          </w:tcPr>
          <w:p>
            <w:pPr>
              <w:rPr>
                <w:noProof/>
                <w:sz w:val="20"/>
              </w:rPr>
            </w:pPr>
          </w:p>
        </w:tc>
      </w:tr>
      <w:tr>
        <w:tc>
          <w:tcPr>
            <w:tcW w:w="3240" w:type="dxa"/>
          </w:tcPr>
          <w:p>
            <w:pPr>
              <w:spacing w:before="60" w:after="60"/>
              <w:rPr>
                <w:noProof/>
                <w:sz w:val="20"/>
              </w:rPr>
            </w:pPr>
            <w:r>
              <w:rPr>
                <w:noProof/>
                <w:sz w:val="20"/>
              </w:rPr>
              <w:t>Vanjsko osoblje</w:t>
            </w:r>
          </w:p>
        </w:tc>
        <w:tc>
          <w:tcPr>
            <w:tcW w:w="7392" w:type="dxa"/>
          </w:tcPr>
          <w:p>
            <w:pPr>
              <w:rPr>
                <w:noProof/>
                <w:sz w:val="20"/>
              </w:rPr>
            </w:pPr>
            <w:r>
              <w:rPr>
                <w:noProof/>
                <w:sz w:val="20"/>
              </w:rPr>
              <w:t>Ugovorno osoblje koje pruža potporu u pregovorima o novim programima, prati izvršavanje, uključujući financijsko upravljanje i reviziju, te sudjeluje u postupku zaključenja programa.</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2"/>
        <w:rPr>
          <w:noProof/>
          <w:szCs w:val="24"/>
        </w:rPr>
      </w:pPr>
      <w:bookmarkStart w:id="46" w:name="_Toc514941995"/>
      <w:bookmarkStart w:id="47" w:name="_Toc39839415"/>
      <w:r>
        <w:t>3.3.</w:t>
      </w:r>
      <w:r>
        <w:tab/>
      </w:r>
      <w:r>
        <w:rPr>
          <w:noProof/>
        </w:rPr>
        <w:t>Procijenjeni učinak na prihode</w:t>
      </w:r>
      <w:bookmarkEnd w:id="46"/>
      <w:bookmarkEnd w:id="47"/>
      <w:r>
        <w:rPr>
          <w:noProof/>
        </w:rPr>
        <w:t xml:space="preserve"> </w:t>
      </w:r>
    </w:p>
    <w:p>
      <w:pPr>
        <w:tabs>
          <w:tab w:val="num" w:pos="1134"/>
        </w:tabs>
        <w:ind w:left="1134" w:hanging="283"/>
        <w:rPr>
          <w:rFonts w:eastAsia="Times New Roman"/>
          <w:noProof/>
        </w:rPr>
      </w:pPr>
      <w:r>
        <w:rPr>
          <w:noProof/>
        </w:rPr>
        <w:t>X</w:t>
      </w:r>
      <w:r>
        <w:rPr>
          <w:noProof/>
        </w:rPr>
        <w:tab/>
        <w:t>Prijedlog/inicijativa nema financijski učinak na prihode.</w:t>
      </w:r>
    </w:p>
    <w:p>
      <w:pPr>
        <w:tabs>
          <w:tab w:val="num" w:pos="1134"/>
        </w:tabs>
        <w:ind w:left="1134" w:hanging="283"/>
        <w:rPr>
          <w:rFonts w:eastAsia="Times New Roman"/>
          <w:noProof/>
        </w:rPr>
      </w:pPr>
      <w:r>
        <w:rPr>
          <w:noProof/>
        </w:rPr>
        <w:sym w:font="Wingdings" w:char="F0A8"/>
      </w:r>
      <w:r>
        <w:rPr>
          <w:noProof/>
        </w:rPr>
        <w:tab/>
        <w:t>Prijedlog/inicijativa ima sljedeći financijski učinak:</w:t>
      </w:r>
    </w:p>
    <w:p>
      <w:pPr>
        <w:pStyle w:val="Tiret2"/>
        <w:numPr>
          <w:ilvl w:val="0"/>
          <w:numId w:val="11"/>
        </w:numPr>
        <w:rPr>
          <w:noProof/>
        </w:rPr>
      </w:pPr>
      <w:r>
        <w:rPr>
          <w:noProof/>
        </w:rPr>
        <w:sym w:font="Wingdings" w:char="F0A8"/>
      </w:r>
      <w:r>
        <w:rPr>
          <w:noProof/>
        </w:rPr>
        <w:tab/>
        <w:t xml:space="preserve">na vlastita sredstva </w:t>
      </w:r>
    </w:p>
    <w:p>
      <w:pPr>
        <w:pStyle w:val="Tiret2"/>
        <w:numPr>
          <w:ilvl w:val="0"/>
          <w:numId w:val="11"/>
        </w:numPr>
        <w:rPr>
          <w:noProof/>
        </w:rPr>
      </w:pPr>
      <w:r>
        <w:rPr>
          <w:noProof/>
        </w:rPr>
        <w:sym w:font="Wingdings" w:char="F0A8"/>
      </w:r>
      <w:r>
        <w:rPr>
          <w:noProof/>
        </w:rPr>
        <w:tab/>
        <w:t>na ostale prihode</w:t>
      </w:r>
    </w:p>
    <w:p>
      <w:pPr>
        <w:rPr>
          <w:noProof/>
        </w:rPr>
      </w:pPr>
      <w:r>
        <w:rPr>
          <w:noProof/>
        </w:rPr>
        <w:t xml:space="preserve">navesti jesu li prihodi namijenjeni proračunskim linijama rashoda </w:t>
      </w:r>
      <w:r>
        <w:rPr>
          <w:noProof/>
        </w:rPr>
        <w:sym w:font="Wingdings" w:char="F0A8"/>
      </w:r>
      <w:r>
        <w:rPr>
          <w:noProof/>
        </w:rPr>
        <w:tab/>
      </w:r>
    </w:p>
    <w:p>
      <w:pPr>
        <w:jc w:val="right"/>
        <w:rPr>
          <w:i/>
          <w:noProof/>
          <w:sz w:val="20"/>
        </w:rPr>
      </w:pPr>
      <w:r>
        <w:rPr>
          <w:noProof/>
        </w:rPr>
        <w:t>U milijunima EUR (do 3 decimalna mjesta)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Proračunska linija prihoda:</w:t>
            </w:r>
          </w:p>
        </w:tc>
        <w:tc>
          <w:tcPr>
            <w:tcW w:w="7200" w:type="dxa"/>
            <w:gridSpan w:val="7"/>
            <w:vAlign w:val="center"/>
          </w:tcPr>
          <w:p>
            <w:pPr>
              <w:jc w:val="center"/>
              <w:rPr>
                <w:noProof/>
                <w:sz w:val="18"/>
              </w:rPr>
            </w:pPr>
            <w:r>
              <w:rPr>
                <w:noProof/>
                <w:sz w:val="18"/>
              </w:rPr>
              <w:t>Učinak prijedloga/inicijative</w:t>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Članak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Za namjenske prihode navesti odgovarajuće proračunske linije rashoda.</w:t>
      </w:r>
    </w:p>
    <w:p>
      <w:pPr>
        <w:ind w:left="850"/>
        <w:rPr>
          <w:noProof/>
        </w:rPr>
      </w:pPr>
      <w:r>
        <w:rPr>
          <w:noProof/>
          <w:color w:val="0000FF"/>
        </w:rPr>
        <w:t>[…]</w:t>
      </w:r>
    </w:p>
    <w:p>
      <w:pPr>
        <w:ind w:left="850"/>
        <w:rPr>
          <w:noProof/>
          <w:sz w:val="16"/>
          <w:szCs w:val="16"/>
        </w:rPr>
      </w:pPr>
      <w:r>
        <w:rPr>
          <w:noProof/>
          <w:sz w:val="20"/>
        </w:rPr>
        <w:t>Ostale napomene (npr. metoda/formula za izračun učinka na prihode ili druge informacije).</w:t>
      </w:r>
      <w:r>
        <w:rPr>
          <w:noProof/>
          <w:sz w:val="16"/>
          <w:szCs w:val="16"/>
        </w:rPr>
        <w:t xml:space="preserve"> </w:t>
      </w:r>
    </w:p>
    <w:p>
      <w:pPr>
        <w:ind w:left="850"/>
        <w:rPr>
          <w:noProof/>
        </w:rPr>
      </w:pPr>
      <w:r>
        <w:rPr>
          <w:noProof/>
          <w:color w:val="0000FF"/>
        </w:rP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COM(2020) 22 final.</w:t>
      </w:r>
    </w:p>
  </w:footnote>
  <w:footnote w:id="3">
    <w:p>
      <w:pPr>
        <w:pStyle w:val="FootnoteText"/>
      </w:pPr>
      <w:r>
        <w:rPr>
          <w:rStyle w:val="FootnoteReference"/>
        </w:rPr>
        <w:footnoteRef/>
      </w:r>
      <w:r>
        <w:tab/>
        <w:t>COM(2020) 23 final.</w:t>
      </w:r>
    </w:p>
  </w:footnote>
  <w:footnote w:id="4">
    <w:p>
      <w:pPr>
        <w:pStyle w:val="FootnoteText"/>
      </w:pPr>
      <w:r>
        <w:rPr>
          <w:rStyle w:val="FootnoteReference"/>
        </w:rPr>
        <w:footnoteRef/>
      </w:r>
      <w:r>
        <w:tab/>
        <w:t>SWD(2018) 282 final.</w:t>
      </w:r>
    </w:p>
  </w:footnote>
  <w:footnote w:id="5">
    <w:p>
      <w:pPr>
        <w:pStyle w:val="FootnoteText"/>
      </w:pPr>
      <w:r>
        <w:rPr>
          <w:rStyle w:val="FootnoteReference"/>
        </w:rPr>
        <w:footnoteRef/>
      </w:r>
      <w:r>
        <w:tab/>
        <w:t>COM(2018) 372 final.</w:t>
      </w:r>
    </w:p>
  </w:footnote>
  <w:footnote w:id="6">
    <w:p>
      <w:pPr>
        <w:pStyle w:val="FootnoteText"/>
      </w:pPr>
      <w:r>
        <w:rPr>
          <w:rStyle w:val="FootnoteReference"/>
        </w:rPr>
        <w:footnoteRef/>
      </w:r>
      <w:r>
        <w:tab/>
        <w:t>SL C , , str...</w:t>
      </w:r>
    </w:p>
  </w:footnote>
  <w:footnote w:id="7">
    <w:p>
      <w:pPr>
        <w:pStyle w:val="FootnoteText"/>
      </w:pPr>
      <w:r>
        <w:rPr>
          <w:rStyle w:val="FootnoteReference"/>
        </w:rPr>
        <w:footnoteRef/>
      </w:r>
      <w:r>
        <w:tab/>
        <w:t>Kako je navedeno u članku 58. stavku 2. točki (a) ili (b) Financijske uredbe.</w:t>
      </w:r>
    </w:p>
  </w:footnote>
  <w:footnote w:id="8">
    <w:p>
      <w:pPr>
        <w:pStyle w:val="FootnoteText"/>
      </w:pPr>
      <w:r>
        <w:rPr>
          <w:rStyle w:val="FootnoteReference"/>
        </w:rPr>
        <w:footnoteRef/>
      </w:r>
      <w:r>
        <w:tab/>
        <w:t>Informacije o načinima upravljanja i upućivanja na Financijsku uredbu dostupni su na internetskim stranicama BudgWeb:</w:t>
      </w:r>
      <w:r>
        <w:tab/>
        <w:t xml:space="preserve"> </w:t>
      </w:r>
      <w:hyperlink r:id="rId1" w:history="1">
        <w:r>
          <w:rPr>
            <w:rStyle w:val="Hyperlink"/>
          </w:rPr>
          <w:t>https://myintracomm.ec.europa.eu/budgweb/EN/man/budgmanag/Pages/budgmanag.aspx</w:t>
        </w:r>
      </w:hyperlink>
    </w:p>
  </w:footnote>
  <w:footnote w:id="9">
    <w:p>
      <w:pPr>
        <w:pStyle w:val="FootnoteText"/>
      </w:pPr>
      <w:r>
        <w:rPr>
          <w:rStyle w:val="FootnoteReference"/>
        </w:rPr>
        <w:footnoteRef/>
      </w:r>
      <w:r>
        <w:tab/>
        <w:t>Dif. = diferencirana odobrena sredstva; nedif. = nediferencirana odobrena sredstva.</w:t>
      </w:r>
    </w:p>
  </w:footnote>
  <w:footnote w:id="10">
    <w:p>
      <w:pPr>
        <w:pStyle w:val="FootnoteText"/>
      </w:pPr>
      <w:r>
        <w:rPr>
          <w:rStyle w:val="FootnoteReference"/>
        </w:rPr>
        <w:footnoteRef/>
      </w:r>
      <w:r>
        <w:tab/>
        <w:t>EFTA: Europsko udruženje slobodne trgovine.</w:t>
      </w:r>
    </w:p>
  </w:footnote>
  <w:footnote w:id="11">
    <w:p>
      <w:pPr>
        <w:pStyle w:val="FootnoteText"/>
      </w:pPr>
      <w:r>
        <w:rPr>
          <w:rStyle w:val="FootnoteReference"/>
        </w:rPr>
        <w:footnoteRef/>
      </w:r>
      <w:r>
        <w:tab/>
        <w:t>Zemlje kandidatkinje i, ako je primjenjivo, potencijalni kandidati sa zapadnog Balkana.</w:t>
      </w:r>
    </w:p>
  </w:footnote>
  <w:footnote w:id="12">
    <w:p>
      <w:pPr>
        <w:pStyle w:val="FootnoteText"/>
      </w:pPr>
      <w:r>
        <w:rPr>
          <w:rStyle w:val="FootnoteReference"/>
        </w:rPr>
        <w:footnoteRef/>
      </w:r>
      <w:r>
        <w:tab/>
        <w:t>U okviru gornje granice za vanjsko osoblje iz odobrenih sredstava za poslovanje (prijašnje linije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8415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AC16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34AD0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146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6478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D850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F902698"/>
    <w:lvl w:ilvl="0">
      <w:start w:val="1"/>
      <w:numFmt w:val="decimal"/>
      <w:pStyle w:val="ListNumber"/>
      <w:lvlText w:val="%1."/>
      <w:lvlJc w:val="left"/>
      <w:pPr>
        <w:tabs>
          <w:tab w:val="num" w:pos="360"/>
        </w:tabs>
        <w:ind w:left="360" w:hanging="360"/>
      </w:pPr>
    </w:lvl>
  </w:abstractNum>
  <w:abstractNum w:abstractNumId="7">
    <w:nsid w:val="FFFFFF89"/>
    <w:multiLevelType w:val="singleLevel"/>
    <w:tmpl w:val="70AE55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21"/>
  </w:num>
  <w:num w:numId="12">
    <w:abstractNumId w:val="20"/>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2"/>
  </w:num>
  <w:num w:numId="31">
    <w:abstractNumId w:val="21"/>
  </w:num>
  <w:num w:numId="32">
    <w:abstractNumId w:val="11"/>
  </w:num>
  <w:num w:numId="33">
    <w:abstractNumId w:val="13"/>
  </w:num>
  <w:num w:numId="34">
    <w:abstractNumId w:val="9"/>
  </w:num>
  <w:num w:numId="35">
    <w:abstractNumId w:val="20"/>
  </w:num>
  <w:num w:numId="36">
    <w:abstractNumId w:val="8"/>
  </w:num>
  <w:num w:numId="37">
    <w:abstractNumId w:val="14"/>
  </w:num>
  <w:num w:numId="38">
    <w:abstractNumId w:val="17"/>
  </w:num>
  <w:num w:numId="39">
    <w:abstractNumId w:val="18"/>
  </w:num>
  <w:num w:numId="40">
    <w:abstractNumId w:val="10"/>
  </w:num>
  <w:num w:numId="41">
    <w:abstractNumId w:val="16"/>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7:45: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2"/>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42C7497-1763-4662-A877-BDB568ABF79D"/>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Izmijenjeni prijedlog"/>
    <w:docVar w:name="LW_SUPERTITRE" w:val="&lt;UNUSED&gt;"/>
    <w:docVar w:name="LW_TITRE.OBJ.CP" w:val="o uspostavi Fonda za pravednu tranziciju"/>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ListNumber4">
    <w:name w:val="List Number 4"/>
    <w:basedOn w:val="Normal"/>
    <w:uiPriority w:val="99"/>
    <w:semiHidden/>
    <w:unhideWhenUsed/>
    <w:pPr>
      <w:numPr>
        <w:numId w:val="5"/>
      </w:numPr>
      <w:contextualSpacing/>
    </w:pPr>
  </w:style>
  <w:style w:type="paragraph" w:customStyle="1" w:styleId="Point1letter1">
    <w:name w:val="Point 1  (letter)"/>
    <w:basedOn w:val="Point0letter"/>
  </w:style>
  <w:style w:type="character" w:customStyle="1" w:styleId="conf-macro">
    <w:name w:val="conf-macro"/>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nnexetitreChar">
    <w:name w:val="Annexe titre Char"/>
    <w:basedOn w:val="DefaultParagraphFont"/>
    <w:rPr>
      <w:rFonts w:ascii="Times New Roman" w:hAnsi="Times New Roman" w:cs="Times New Roman"/>
      <w:b/>
      <w:sz w:val="24"/>
      <w:u w:val="single"/>
      <w:lang w:val="hr-HR"/>
    </w:rPr>
  </w:style>
  <w:style w:type="paragraph" w:customStyle="1" w:styleId="ListDash2">
    <w:name w:val="List Dash 2"/>
    <w:basedOn w:val="Normal"/>
    <w:pPr>
      <w:numPr>
        <w:numId w:val="13"/>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ListNumber4">
    <w:name w:val="List Number 4"/>
    <w:basedOn w:val="Normal"/>
    <w:uiPriority w:val="99"/>
    <w:semiHidden/>
    <w:unhideWhenUsed/>
    <w:pPr>
      <w:numPr>
        <w:numId w:val="5"/>
      </w:numPr>
      <w:contextualSpacing/>
    </w:pPr>
  </w:style>
  <w:style w:type="paragraph" w:customStyle="1" w:styleId="Point1letter1">
    <w:name w:val="Point 1  (letter)"/>
    <w:basedOn w:val="Point0letter"/>
  </w:style>
  <w:style w:type="character" w:customStyle="1" w:styleId="conf-macro">
    <w:name w:val="conf-macro"/>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nnexetitreChar">
    <w:name w:val="Annexe titre Char"/>
    <w:basedOn w:val="DefaultParagraphFont"/>
    <w:rPr>
      <w:rFonts w:ascii="Times New Roman" w:hAnsi="Times New Roman" w:cs="Times New Roman"/>
      <w:b/>
      <w:sz w:val="24"/>
      <w:u w:val="single"/>
      <w:lang w:val="hr-HR"/>
    </w:rPr>
  </w:style>
  <w:style w:type="paragraph" w:customStyle="1" w:styleId="ListDash2">
    <w:name w:val="List Dash 2"/>
    <w:basedOn w:val="Normal"/>
    <w:pPr>
      <w:numPr>
        <w:numId w:val="13"/>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0632">
      <w:bodyDiv w:val="1"/>
      <w:marLeft w:val="0"/>
      <w:marRight w:val="0"/>
      <w:marTop w:val="0"/>
      <w:marBottom w:val="0"/>
      <w:divBdr>
        <w:top w:val="none" w:sz="0" w:space="0" w:color="auto"/>
        <w:left w:val="none" w:sz="0" w:space="0" w:color="auto"/>
        <w:bottom w:val="none" w:sz="0" w:space="0" w:color="auto"/>
        <w:right w:val="none" w:sz="0" w:space="0" w:color="auto"/>
      </w:divBdr>
    </w:div>
    <w:div w:id="470100803">
      <w:bodyDiv w:val="1"/>
      <w:marLeft w:val="0"/>
      <w:marRight w:val="0"/>
      <w:marTop w:val="0"/>
      <w:marBottom w:val="0"/>
      <w:divBdr>
        <w:top w:val="none" w:sz="0" w:space="0" w:color="auto"/>
        <w:left w:val="none" w:sz="0" w:space="0" w:color="auto"/>
        <w:bottom w:val="none" w:sz="0" w:space="0" w:color="auto"/>
        <w:right w:val="none" w:sz="0" w:space="0" w:color="auto"/>
      </w:divBdr>
    </w:div>
    <w:div w:id="711465380">
      <w:bodyDiv w:val="1"/>
      <w:marLeft w:val="0"/>
      <w:marRight w:val="0"/>
      <w:marTop w:val="0"/>
      <w:marBottom w:val="0"/>
      <w:divBdr>
        <w:top w:val="none" w:sz="0" w:space="0" w:color="auto"/>
        <w:left w:val="none" w:sz="0" w:space="0" w:color="auto"/>
        <w:bottom w:val="none" w:sz="0" w:space="0" w:color="auto"/>
        <w:right w:val="none" w:sz="0" w:space="0" w:color="auto"/>
      </w:divBdr>
    </w:div>
    <w:div w:id="999120895">
      <w:bodyDiv w:val="1"/>
      <w:marLeft w:val="0"/>
      <w:marRight w:val="0"/>
      <w:marTop w:val="0"/>
      <w:marBottom w:val="0"/>
      <w:divBdr>
        <w:top w:val="none" w:sz="0" w:space="0" w:color="auto"/>
        <w:left w:val="none" w:sz="0" w:space="0" w:color="auto"/>
        <w:bottom w:val="none" w:sz="0" w:space="0" w:color="auto"/>
        <w:right w:val="none" w:sz="0" w:space="0" w:color="auto"/>
      </w:divBdr>
    </w:div>
    <w:div w:id="1335910665">
      <w:bodyDiv w:val="1"/>
      <w:marLeft w:val="0"/>
      <w:marRight w:val="0"/>
      <w:marTop w:val="0"/>
      <w:marBottom w:val="0"/>
      <w:divBdr>
        <w:top w:val="none" w:sz="0" w:space="0" w:color="auto"/>
        <w:left w:val="none" w:sz="0" w:space="0" w:color="auto"/>
        <w:bottom w:val="none" w:sz="0" w:space="0" w:color="auto"/>
        <w:right w:val="none" w:sz="0" w:space="0" w:color="auto"/>
      </w:divBdr>
    </w:div>
    <w:div w:id="1646007962">
      <w:bodyDiv w:val="1"/>
      <w:marLeft w:val="0"/>
      <w:marRight w:val="0"/>
      <w:marTop w:val="0"/>
      <w:marBottom w:val="0"/>
      <w:divBdr>
        <w:top w:val="none" w:sz="0" w:space="0" w:color="auto"/>
        <w:left w:val="none" w:sz="0" w:space="0" w:color="auto"/>
        <w:bottom w:val="none" w:sz="0" w:space="0" w:color="auto"/>
        <w:right w:val="none" w:sz="0" w:space="0" w:color="auto"/>
      </w:divBdr>
    </w:div>
    <w:div w:id="20043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D00F-46C7-4259-96E6-AA4DBEB5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17</Pages>
  <Words>4365</Words>
  <Characters>26457</Characters>
  <Application>Microsoft Office Word</Application>
  <DocSecurity>0</DocSecurity>
  <Lines>944</Lines>
  <Paragraphs>531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2019-11-15T15:58:00Z</cp:lastPrinted>
  <dcterms:created xsi:type="dcterms:W3CDTF">2020-06-01T13:00:00Z</dcterms:created>
  <dcterms:modified xsi:type="dcterms:W3CDTF">2020-06-02T15:45:00Z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