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749411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695CA67-8050-4BE0-8D47-C00093460F6D" style="width:450.8pt;height:406.95pt">
            <v:imagedata r:id="rId7" o:title=""/>
          </v:shape>
        </w:pict>
      </w:r>
    </w:p>
    <w:bookmarkEnd w:id="1"/>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pStyle w:val="Annexetitre"/>
        <w:spacing w:after="240"/>
        <w:rPr>
          <w:noProof/>
        </w:rPr>
      </w:pPr>
      <w:bookmarkStart w:id="2" w:name="_GoBack"/>
      <w:bookmarkEnd w:id="2"/>
      <w:r>
        <w:rPr>
          <w:noProof/>
        </w:rPr>
        <w:lastRenderedPageBreak/>
        <w:t xml:space="preserve">LIITE </w:t>
      </w:r>
      <w:bookmarkEnd w:id="0"/>
      <w:r>
        <w:rPr>
          <w:noProof/>
        </w:rPr>
        <w:t xml:space="preserve"> </w:t>
      </w:r>
    </w:p>
    <w:p>
      <w:pPr>
        <w:jc w:val="center"/>
        <w:rPr>
          <w:rFonts w:ascii="Times New Roman Bold" w:eastAsia="Calibri" w:hAnsi="Times New Roman Bold"/>
          <w:b/>
          <w:caps/>
          <w:noProof/>
          <w:szCs w:val="24"/>
          <w:u w:val="single"/>
        </w:rPr>
      </w:pPr>
      <w:r>
        <w:rPr>
          <w:rFonts w:ascii="Times New Roman Bold" w:hAnsi="Times New Roman Bold"/>
          <w:b/>
          <w:caps/>
          <w:noProof/>
          <w:szCs w:val="24"/>
          <w:u w:val="single"/>
        </w:rPr>
        <w:t>”LIITE I</w:t>
      </w:r>
    </w:p>
    <w:p>
      <w:pPr>
        <w:jc w:val="center"/>
        <w:rPr>
          <w:b/>
          <w:noProof/>
          <w:sz w:val="28"/>
          <w:szCs w:val="28"/>
          <w:u w:val="single"/>
        </w:rPr>
      </w:pPr>
      <w:r>
        <w:rPr>
          <w:rFonts w:ascii="Times New Roman Bold" w:hAnsi="Times New Roman Bold"/>
          <w:b/>
          <w:caps/>
          <w:noProof/>
          <w:szCs w:val="24"/>
        </w:rPr>
        <w:t>Oikeudenmukaisen siirtymän rahaston varojen jakomenetelmä</w:t>
      </w:r>
    </w:p>
    <w:p>
      <w:pPr>
        <w:spacing w:before="240"/>
        <w:rPr>
          <w:noProof/>
        </w:rPr>
      </w:pPr>
      <w:r>
        <w:rPr>
          <w:noProof/>
        </w:rPr>
        <w:t xml:space="preserve">Kunkin jäsenvaltion kokonaismäärärahat määritetään seuraavien vaiheiden mukaisesti: </w:t>
      </w:r>
    </w:p>
    <w:p>
      <w:pPr>
        <w:ind w:left="720" w:hanging="720"/>
        <w:rPr>
          <w:noProof/>
        </w:rPr>
      </w:pPr>
      <w:r>
        <w:rPr>
          <w:noProof/>
        </w:rPr>
        <w:t>a)</w:t>
      </w:r>
      <w:r>
        <w:rPr>
          <w:noProof/>
        </w:rPr>
        <w:tab/>
        <w:t>kunkin jäsenvaltion osuus lasketaan seuraavien kriteerien perusteella määritettyjen osuuksien painotettuna summana seuraavien painotusten mukaisesti:</w:t>
      </w:r>
    </w:p>
    <w:p>
      <w:pPr>
        <w:ind w:left="1457" w:hanging="720"/>
        <w:rPr>
          <w:noProof/>
        </w:rPr>
      </w:pPr>
      <w:r>
        <w:rPr>
          <w:noProof/>
        </w:rPr>
        <w:t>i)</w:t>
      </w:r>
      <w:r>
        <w:rPr>
          <w:noProof/>
        </w:rPr>
        <w:tab/>
        <w:t>teollisuuslaitosten kasvihuonekaasupäästöt NUTS 2 -tason alueilla, joilla hiili-intensiteetti – määritettynä jäsenvaltioiden Euroopan parlamentin ja neuvoston asetuksen (EY) N:o 166/2006</w:t>
      </w:r>
      <w:r>
        <w:rPr>
          <w:rStyle w:val="FootnoteReference"/>
          <w:rFonts w:eastAsia="Times New Roman"/>
          <w:noProof/>
          <w:color w:val="000000"/>
          <w:szCs w:val="24"/>
        </w:rPr>
        <w:footnoteReference w:id="1"/>
      </w:r>
      <w:r>
        <w:rPr>
          <w:noProof/>
        </w:rPr>
        <w:t xml:space="preserve"> 7 artiklan mukaisesti ilmoittamalla teollisuuslaitosten kasvihuonekaasupäästöjen suhdeluvulla – verrattuna teollisuuden bruttoarvonlisäykseen ylittää kaksinkertaisesti EU27:n keskiarvon. Jos taso ei ylity millään NUTS 2 -tason alueella tietyssä jäsenvaltiossa, huomioon otetaan teollisuuslaitosten kasvihuonekaasupäästöt sillä NUTS 2 -tason alueella, jolla hiili-intensiteetti on suurin (painotus 49 %),</w:t>
      </w:r>
    </w:p>
    <w:p>
      <w:pPr>
        <w:ind w:left="1457" w:hanging="720"/>
        <w:rPr>
          <w:noProof/>
        </w:rPr>
      </w:pPr>
      <w:r>
        <w:rPr>
          <w:noProof/>
        </w:rPr>
        <w:t>ii)</w:t>
      </w:r>
      <w:r>
        <w:rPr>
          <w:noProof/>
        </w:rPr>
        <w:tab/>
        <w:t>työllisyys kivihiilen ja ruskohiilen louhinnassa (painotus 25 %),</w:t>
      </w:r>
    </w:p>
    <w:p>
      <w:pPr>
        <w:ind w:left="1457" w:hanging="720"/>
        <w:rPr>
          <w:noProof/>
        </w:rPr>
      </w:pPr>
      <w:r>
        <w:rPr>
          <w:noProof/>
        </w:rPr>
        <w:t>iii)</w:t>
      </w:r>
      <w:r>
        <w:rPr>
          <w:noProof/>
        </w:rPr>
        <w:tab/>
        <w:t>työllisyys teollisuudessa NUTS 2 -tason alueilla, jotka on otettu huomioon i alakohdan soveltamiseksi (painotus 25 %),</w:t>
      </w:r>
    </w:p>
    <w:p>
      <w:pPr>
        <w:ind w:left="1457" w:hanging="720"/>
        <w:rPr>
          <w:noProof/>
        </w:rPr>
      </w:pPr>
      <w:r>
        <w:rPr>
          <w:noProof/>
        </w:rPr>
        <w:t>iv)</w:t>
      </w:r>
      <w:r>
        <w:rPr>
          <w:noProof/>
        </w:rPr>
        <w:tab/>
        <w:t>turpeen tuotanto (painotus 0,95 %),</w:t>
      </w:r>
    </w:p>
    <w:p>
      <w:pPr>
        <w:ind w:left="1457" w:hanging="720"/>
        <w:rPr>
          <w:noProof/>
        </w:rPr>
      </w:pPr>
      <w:r>
        <w:rPr>
          <w:noProof/>
        </w:rPr>
        <w:t>v)</w:t>
      </w:r>
      <w:r>
        <w:rPr>
          <w:noProof/>
        </w:rPr>
        <w:tab/>
        <w:t>liuskeöljyn tuotanto (painotus 0,05 %);</w:t>
      </w:r>
    </w:p>
    <w:p>
      <w:pPr>
        <w:ind w:left="720" w:hanging="720"/>
        <w:rPr>
          <w:noProof/>
        </w:rPr>
      </w:pPr>
      <w:r>
        <w:rPr>
          <w:noProof/>
        </w:rPr>
        <w:t>b)</w:t>
      </w:r>
      <w:r>
        <w:rPr>
          <w:noProof/>
        </w:rPr>
        <w:tab/>
        <w:t>a alakohdan soveltamisesta johtuvia määrärahoja mukautetaan sen varmistamiseksi, että kunkin jäsenvaltion saama määrä on enintään 8 miljardia euroa (vuoden 2018 hintoina). Määrät, jotka ylittävät 8 miljardia euroa jäsenvaltiota kohti, jaetaan uudelleen suhteutettuna muiden jäsenvaltioiden saamiin määriin. Jäsenvaltioiden osuudet lasketaan uudelleen vastaavasti;</w:t>
      </w:r>
    </w:p>
    <w:p>
      <w:pPr>
        <w:ind w:left="720" w:hanging="720"/>
        <w:rPr>
          <w:noProof/>
        </w:rPr>
      </w:pPr>
      <w:r>
        <w:rPr>
          <w:noProof/>
        </w:rPr>
        <w:t xml:space="preserve">c) </w:t>
      </w:r>
      <w:r>
        <w:rPr>
          <w:noProof/>
        </w:rPr>
        <w:tab/>
        <w:t>jäsenvaltioiden osuuksia, jotka johtuvat b alakohdan soveltamisesta, mukautetaan negatiivisesti tai positiivisesti kertoimella, joka on 1,5 kertaa erotus, jolla kyseisen jäsenvaltion asukasta kohti laskettu bruttokansantulo (ostovoimapariteettina mitattuna) vuosina 2015–2017, kuten sitä käytetään koheesiopolitiikassa vuosien 2021–2027 monivuotista rahoituskehystä koskevien neuvottelujen yhteydessä, ylittää tai alittaa EU27:n keskimääräisen asukasta kohti lasketun bruttokansantulon (keskiarvo on 100 %);</w:t>
      </w:r>
    </w:p>
    <w:p>
      <w:pPr>
        <w:ind w:left="720"/>
        <w:rPr>
          <w:noProof/>
        </w:rPr>
      </w:pPr>
      <w:r>
        <w:rPr>
          <w:noProof/>
        </w:rPr>
        <w:t xml:space="preserve">Mukautusta ei sovelleta jäsenvaltioihin, joiden määrärahaan on sovellettu ylärajaa b alakohdan mukaisesti; </w:t>
      </w:r>
    </w:p>
    <w:p>
      <w:pPr>
        <w:ind w:left="720" w:hanging="720"/>
        <w:rPr>
          <w:noProof/>
        </w:rPr>
      </w:pPr>
      <w:r>
        <w:rPr>
          <w:noProof/>
        </w:rPr>
        <w:t>d)</w:t>
      </w:r>
      <w:r>
        <w:rPr>
          <w:noProof/>
        </w:rPr>
        <w:tab/>
        <w:t xml:space="preserve">c alakohdan soveltamisesta johtuvia määrärahoja mukautetaan sen varmistamiseksi, että JTF-rahastosta myönnettyjen lopullisten määrärahojen tuki-intensiteetti asukasta kohti (mitattuna jäsenvaltion koko väestön perusteella) on vähintään 32 euroa (vuoden 2018 hintoina) koko kaudella.  </w:t>
      </w:r>
    </w:p>
    <w:p>
      <w:pPr>
        <w:ind w:left="720"/>
        <w:rPr>
          <w:noProof/>
        </w:rPr>
      </w:pPr>
      <w:r>
        <w:rPr>
          <w:noProof/>
        </w:rPr>
        <w:lastRenderedPageBreak/>
        <w:t xml:space="preserve">Määrät, joilla varmistetaan vähimmäistuki-intensiteetti, vähennetään suhteutettuna kaikkien muiden jäsenvaltioiden määrärahoista, lukuun ottamatta niitä, joiden määrärahaan on sovellettu ylärajaa b alakohdan mukaisesti. </w:t>
      </w:r>
    </w:p>
    <w:p>
      <w:pPr>
        <w:rPr>
          <w:noProof/>
        </w:rPr>
      </w:pPr>
      <w:r>
        <w:rPr>
          <w:noProof/>
        </w:rPr>
        <w:t>Oikeudenmukaisen siirtymän rahastosta myönnettävät määrärahat täydentävät asetuksen (EU) [uusi yhteisiä säännöksiä koskeva asetus] liitteessä XXII olevan 1–16 kohdan mukaisesti myönnettäviä määrärahoja eivätkä ne sisälly jakoperusteisiin, joihin asetuksen (EU) [uusi yhteisiä säännöksiä koskeva asetus] liitteessä XXII olevaa 10–15 kohtaa sovelletaan.”</w:t>
      </w: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789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asetus (EY) N:o 166/2006, annettu 18 päivänä tammikuuta 2006, epäpuhtauksien päästöjä ja siirtoja koskevan eurooppalaisen rekisterin perustamisesta ja neuvoston direktiivien 91/689/ETY ja 96/61/EY muuttamisesta (EUVL L 33, 4.2.2006,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i-FI" w:vendorID="64" w:dllVersion="131078" w:nlCheck="1" w:checkStyle="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w:docVar w:name="LW_ANNEX_NBR_FIRST" w:val="1"/>
    <w:docVar w:name="LW_ANNEX_NBR_LAST" w:val="1"/>
    <w:docVar w:name="LW_ANNEX_UNIQUE" w:val="1"/>
    <w:docVar w:name="LW_CORRIGENDUM" w:val="&lt;UNUSED&gt;"/>
    <w:docVar w:name="LW_COVERPAGE_EXISTS" w:val="True"/>
    <w:docVar w:name="LW_COVERPAGE_GUID" w:val="5695CA67-8050-4BE0-8D47-C00093460F6D"/>
    <w:docVar w:name="LW_COVERPAGE_TYPE" w:val="1"/>
    <w:docVar w:name="LW_CROSSREFERENCE" w:val="&lt;UNUSED&gt;"/>
    <w:docVar w:name="LW_DocType" w:val="NORMAL"/>
    <w:docVar w:name="LW_EMISSION" w:val="28.5.2020"/>
    <w:docVar w:name="LW_EMISSION_ISODATE" w:val="2020-05-28"/>
    <w:docVar w:name="LW_EMISSION_LOCATION" w:val="BRX"/>
    <w:docVar w:name="LW_EMISSION_PREFIX" w:val="Bryssel "/>
    <w:docVar w:name="LW_EMISSION_SUFFIX" w:val=" "/>
    <w:docVar w:name="LW_ID_DOCTYPE_NONLW" w:val="CP-036"/>
    <w:docVar w:name="LW_LANGUE" w:val="FI"/>
    <w:docVar w:name="LW_LEVEL_OF_SENSITIVITY" w:val="Standard treatment"/>
    <w:docVar w:name="LW_NOM.INST" w:val="EUROOPAN KOMISSIO"/>
    <w:docVar w:name="LW_NOM.INST_JOINTDOC" w:val="&lt;EMPTY&gt;"/>
    <w:docVar w:name="LW_OBJETACTEPRINCIPAL.CP" w:val="oikeudenmukaisen siirtymän rahaston perustamisesta"/>
    <w:docVar w:name="LW_PART_NBR" w:val="1"/>
    <w:docVar w:name="LW_PART_NBR_TOTAL" w:val="1"/>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ITE_x000b_"/>
    <w:docVar w:name="LW_TYPEACTEPRINCIPAL.CP" w:val="Muutettu ehdotus_x000b__x000b_EUROOPAN PARLAMENTIN JA NEUVOSTON ASETUS_x000b_"/>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fi-FI"/>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character" w:customStyle="1" w:styleId="AnnexetitreChar">
    <w:name w:val="Annexe titre Char"/>
    <w:basedOn w:val="DefaultParagraphFont"/>
    <w:link w:val="Annexetitre"/>
    <w:rPr>
      <w:rFonts w:ascii="Times New Roman" w:hAnsi="Times New Roman" w:cs="Times New Roman"/>
      <w:b/>
      <w:sz w:val="24"/>
      <w:u w:val="single"/>
      <w:lang w:val="fi-FI"/>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fi-F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fi-FI"/>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fi-FI"/>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character" w:customStyle="1" w:styleId="AnnexetitreChar">
    <w:name w:val="Annexe titre Char"/>
    <w:basedOn w:val="DefaultParagraphFont"/>
    <w:link w:val="Annexetitre"/>
    <w:rPr>
      <w:rFonts w:ascii="Times New Roman" w:hAnsi="Times New Roman" w:cs="Times New Roman"/>
      <w:b/>
      <w:sz w:val="24"/>
      <w:u w:val="single"/>
      <w:lang w:val="fi-FI"/>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fi-F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fi-FI"/>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331</Words>
  <Characters>2706</Characters>
  <Application>Microsoft Office Word</Application>
  <DocSecurity>0</DocSecurity>
  <Lines>48</Lines>
  <Paragraphs>17</Paragraphs>
  <ScaleCrop>false</ScaleCrop>
  <Company>European Commission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WES PDFC Administrator</cp:lastModifiedBy>
  <cp:revision>12</cp:revision>
  <dcterms:created xsi:type="dcterms:W3CDTF">2020-05-27T14:20:00Z</dcterms:created>
  <dcterms:modified xsi:type="dcterms:W3CDTF">2020-06-02T15:41:00Z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