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27494114"/>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BC8C2183-27FB-44D7-875A-402148DBDFFD" style="width:450.75pt;height:393pt">
            <v:imagedata r:id="rId7" o:title=""/>
          </v:shape>
        </w:pict>
      </w:r>
    </w:p>
    <w:bookmarkEnd w:id="1"/>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pPr>
        <w:pStyle w:val="Annexetitre"/>
        <w:spacing w:after="240"/>
        <w:rPr>
          <w:noProof/>
        </w:rPr>
      </w:pPr>
      <w:bookmarkStart w:id="2" w:name="_GoBack"/>
      <w:bookmarkEnd w:id="2"/>
      <w:r>
        <w:rPr>
          <w:noProof/>
        </w:rPr>
        <w:lastRenderedPageBreak/>
        <w:t>PIELIKUMS</w:t>
      </w:r>
      <w:bookmarkEnd w:id="0"/>
    </w:p>
    <w:p>
      <w:pPr>
        <w:jc w:val="center"/>
        <w:rPr>
          <w:rFonts w:ascii="Times New Roman Bold" w:eastAsia="Calibri" w:hAnsi="Times New Roman Bold"/>
          <w:b/>
          <w:caps/>
          <w:noProof/>
          <w:szCs w:val="24"/>
          <w:u w:val="single"/>
        </w:rPr>
      </w:pPr>
      <w:r>
        <w:rPr>
          <w:rFonts w:ascii="Times New Roman Bold" w:hAnsi="Times New Roman Bold"/>
          <w:b/>
          <w:caps/>
          <w:noProof/>
          <w:szCs w:val="24"/>
          <w:u w:val="single"/>
        </w:rPr>
        <w:t>“I PIELIKUMS</w:t>
      </w:r>
    </w:p>
    <w:p>
      <w:pPr>
        <w:jc w:val="center"/>
        <w:rPr>
          <w:b/>
          <w:noProof/>
          <w:sz w:val="28"/>
          <w:szCs w:val="28"/>
          <w:u w:val="single"/>
        </w:rPr>
      </w:pPr>
      <w:r>
        <w:rPr>
          <w:rFonts w:ascii="Times New Roman Bold" w:hAnsi="Times New Roman Bold"/>
          <w:b/>
          <w:caps/>
          <w:noProof/>
          <w:szCs w:val="24"/>
        </w:rPr>
        <w:t>Taisnīgas pārkārtošanās fonda resursu piešķiršanas metode</w:t>
      </w:r>
    </w:p>
    <w:p>
      <w:pPr>
        <w:spacing w:before="240"/>
        <w:rPr>
          <w:noProof/>
        </w:rPr>
      </w:pPr>
      <w:r>
        <w:rPr>
          <w:noProof/>
        </w:rPr>
        <w:t xml:space="preserve">Katrai dalībvalstij finanšu līdzekļu apjomu nosaka šādos posmos: </w:t>
      </w:r>
    </w:p>
    <w:p>
      <w:pPr>
        <w:ind w:left="720" w:hanging="720"/>
        <w:rPr>
          <w:noProof/>
        </w:rPr>
      </w:pPr>
      <w:r>
        <w:rPr>
          <w:noProof/>
        </w:rPr>
        <w:t>a)</w:t>
      </w:r>
      <w:r>
        <w:rPr>
          <w:noProof/>
        </w:rPr>
        <w:tab/>
        <w:t>katras dalībvalsts daļu aprēķina kā to daļu svērto kopsummu, ko aprēķina, pamatojoties uz šādi svērtiem kritērijiem:</w:t>
      </w:r>
    </w:p>
    <w:p>
      <w:pPr>
        <w:ind w:left="1457" w:hanging="720"/>
        <w:rPr>
          <w:noProof/>
        </w:rPr>
      </w:pPr>
      <w:r>
        <w:rPr>
          <w:noProof/>
        </w:rPr>
        <w:t>i)</w:t>
      </w:r>
      <w:r>
        <w:rPr>
          <w:noProof/>
        </w:rPr>
        <w:tab/>
        <w:t xml:space="preserve">siltumnīcefekta gāzu emisija no rūpniecības objektiem </w:t>
      </w:r>
      <w:r>
        <w:rPr>
          <w:i/>
          <w:noProof/>
        </w:rPr>
        <w:t>NUTS</w:t>
      </w:r>
      <w:r>
        <w:rPr>
          <w:noProof/>
        </w:rPr>
        <w:t xml:space="preserve"> 2. līmeņa reģionos, kur oglekļa dioksīda emisiju intensitāte, kas noteikta pēc attiecības starp rūpniecības objektu radīto siltumnīcefekta gāzu emisiju, kādu dalībvalstis paziņojušas saskaņā ar Eiropas Parlamenta un Padomes Regulas (EK) Nr. 166/2006</w:t>
      </w:r>
      <w:r>
        <w:rPr>
          <w:rStyle w:val="FootnoteReference"/>
          <w:rFonts w:eastAsia="Times New Roman"/>
          <w:noProof/>
          <w:color w:val="000000"/>
          <w:szCs w:val="24"/>
        </w:rPr>
        <w:footnoteReference w:id="1"/>
      </w:r>
      <w:r>
        <w:rPr>
          <w:noProof/>
        </w:rPr>
        <w:t xml:space="preserve"> 7. pantu, un rūpniecības bruto pievienoto vērtību, divas reizes pārsniedz ES 27 dalībvalstu vidējo vērtību. Ja minētais līmenis nav pārsniegts nevienā no konkrētās dalībvalsts </w:t>
      </w:r>
      <w:r>
        <w:rPr>
          <w:i/>
          <w:noProof/>
        </w:rPr>
        <w:t>NUTS</w:t>
      </w:r>
      <w:r>
        <w:rPr>
          <w:noProof/>
        </w:rPr>
        <w:t xml:space="preserve"> 2. līmeņa reģioniem, vērā tiek ņemta siltumnīcefekta gāzu emisija no rūpniecības objektiem tajā </w:t>
      </w:r>
      <w:r>
        <w:rPr>
          <w:i/>
          <w:noProof/>
        </w:rPr>
        <w:t>NUTS</w:t>
      </w:r>
      <w:r>
        <w:rPr>
          <w:noProof/>
        </w:rPr>
        <w:t xml:space="preserve"> 2. līmeņa reģionā, kurā ir visaugstākā oglekļa dioksīda emisiju intensitāte (49 % svērums);</w:t>
      </w:r>
    </w:p>
    <w:p>
      <w:pPr>
        <w:ind w:left="1457" w:hanging="720"/>
        <w:rPr>
          <w:noProof/>
        </w:rPr>
      </w:pPr>
      <w:r>
        <w:rPr>
          <w:noProof/>
        </w:rPr>
        <w:t>ii)</w:t>
      </w:r>
      <w:r>
        <w:rPr>
          <w:noProof/>
        </w:rPr>
        <w:tab/>
        <w:t>nodarbinātība ogļu un lignīta ieguvē (25 % svērums);</w:t>
      </w:r>
    </w:p>
    <w:p>
      <w:pPr>
        <w:ind w:left="1457" w:hanging="720"/>
        <w:rPr>
          <w:noProof/>
        </w:rPr>
      </w:pPr>
      <w:r>
        <w:rPr>
          <w:noProof/>
        </w:rPr>
        <w:t>iii)</w:t>
      </w:r>
      <w:r>
        <w:rPr>
          <w:noProof/>
        </w:rPr>
        <w:tab/>
        <w:t xml:space="preserve">nodarbinātība rūpniecībā </w:t>
      </w:r>
      <w:r>
        <w:rPr>
          <w:i/>
          <w:noProof/>
        </w:rPr>
        <w:t>NUTS</w:t>
      </w:r>
      <w:r>
        <w:rPr>
          <w:noProof/>
        </w:rPr>
        <w:t xml:space="preserve"> 2. līmeņa reģionos, kas ņemti vērā i) apakšpunkta vajadzībām (25 % svērums);</w:t>
      </w:r>
    </w:p>
    <w:p>
      <w:pPr>
        <w:ind w:left="1457" w:hanging="720"/>
        <w:rPr>
          <w:noProof/>
        </w:rPr>
      </w:pPr>
      <w:r>
        <w:rPr>
          <w:noProof/>
        </w:rPr>
        <w:t>iv)</w:t>
      </w:r>
      <w:r>
        <w:rPr>
          <w:noProof/>
        </w:rPr>
        <w:tab/>
        <w:t>kūdras ieguve (0,95 % svērums);</w:t>
      </w:r>
    </w:p>
    <w:p>
      <w:pPr>
        <w:ind w:left="1457" w:hanging="720"/>
        <w:rPr>
          <w:noProof/>
        </w:rPr>
      </w:pPr>
      <w:r>
        <w:rPr>
          <w:noProof/>
        </w:rPr>
        <w:t>v)</w:t>
      </w:r>
      <w:r>
        <w:rPr>
          <w:noProof/>
        </w:rPr>
        <w:tab/>
        <w:t>degslānekļa ieguve (0,05 % svērums);</w:t>
      </w:r>
    </w:p>
    <w:p>
      <w:pPr>
        <w:ind w:left="720" w:hanging="720"/>
        <w:rPr>
          <w:noProof/>
        </w:rPr>
      </w:pPr>
      <w:r>
        <w:rPr>
          <w:noProof/>
        </w:rPr>
        <w:t>b)</w:t>
      </w:r>
      <w:r>
        <w:rPr>
          <w:noProof/>
        </w:rPr>
        <w:tab/>
        <w:t>piešķīrumi, kas aprēķināti, piemērojot a) punktu, tiek koriģēti, lai nodrošinātu, ka neviena dalībvalsts nesaņem summu, kas pārsniedz 8 miljardus EUR (2018. gada cenās). Summas, kas pārsniedz 8 miljardus EUR par dalībvalsti, tiek pārdalītas proporcionāli visu citu dalībvalstu piešķīrumiem. Dalībvalstu daļas attiecīgi tiek pārrēķinātas;</w:t>
      </w:r>
    </w:p>
    <w:p>
      <w:pPr>
        <w:ind w:left="720" w:hanging="720"/>
        <w:rPr>
          <w:noProof/>
        </w:rPr>
      </w:pPr>
      <w:r>
        <w:rPr>
          <w:noProof/>
        </w:rPr>
        <w:t xml:space="preserve">c) </w:t>
      </w:r>
      <w:r>
        <w:rPr>
          <w:noProof/>
        </w:rPr>
        <w:tab/>
        <w:t>dalībvalstu daļas, kas aprēķinātas, piemērojot b) punktu, tiek koriģētas uz leju vai uz augšu ar koeficientu, kas 1,5 reizes pārsniedz starpību, par kādu attiecīgās dalībvalsts NKI uz vienu iedzīvotāju (mērot pirktspējas paritātēs) 2015.–2017. gada periodā, kā izmantots kohēzijas politikai 2021.–2027. gada DFS sarunu kontekstā, pārsniedz vai nesasniedz ES 27 dalībvalstu vidējo NKI uz vienu iedzīvotāju (vidējais izteikts kā 100 %).</w:t>
      </w:r>
    </w:p>
    <w:p>
      <w:pPr>
        <w:ind w:left="720"/>
        <w:rPr>
          <w:noProof/>
        </w:rPr>
      </w:pPr>
      <w:r>
        <w:rPr>
          <w:noProof/>
        </w:rPr>
        <w:t xml:space="preserve">Šī korekcija neattiecas uz dalībvalstīm, kurām piešķīrums ir ierobežots atbilstoši b) punktam; </w:t>
      </w:r>
    </w:p>
    <w:p>
      <w:pPr>
        <w:ind w:left="720" w:hanging="720"/>
        <w:rPr>
          <w:noProof/>
        </w:rPr>
      </w:pPr>
      <w:r>
        <w:rPr>
          <w:noProof/>
        </w:rPr>
        <w:t>d)</w:t>
      </w:r>
      <w:r>
        <w:rPr>
          <w:noProof/>
        </w:rPr>
        <w:tab/>
        <w:t>piešķīrumi, kas aprēķināti, piemērojot c) punktu, tiek koriģēti, lai nodrošinātu, ka galīgais piešķīrums no TPF rezultātā dod vismaz 32 EUR (2018. gada cenās) atbalsta intensitāti uz vienu iedzīvotāju (izteikta, par pamatu ņemot dalībvalsts iedzīvotāju kopskaitu) visā attiecīgajā periodā.</w:t>
      </w:r>
    </w:p>
    <w:p>
      <w:pPr>
        <w:ind w:left="720"/>
        <w:rPr>
          <w:noProof/>
        </w:rPr>
      </w:pPr>
      <w:r>
        <w:rPr>
          <w:noProof/>
        </w:rPr>
        <w:lastRenderedPageBreak/>
        <w:t xml:space="preserve">Summas, kas nodrošina minimālo atbalsta intensitāti, tiek proporcionāli atskaitītas no visu citu dalībvalstu piešķīrumiem, izņemot tās, kurām piešķīrums ir ierobežots atbilstoši b) punktam. </w:t>
      </w:r>
    </w:p>
    <w:p>
      <w:pPr>
        <w:rPr>
          <w:noProof/>
        </w:rPr>
      </w:pPr>
      <w:r>
        <w:rPr>
          <w:noProof/>
        </w:rPr>
        <w:t>Taisnīgas pārkārtošanās fonda piešķīrums papildina piešķīrumu, kas aprēķināts saskaņā ar [jaunās KNR priekšlikuma] XXII pielikuma 1.–16. punktu un netiek iekļauts piešķiršanas bāzē, kurai tiek piemērots [jaunās KNR priekšlikuma] XXII pielikuma 10.–15. punkts.”.</w:t>
      </w:r>
    </w:p>
    <w:sectPr>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47896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 xml:space="preserve"> </w:t>
      </w:r>
      <w:r>
        <w:tab/>
        <w:t>Eiropas Parlamenta un Padomes Regula (EK) Nr. 166/2006 (2006. gada 18. janvāris) par Eiropas Piesārņojošo vielu un izmešu pārneses reģistra ieviešanu un Padomes Direktīvu 91/689/EEK un 96/61/EK grozīšanu (OV L 33, 4.2.2006., 1.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okumentam]"/>
    <w:docVar w:name="LW_ANNEX_NBR_FIRST" w:val="1"/>
    <w:docVar w:name="LW_ANNEX_NBR_LAST" w:val="1"/>
    <w:docVar w:name="LW_ANNEX_UNIQUE" w:val="1"/>
    <w:docVar w:name="LW_CORRIGENDUM" w:val="&lt;UNUSED&gt;"/>
    <w:docVar w:name="LW_COVERPAGE_EXISTS" w:val="True"/>
    <w:docVar w:name="LW_COVERPAGE_GUID" w:val="BC8C2183-27FB-44D7-875A-402148DBDFFD"/>
    <w:docVar w:name="LW_COVERPAGE_TYPE" w:val="1"/>
    <w:docVar w:name="LW_CROSSREFERENCE" w:val="&lt;UNUSED&gt;"/>
    <w:docVar w:name="LW_DocType" w:val="NORMAL"/>
    <w:docVar w:name="LW_EMISSION" w:val="28.5.2020"/>
    <w:docVar w:name="LW_EMISSION_ISODATE" w:val="2020-05-28"/>
    <w:docVar w:name="LW_EMISSION_LOCATION" w:val="BRX"/>
    <w:docVar w:name="LW_EMISSION_PREFIX" w:val="Briselē, "/>
    <w:docVar w:name="LW_EMISSION_SUFFIX" w:val="."/>
    <w:docVar w:name="LW_ID_DOCTYPE_NONLW" w:val="CP-036"/>
    <w:docVar w:name="LW_LANGUE" w:val="LV"/>
    <w:docVar w:name="LW_LEVEL_OF_SENSITIVITY" w:val="Standard treatment"/>
    <w:docVar w:name="LW_NOM.INST" w:val="EIROPAS KOMISIJA"/>
    <w:docVar w:name="LW_NOM.INST_JOINTDOC" w:val="&lt;EMPTY&gt;"/>
    <w:docVar w:name="LW_OBJETACTEPRINCIPAL.CP" w:val="ar ko izveido Taisn\u299?gas p\u257?rk\u257?rto\u353?an\u257?s fondu"/>
    <w:docVar w:name="LW_PART_NBR" w:val="1"/>
    <w:docVar w:name="LW_PART_NBR_TOTAL" w:val="1"/>
    <w:docVar w:name="LW_REF.INST.NEW" w:val="COM"/>
    <w:docVar w:name="LW_REF.INST.NEW_ADOPTED" w:val="final"/>
    <w:docVar w:name="LW_REF.INST.NEW_TEXT" w:val="(2020) 4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PIELIKUMS_x000b_"/>
    <w:docVar w:name="LW_TYPEACTEPRINCIPAL.CP" w:val="Groz\u299?ts priek\u353?likums_x000b__x000b_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1 Char Char,Footnote Text Char Char Char Char,Footnote Text Char Char Char Char Char Char Char Char,Footnote Text Char Char1,Schriftart: 9 pt,f"/>
    <w:basedOn w:val="Normal"/>
    <w:link w:val="FootnoteTextChar"/>
    <w:uiPriority w:val="99"/>
    <w:unhideWhenUsed/>
    <w:pPr>
      <w:spacing w:before="0" w:after="0"/>
      <w:ind w:left="720" w:hanging="720"/>
    </w:pPr>
    <w:rPr>
      <w:sz w:val="20"/>
      <w:szCs w:val="20"/>
    </w:rPr>
  </w:style>
  <w:style w:type="character" w:customStyle="1" w:styleId="FootnoteTextChar">
    <w:name w:val="Footnote Text Char"/>
    <w:aliases w:val="Footnote Text Char1 Char,Footnote Text Char1 Char Char Char,Footnote Text Char Char Char Char Char,Footnote Text Char Char Char Char Char Char Char Char Char,Footnote Text Char Char1 Char,Schriftart: 9 pt Char,f Char"/>
    <w:basedOn w:val="DefaultParagraphFont"/>
    <w:link w:val="FootnoteText"/>
    <w:uiPriority w:val="99"/>
    <w:rPr>
      <w:rFonts w:ascii="Times New Roman" w:hAnsi="Times New Roman" w:cs="Times New Roman"/>
      <w:sz w:val="20"/>
      <w:szCs w:val="20"/>
      <w:lang w:val="lv-LV"/>
    </w:rPr>
  </w:style>
  <w:style w:type="character" w:styleId="FootnoteReference">
    <w:name w:val="footnote reference"/>
    <w:aliases w:val="Footnote call,BVI fnr,SUPERS,Footnote symbol, BVI fnr,(Footnote Reference),Footnote,Voetnootverwijzing,Times 10 Point,Exposant 3 Point,Footnote reference number,note TESI,stylish,Ref,de nota al pie,Footnote Reference1,16 Point"/>
    <w:basedOn w:val="DefaultParagraphFont"/>
    <w:uiPriority w:val="99"/>
    <w:unhideWhenUsed/>
    <w:rPr>
      <w:shd w:val="clear" w:color="auto" w:fill="auto"/>
      <w:vertAlign w:val="superscript"/>
    </w:rPr>
  </w:style>
  <w:style w:type="character" w:customStyle="1" w:styleId="Marker">
    <w:name w:val="Marker"/>
    <w:basedOn w:val="DefaultParagraphFont"/>
    <w:rPr>
      <w:color w:val="0000FF"/>
      <w:shd w:val="clear" w:color="auto" w:fill="auto"/>
    </w:rPr>
  </w:style>
  <w:style w:type="paragraph" w:customStyle="1" w:styleId="Annexetitre">
    <w:name w:val="Annexe titre"/>
    <w:basedOn w:val="Normal"/>
    <w:next w:val="Normal"/>
    <w:link w:val="AnnexetitreChar"/>
    <w:pPr>
      <w:jc w:val="center"/>
    </w:pPr>
    <w:rPr>
      <w:b/>
      <w:u w:val="single"/>
    </w:rPr>
  </w:style>
  <w:style w:type="character" w:customStyle="1" w:styleId="AnnexetitreChar">
    <w:name w:val="Annexe titre Char"/>
    <w:basedOn w:val="DefaultParagraphFont"/>
    <w:link w:val="Annexetitre"/>
    <w:rPr>
      <w:rFonts w:ascii="Times New Roman" w:hAnsi="Times New Roman" w:cs="Times New Roman"/>
      <w:b/>
      <w:sz w:val="24"/>
      <w:u w:val="single"/>
      <w:lang w:val="lv-LV"/>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13"/>
        <w:tab w:val="right" w:pos="9026"/>
      </w:tabs>
      <w:spacing w:before="0" w:after="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13"/>
        <w:tab w:val="right" w:pos="9026"/>
      </w:tabs>
      <w:spacing w:before="0" w:after="0"/>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AnnexetitreChar"/>
    <w:link w:val="FooterCoverPage"/>
    <w:rPr>
      <w:rFonts w:ascii="Times New Roman" w:hAnsi="Times New Roman" w:cs="Times New Roman"/>
      <w:b w:val="0"/>
      <w:sz w:val="24"/>
      <w:u w:val="single"/>
      <w:lang w:val="lv-LV"/>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AnnexetitreChar"/>
    <w:link w:val="FooterSensitivity"/>
    <w:rPr>
      <w:rFonts w:ascii="Times New Roman" w:hAnsi="Times New Roman" w:cs="Times New Roman"/>
      <w:b/>
      <w:sz w:val="32"/>
      <w:u w:val="single"/>
      <w:lang w:val="lv-LV"/>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AnnexetitreChar"/>
    <w:link w:val="HeaderCoverPage"/>
    <w:rPr>
      <w:rFonts w:ascii="Times New Roman" w:hAnsi="Times New Roman" w:cs="Times New Roman"/>
      <w:b w:val="0"/>
      <w:sz w:val="24"/>
      <w:u w:val="single"/>
      <w:lang w:val="lv-LV"/>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AnnexetitreChar"/>
    <w:link w:val="HeaderSensitivity"/>
    <w:rPr>
      <w:rFonts w:ascii="Times New Roman" w:hAnsi="Times New Roman" w:cs="Times New Roman"/>
      <w:b/>
      <w:sz w:val="32"/>
      <w:u w:val="single"/>
      <w:lang w:val="lv-LV"/>
    </w:rPr>
  </w:style>
  <w:style w:type="paragraph" w:customStyle="1" w:styleId="HeaderSensitivityRight">
    <w:name w:val="Header Sensitivity Right"/>
    <w:basedOn w:val="Normal"/>
    <w:link w:val="HeaderSensitivityRightChar"/>
    <w:pPr>
      <w:spacing w:before="0"/>
      <w:jc w:val="right"/>
    </w:pPr>
    <w:rPr>
      <w:sz w:val="28"/>
    </w:rPr>
  </w:style>
  <w:style w:type="character" w:customStyle="1" w:styleId="HeaderSensitivityRightChar">
    <w:name w:val="Header Sensitivity Right Char"/>
    <w:basedOn w:val="AnnexetitreChar"/>
    <w:link w:val="HeaderSensitivityRight"/>
    <w:rPr>
      <w:rFonts w:ascii="Times New Roman" w:hAnsi="Times New Roman" w:cs="Times New Roman"/>
      <w:b w:val="0"/>
      <w:sz w:val="28"/>
      <w:u w:val="single"/>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1 Char Char,Footnote Text Char Char Char Char,Footnote Text Char Char Char Char Char Char Char Char,Footnote Text Char Char1,Schriftart: 9 pt,f"/>
    <w:basedOn w:val="Normal"/>
    <w:link w:val="FootnoteTextChar"/>
    <w:uiPriority w:val="99"/>
    <w:unhideWhenUsed/>
    <w:pPr>
      <w:spacing w:before="0" w:after="0"/>
      <w:ind w:left="720" w:hanging="720"/>
    </w:pPr>
    <w:rPr>
      <w:sz w:val="20"/>
      <w:szCs w:val="20"/>
    </w:rPr>
  </w:style>
  <w:style w:type="character" w:customStyle="1" w:styleId="FootnoteTextChar">
    <w:name w:val="Footnote Text Char"/>
    <w:aliases w:val="Footnote Text Char1 Char,Footnote Text Char1 Char Char Char,Footnote Text Char Char Char Char Char,Footnote Text Char Char Char Char Char Char Char Char Char,Footnote Text Char Char1 Char,Schriftart: 9 pt Char,f Char"/>
    <w:basedOn w:val="DefaultParagraphFont"/>
    <w:link w:val="FootnoteText"/>
    <w:uiPriority w:val="99"/>
    <w:rPr>
      <w:rFonts w:ascii="Times New Roman" w:hAnsi="Times New Roman" w:cs="Times New Roman"/>
      <w:sz w:val="20"/>
      <w:szCs w:val="20"/>
      <w:lang w:val="lv-LV"/>
    </w:rPr>
  </w:style>
  <w:style w:type="character" w:styleId="FootnoteReference">
    <w:name w:val="footnote reference"/>
    <w:aliases w:val="Footnote call,BVI fnr,SUPERS,Footnote symbol, BVI fnr,(Footnote Reference),Footnote,Voetnootverwijzing,Times 10 Point,Exposant 3 Point,Footnote reference number,note TESI,stylish,Ref,de nota al pie,Footnote Reference1,16 Point"/>
    <w:basedOn w:val="DefaultParagraphFont"/>
    <w:uiPriority w:val="99"/>
    <w:unhideWhenUsed/>
    <w:rPr>
      <w:shd w:val="clear" w:color="auto" w:fill="auto"/>
      <w:vertAlign w:val="superscript"/>
    </w:rPr>
  </w:style>
  <w:style w:type="character" w:customStyle="1" w:styleId="Marker">
    <w:name w:val="Marker"/>
    <w:basedOn w:val="DefaultParagraphFont"/>
    <w:rPr>
      <w:color w:val="0000FF"/>
      <w:shd w:val="clear" w:color="auto" w:fill="auto"/>
    </w:rPr>
  </w:style>
  <w:style w:type="paragraph" w:customStyle="1" w:styleId="Annexetitre">
    <w:name w:val="Annexe titre"/>
    <w:basedOn w:val="Normal"/>
    <w:next w:val="Normal"/>
    <w:link w:val="AnnexetitreChar"/>
    <w:pPr>
      <w:jc w:val="center"/>
    </w:pPr>
    <w:rPr>
      <w:b/>
      <w:u w:val="single"/>
    </w:rPr>
  </w:style>
  <w:style w:type="character" w:customStyle="1" w:styleId="AnnexetitreChar">
    <w:name w:val="Annexe titre Char"/>
    <w:basedOn w:val="DefaultParagraphFont"/>
    <w:link w:val="Annexetitre"/>
    <w:rPr>
      <w:rFonts w:ascii="Times New Roman" w:hAnsi="Times New Roman" w:cs="Times New Roman"/>
      <w:b/>
      <w:sz w:val="24"/>
      <w:u w:val="single"/>
      <w:lang w:val="lv-LV"/>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13"/>
        <w:tab w:val="right" w:pos="9026"/>
      </w:tabs>
      <w:spacing w:before="0" w:after="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13"/>
        <w:tab w:val="right" w:pos="9026"/>
      </w:tabs>
      <w:spacing w:before="0" w:after="0"/>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AnnexetitreChar"/>
    <w:link w:val="FooterCoverPage"/>
    <w:rPr>
      <w:rFonts w:ascii="Times New Roman" w:hAnsi="Times New Roman" w:cs="Times New Roman"/>
      <w:b w:val="0"/>
      <w:sz w:val="24"/>
      <w:u w:val="single"/>
      <w:lang w:val="lv-LV"/>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AnnexetitreChar"/>
    <w:link w:val="FooterSensitivity"/>
    <w:rPr>
      <w:rFonts w:ascii="Times New Roman" w:hAnsi="Times New Roman" w:cs="Times New Roman"/>
      <w:b/>
      <w:sz w:val="32"/>
      <w:u w:val="single"/>
      <w:lang w:val="lv-LV"/>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AnnexetitreChar"/>
    <w:link w:val="HeaderCoverPage"/>
    <w:rPr>
      <w:rFonts w:ascii="Times New Roman" w:hAnsi="Times New Roman" w:cs="Times New Roman"/>
      <w:b w:val="0"/>
      <w:sz w:val="24"/>
      <w:u w:val="single"/>
      <w:lang w:val="lv-LV"/>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AnnexetitreChar"/>
    <w:link w:val="HeaderSensitivity"/>
    <w:rPr>
      <w:rFonts w:ascii="Times New Roman" w:hAnsi="Times New Roman" w:cs="Times New Roman"/>
      <w:b/>
      <w:sz w:val="32"/>
      <w:u w:val="single"/>
      <w:lang w:val="lv-LV"/>
    </w:rPr>
  </w:style>
  <w:style w:type="paragraph" w:customStyle="1" w:styleId="HeaderSensitivityRight">
    <w:name w:val="Header Sensitivity Right"/>
    <w:basedOn w:val="Normal"/>
    <w:link w:val="HeaderSensitivityRightChar"/>
    <w:pPr>
      <w:spacing w:before="0"/>
      <w:jc w:val="right"/>
    </w:pPr>
    <w:rPr>
      <w:sz w:val="28"/>
    </w:rPr>
  </w:style>
  <w:style w:type="character" w:customStyle="1" w:styleId="HeaderSensitivityRightChar">
    <w:name w:val="Header Sensitivity Right Char"/>
    <w:basedOn w:val="AnnexetitreChar"/>
    <w:link w:val="HeaderSensitivityRight"/>
    <w:rPr>
      <w:rFonts w:ascii="Times New Roman" w:hAnsi="Times New Roman" w:cs="Times New Roman"/>
      <w:b w:val="0"/>
      <w:sz w:val="28"/>
      <w:u w:val="single"/>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378</Words>
  <Characters>2446</Characters>
  <Application>Microsoft Office Word</Application>
  <DocSecurity>0</DocSecurity>
  <Lines>46</Lines>
  <Paragraphs>18</Paragraphs>
  <ScaleCrop>false</ScaleCrop>
  <Company>European Commission</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 Martine (REGIO)</dc:creator>
  <cp:keywords/>
  <dc:description/>
  <cp:lastModifiedBy>WES PDFC Administrator</cp:lastModifiedBy>
  <cp:revision>13</cp:revision>
  <dcterms:created xsi:type="dcterms:W3CDTF">2020-05-27T14:20:00Z</dcterms:created>
  <dcterms:modified xsi:type="dcterms:W3CDTF">2020-06-02T15:43:00Z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CP-036</vt:lpwstr>
  </property>
  <property fmtid="{D5CDD505-2E9C-101B-9397-08002B2CF9AE}" pid="10" name="Last edited using">
    <vt:lpwstr>LW 7.0, Build 20190717</vt:lpwstr>
  </property>
  <property fmtid="{D5CDD505-2E9C-101B-9397-08002B2CF9AE}" pid="11" name="Created using">
    <vt:lpwstr>LW 7.0.1, Build 20190916</vt:lpwstr>
  </property>
</Properties>
</file>