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rStyle w:val="Marker"/>
          <w:b/>
          <w:noProof/>
        </w:rPr>
      </w:pPr>
      <w:r>
        <w:rPr>
          <w:rStyle w:val="Marke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C0C179A2-97D3-4042-927F-7527869CBBC3" style="width:450.8pt;height:38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rFonts w:eastAsia="Calibri"/>
          <w:noProof/>
        </w:rPr>
      </w:pPr>
      <w:bookmarkStart w:id="0" w:name="_GoBack"/>
      <w:bookmarkEnd w:id="0"/>
      <w:r>
        <w:rPr>
          <w:noProof/>
        </w:rPr>
        <w:lastRenderedPageBreak/>
        <w:t xml:space="preserve">ANEXA V </w:t>
      </w:r>
      <w:r>
        <w:rPr>
          <w:noProof/>
        </w:rPr>
        <w:br/>
      </w:r>
      <w:r>
        <w:rPr>
          <w:noProof/>
          <w:bdr w:val="nil"/>
        </w:rPr>
        <w:t>Disfuncționalități ale pieței, situații de investiții sub nivelul optim, adiționalitate și activități excluse</w:t>
      </w:r>
    </w:p>
    <w:p>
      <w:pPr>
        <w:shd w:val="clear" w:color="auto" w:fill="FFFFFF"/>
        <w:tabs>
          <w:tab w:val="left" w:pos="850"/>
        </w:tabs>
        <w:ind w:left="850" w:hanging="850"/>
        <w:rPr>
          <w:rFonts w:eastAsia="Calibri"/>
          <w:noProof/>
        </w:rPr>
      </w:pPr>
    </w:p>
    <w:p>
      <w:pPr>
        <w:shd w:val="clear" w:color="auto" w:fill="FFFFFF"/>
        <w:tabs>
          <w:tab w:val="left" w:pos="284"/>
          <w:tab w:val="left" w:pos="850"/>
        </w:tabs>
        <w:ind w:left="850" w:hanging="850"/>
        <w:rPr>
          <w:rFonts w:eastAsia="Arial Unicode MS" w:cs="Arial Unicode MS"/>
          <w:iCs/>
          <w:noProof/>
          <w:bdr w:val="nil"/>
        </w:rPr>
      </w:pPr>
      <w:r>
        <w:rPr>
          <w:iCs/>
          <w:noProof/>
          <w:bdr w:val="nil"/>
        </w:rPr>
        <w:t>A.</w:t>
      </w:r>
      <w:r>
        <w:rPr>
          <w:noProof/>
        </w:rPr>
        <w:tab/>
      </w:r>
      <w:r>
        <w:rPr>
          <w:iCs/>
          <w:noProof/>
          <w:bdr w:val="nil"/>
        </w:rPr>
        <w:t>Disfuncționalități ale pieței, situații de investiții sub nivelul optim și adiționalitate</w:t>
      </w:r>
    </w:p>
    <w:p>
      <w:pPr>
        <w:shd w:val="clear" w:color="auto" w:fill="FFFFFF"/>
        <w:tabs>
          <w:tab w:val="left" w:pos="284"/>
        </w:tabs>
        <w:ind w:left="284"/>
        <w:rPr>
          <w:rFonts w:eastAsia="Arial Unicode MS" w:cs="Arial Unicode MS"/>
          <w:iCs/>
          <w:noProof/>
          <w:bdr w:val="nil"/>
        </w:rPr>
      </w:pPr>
      <w:r>
        <w:rPr>
          <w:iCs/>
          <w:noProof/>
          <w:bdr w:val="nil"/>
        </w:rPr>
        <w:t>În conformitate cu articolul 209 din Regulamentul financiar, garanția UE vizează disfuncționalitățile pieței sau situațiile de investiții sub nivelul optim [articolul 209 alineatul (2) litera (a)] și asigură adiționalitatea evitând să se substituie sprijinului și investițiilor care pot veni din alte surse publice sau private [articolul 209 alineatul (2) litera (b)].</w:t>
      </w:r>
    </w:p>
    <w:p>
      <w:pPr>
        <w:shd w:val="clear" w:color="auto" w:fill="FFFFFF"/>
        <w:tabs>
          <w:tab w:val="left" w:pos="284"/>
        </w:tabs>
        <w:ind w:left="284"/>
        <w:rPr>
          <w:rFonts w:eastAsia="Arial Unicode MS" w:cs="Arial Unicode MS"/>
          <w:iCs/>
          <w:noProof/>
          <w:bdr w:val="nil"/>
        </w:rPr>
      </w:pPr>
      <w:r>
        <w:rPr>
          <w:iCs/>
          <w:noProof/>
          <w:bdr w:val="nil"/>
        </w:rPr>
        <w:t>Pentru a se conforma articolului 209 alineatul (2) literele (a) și (b) din Regulamentul financiar, operațiunile de finanțare și de investiții care beneficiază de garanția UE îndeplinesc cerințele prevăzute la punctele 1 și 2 de mai jos:</w:t>
      </w:r>
    </w:p>
    <w:p>
      <w:pPr>
        <w:shd w:val="clear" w:color="auto" w:fill="FFFFFF"/>
        <w:ind w:left="284"/>
        <w:rPr>
          <w:rFonts w:eastAsia="Arial Unicode MS" w:cs="Arial Unicode MS"/>
          <w:iCs/>
          <w:noProof/>
          <w:bdr w:val="nil"/>
        </w:rPr>
      </w:pPr>
      <w:r>
        <w:rPr>
          <w:iCs/>
          <w:noProof/>
          <w:bdr w:val="nil"/>
        </w:rPr>
        <w:t>1. Disfuncționalități ale pieței și situații de investiții sub nivelul optim</w:t>
      </w:r>
    </w:p>
    <w:p>
      <w:pPr>
        <w:shd w:val="clear" w:color="auto" w:fill="FFFFFF"/>
        <w:ind w:left="284"/>
        <w:rPr>
          <w:rFonts w:eastAsia="Arial Unicode MS" w:cs="Arial Unicode MS"/>
          <w:iCs/>
          <w:noProof/>
          <w:bdr w:val="nil"/>
        </w:rPr>
      </w:pPr>
      <w:r>
        <w:rPr>
          <w:iCs/>
          <w:noProof/>
          <w:bdr w:val="nil"/>
        </w:rPr>
        <w:t>Pentru a remedia disfuncționalitățile pieței sau situațiile de investiții sub nivelul optim, astfel cum sunt menționate la articolul 209 alineatul (2) litera (a) din Regulamentul financiar, investițiile vizate de operațiunile de finanțare și de investiții includ unul dintre următoarele elemente:</w:t>
      </w:r>
    </w:p>
    <w:p>
      <w:pPr>
        <w:shd w:val="clear" w:color="auto" w:fill="FFFFFF"/>
        <w:tabs>
          <w:tab w:val="left" w:pos="1418"/>
        </w:tabs>
        <w:ind w:left="1134" w:hanging="425"/>
        <w:rPr>
          <w:rFonts w:eastAsia="Arial Unicode MS" w:cs="Arial Unicode MS"/>
          <w:iCs/>
          <w:noProof/>
          <w:bdr w:val="nil"/>
        </w:rPr>
      </w:pPr>
      <w:r>
        <w:rPr>
          <w:iCs/>
          <w:noProof/>
          <w:bdr w:val="nil"/>
        </w:rPr>
        <w:t>(a)</w:t>
      </w:r>
      <w:r>
        <w:rPr>
          <w:noProof/>
        </w:rPr>
        <w:tab/>
      </w:r>
      <w:r>
        <w:rPr>
          <w:iCs/>
          <w:noProof/>
          <w:bdr w:val="nil"/>
        </w:rPr>
        <w:t>caracterul de bun public pentru care operatorul sau întreprinderea nu poate obține suficiente beneficii financiare (cum ar fi educația și competențele, serviciile medicale și accesibilitatea, securitatea și apărarea, infrastructurile disponibile gratuit sau la un preț neglijabil);</w:t>
      </w:r>
    </w:p>
    <w:p>
      <w:pPr>
        <w:shd w:val="clear" w:color="auto" w:fill="FFFFFF"/>
        <w:tabs>
          <w:tab w:val="left" w:pos="1418"/>
        </w:tabs>
        <w:ind w:left="1134" w:hanging="425"/>
        <w:rPr>
          <w:rFonts w:eastAsia="Arial Unicode MS" w:cs="Arial Unicode MS"/>
          <w:iCs/>
          <w:noProof/>
          <w:bdr w:val="nil"/>
        </w:rPr>
      </w:pPr>
      <w:r>
        <w:rPr>
          <w:iCs/>
          <w:noProof/>
          <w:bdr w:val="nil"/>
        </w:rPr>
        <w:t>(b)</w:t>
      </w:r>
      <w:r>
        <w:rPr>
          <w:noProof/>
        </w:rPr>
        <w:tab/>
      </w:r>
      <w:r>
        <w:rPr>
          <w:iCs/>
          <w:noProof/>
          <w:bdr w:val="nil"/>
        </w:rPr>
        <w:t>externalități pe care operatorul sau întreprinderea nu reușește în general să le internalizeze, precum investițiile în C&amp;D, eficiența energetică, clima sau protecția mediului;</w:t>
      </w:r>
    </w:p>
    <w:p>
      <w:pPr>
        <w:shd w:val="clear" w:color="auto" w:fill="FFFFFF"/>
        <w:tabs>
          <w:tab w:val="left" w:pos="1418"/>
        </w:tabs>
        <w:ind w:left="1134" w:hanging="425"/>
        <w:rPr>
          <w:rFonts w:eastAsia="Arial Unicode MS" w:cs="Arial Unicode MS"/>
          <w:iCs/>
          <w:noProof/>
          <w:bdr w:val="nil"/>
        </w:rPr>
      </w:pPr>
      <w:r>
        <w:rPr>
          <w:iCs/>
          <w:noProof/>
          <w:bdr w:val="nil"/>
        </w:rPr>
        <w:t>(c)</w:t>
      </w:r>
      <w:r>
        <w:rPr>
          <w:noProof/>
        </w:rPr>
        <w:tab/>
      </w:r>
      <w:r>
        <w:rPr>
          <w:iCs/>
          <w:noProof/>
          <w:bdr w:val="nil"/>
        </w:rPr>
        <w:t>asimetriile de informare, în special în cazul IMM-urilor și al întreprinderilor mici cu capitalizare medie, inclusiv nivelurile de risc mai ridicate la care sunt expuse întreprinderile în faze timpurii, întreprinderile cu active în majoritate necorporale sau cu garanții insuficiente ori întreprinderile axate pe activități cu risc mai ridicat;</w:t>
      </w:r>
    </w:p>
    <w:p>
      <w:pPr>
        <w:shd w:val="clear" w:color="auto" w:fill="FFFFFF"/>
        <w:tabs>
          <w:tab w:val="left" w:pos="1418"/>
        </w:tabs>
        <w:ind w:left="1134" w:hanging="425"/>
        <w:rPr>
          <w:rFonts w:eastAsia="Arial Unicode MS" w:cs="Arial Unicode MS"/>
          <w:iCs/>
          <w:noProof/>
          <w:bdr w:val="nil"/>
        </w:rPr>
      </w:pPr>
      <w:r>
        <w:rPr>
          <w:iCs/>
          <w:noProof/>
          <w:bdr w:val="nil"/>
        </w:rPr>
        <w:t>(d)</w:t>
      </w:r>
      <w:r>
        <w:rPr>
          <w:noProof/>
        </w:rPr>
        <w:tab/>
      </w:r>
      <w:r>
        <w:rPr>
          <w:iCs/>
          <w:noProof/>
          <w:bdr w:val="nil"/>
        </w:rPr>
        <w:t>proiecte de infrastructură transfrontaliere și servicii sau fonduri conexe care investesc la nivel transfrontalier pentru a combate fragmentarea pieței interne și a îmbunătăți coordonarea în cadrul pieței interne;</w:t>
      </w:r>
    </w:p>
    <w:p>
      <w:pPr>
        <w:shd w:val="clear" w:color="auto" w:fill="FFFFFF"/>
        <w:tabs>
          <w:tab w:val="left" w:pos="1418"/>
        </w:tabs>
        <w:ind w:left="1134" w:hanging="425"/>
        <w:rPr>
          <w:rFonts w:eastAsia="Arial Unicode MS" w:cs="Arial Unicode MS"/>
          <w:iCs/>
          <w:noProof/>
          <w:bdr w:val="nil"/>
        </w:rPr>
      </w:pPr>
      <w:r>
        <w:rPr>
          <w:iCs/>
          <w:noProof/>
          <w:bdr w:val="nil"/>
        </w:rPr>
        <w:t>(e)</w:t>
      </w:r>
      <w:r>
        <w:rPr>
          <w:noProof/>
        </w:rPr>
        <w:tab/>
      </w:r>
      <w:r>
        <w:rPr>
          <w:iCs/>
          <w:noProof/>
          <w:bdr w:val="nil"/>
        </w:rPr>
        <w:t>expunerea la niveluri mai ridicate de risc în anumite sectoare, țări sau regiuni, depășind nivelurile pe care actorii financiari privați sunt capabili sau dispuși să le accepte, inclusiv în situațiile în care investiția nu ar fi fost efectuată deloc sau nu ar fi fost efectuată în aceeași măsură, ca urmare a noutății sale sau a riscurilor asociate cu inovația ori cu o tehnologie netestată;</w:t>
      </w:r>
    </w:p>
    <w:p>
      <w:pPr>
        <w:shd w:val="clear" w:color="auto" w:fill="FFFFFF"/>
        <w:tabs>
          <w:tab w:val="left" w:pos="1418"/>
        </w:tabs>
        <w:ind w:left="1134" w:hanging="425"/>
        <w:rPr>
          <w:rFonts w:eastAsia="Arial Unicode MS" w:cs="Arial Unicode MS"/>
          <w:iCs/>
          <w:noProof/>
          <w:bdr w:val="nil"/>
        </w:rPr>
      </w:pPr>
      <w:r>
        <w:rPr>
          <w:iCs/>
          <w:noProof/>
          <w:bdr w:val="nil"/>
        </w:rPr>
        <w:t>(f)</w:t>
      </w:r>
      <w:r>
        <w:rPr>
          <w:noProof/>
        </w:rPr>
        <w:tab/>
      </w:r>
      <w:r>
        <w:rPr>
          <w:iCs/>
          <w:noProof/>
          <w:bdr w:val="nil"/>
        </w:rPr>
        <w:t>în cazul sprijinului pentru operațiuni de finanțare sau de investiții în cadrul componentei pentru investiții europene strategice, investiția nu ar fi fost efectuată deloc sau nu ar fi fost efectuată în aceeași măsură prin finanțare pe piață de către entitățile stabilite și care își desfășoară activitate în Uniune din cauza dificultăților de a internaliza beneficiile furnizate în interes strategic european;</w:t>
      </w:r>
    </w:p>
    <w:p>
      <w:pPr>
        <w:shd w:val="clear" w:color="auto" w:fill="FFFFFF"/>
        <w:tabs>
          <w:tab w:val="left" w:pos="1418"/>
        </w:tabs>
        <w:ind w:left="1134" w:hanging="425"/>
        <w:rPr>
          <w:rFonts w:eastAsia="Arial Unicode MS" w:cs="Arial Unicode MS"/>
          <w:iCs/>
          <w:noProof/>
          <w:bdr w:val="nil"/>
        </w:rPr>
      </w:pPr>
      <w:r>
        <w:rPr>
          <w:iCs/>
          <w:noProof/>
          <w:bdr w:val="nil"/>
        </w:rPr>
        <w:t>(g)</w:t>
      </w:r>
      <w:r>
        <w:rPr>
          <w:noProof/>
        </w:rPr>
        <w:tab/>
      </w:r>
      <w:r>
        <w:rPr>
          <w:iCs/>
          <w:noProof/>
          <w:bdr w:val="nil"/>
        </w:rPr>
        <w:t>disfuncționalități noi sau complexe ale pieței sau situații de investiții sub nivelul optim, în conformitate cu articolul 8 alineatul (1) litera (a) punctul (iii) din prezentul regulament.</w:t>
      </w:r>
    </w:p>
    <w:p>
      <w:pPr>
        <w:shd w:val="clear" w:color="auto" w:fill="FFFFFF"/>
        <w:tabs>
          <w:tab w:val="left" w:pos="1418"/>
        </w:tabs>
        <w:ind w:left="1134" w:hanging="425"/>
        <w:rPr>
          <w:rFonts w:eastAsia="Arial Unicode MS" w:cs="Arial Unicode MS"/>
          <w:iCs/>
          <w:noProof/>
          <w:bdr w:val="nil"/>
        </w:rPr>
      </w:pPr>
    </w:p>
    <w:p>
      <w:pPr>
        <w:shd w:val="clear" w:color="auto" w:fill="FFFFFF"/>
        <w:tabs>
          <w:tab w:val="left" w:pos="426"/>
        </w:tabs>
        <w:ind w:left="425"/>
        <w:rPr>
          <w:rFonts w:eastAsia="Arial Unicode MS" w:cs="Arial Unicode MS"/>
          <w:iCs/>
          <w:noProof/>
          <w:bdr w:val="nil"/>
        </w:rPr>
      </w:pPr>
      <w:r>
        <w:rPr>
          <w:iCs/>
          <w:noProof/>
          <w:bdr w:val="nil"/>
        </w:rPr>
        <w:t>2. Adiționalitate</w:t>
      </w:r>
    </w:p>
    <w:p>
      <w:pPr>
        <w:shd w:val="clear" w:color="auto" w:fill="FFFFFF"/>
        <w:tabs>
          <w:tab w:val="left" w:pos="426"/>
        </w:tabs>
        <w:ind w:left="425"/>
        <w:rPr>
          <w:rFonts w:eastAsia="Arial Unicode MS" w:cs="Arial Unicode MS"/>
          <w:iCs/>
          <w:noProof/>
          <w:bdr w:val="nil"/>
        </w:rPr>
      </w:pPr>
      <w:r>
        <w:rPr>
          <w:iCs/>
          <w:noProof/>
          <w:bdr w:val="nil"/>
        </w:rPr>
        <w:t>Operațiunile de finanțare și de investiții respectă ambele aspecte ale adiționalității, în conformitate cu articolul 209 alineatul (2) litera (b) din Regulamentul financiar. Aceasta presupune că operațiunile nu ar fi fost efectuate deloc sau nu ar fi fost efectuate în aceeași măsură din alte surse publice sau private fără sprijinul Fondului InvestEU. În sensul prezentului regulament, aceste operațiuni se interpretează ca operațiuni de finanțare și de investiții care trebuie să îndeplinească următoarele două criterii:</w:t>
      </w:r>
    </w:p>
    <w:p>
      <w:pPr>
        <w:shd w:val="clear" w:color="auto" w:fill="FFFFFF"/>
        <w:tabs>
          <w:tab w:val="left" w:pos="1418"/>
        </w:tabs>
        <w:ind w:left="1134" w:hanging="425"/>
        <w:rPr>
          <w:rFonts w:eastAsia="Arial Unicode MS" w:cs="Arial Unicode MS"/>
          <w:iCs/>
          <w:noProof/>
          <w:bdr w:val="nil"/>
        </w:rPr>
      </w:pPr>
      <w:r>
        <w:rPr>
          <w:iCs/>
          <w:noProof/>
          <w:bdr w:val="nil"/>
        </w:rPr>
        <w:t>(1)</w:t>
      </w:r>
      <w:r>
        <w:rPr>
          <w:noProof/>
        </w:rPr>
        <w:tab/>
      </w:r>
      <w:r>
        <w:rPr>
          <w:iCs/>
          <w:noProof/>
          <w:bdr w:val="nil"/>
        </w:rPr>
        <w:t>Pentru a fi considerat adițional față de sursele private menționate la articolul 209 alineatul (2) litera (b) din Regulamentul financiar, Fondul InvestEU sprijină operațiunile de finanțare și de investiții ale partenerilor de implementare vizând investiții care, datorită caracteristicilor lor (bunuri publice, externalități, asimetrii de informare, considerente de coeziune socioeconomică sau altele), nu pot genera un randament financiar suficient la nivel de piață sau sunt percepute ca fiind prea riscante (în comparație cu nivelurile de risc pe care entitățile private relevante sunt dispuse să le accepte). Din cauza respectivelor caracteristici, astfel de operațiuni de finanțare și de investiții nu pot avea acces la finanțare pe piață în condiții rezonabile în ceea ce privește prețurile, cerințele de garanții, tipul de finanțare, durata finanțării oferite sau alte condiții și nu ar fi efectuate în Uniune deloc, sau nu în aceeași măsură, fără sprijin public.</w:t>
      </w:r>
    </w:p>
    <w:p>
      <w:pPr>
        <w:shd w:val="clear" w:color="auto" w:fill="FFFFFF"/>
        <w:tabs>
          <w:tab w:val="left" w:pos="1418"/>
        </w:tabs>
        <w:ind w:left="1134" w:hanging="425"/>
        <w:rPr>
          <w:rFonts w:eastAsia="Arial Unicode MS" w:cs="Arial Unicode MS"/>
          <w:iCs/>
          <w:noProof/>
          <w:bdr w:val="nil"/>
        </w:rPr>
      </w:pPr>
      <w:r>
        <w:rPr>
          <w:iCs/>
          <w:noProof/>
          <w:bdr w:val="nil"/>
        </w:rPr>
        <w:t>(2)</w:t>
      </w:r>
      <w:r>
        <w:rPr>
          <w:iCs/>
          <w:noProof/>
          <w:bdr w:val="nil"/>
        </w:rPr>
        <w:tab/>
        <w:t xml:space="preserve">Pentru a fi considerat adițional față de sprijinul provenit din alte surse publice, menționate la articolul 209 alineatul (2) litera (b) din Regulamentul financiar, Fondul InvestEU sprijină numai operațiunile de finanțare și de investiții pentru care se aplică următoarele condiții: </w:t>
      </w:r>
    </w:p>
    <w:p>
      <w:pPr>
        <w:shd w:val="clear" w:color="auto" w:fill="FFFFFF"/>
        <w:tabs>
          <w:tab w:val="left" w:pos="1418"/>
        </w:tabs>
        <w:ind w:left="1560" w:hanging="426"/>
        <w:rPr>
          <w:rFonts w:eastAsia="Arial Unicode MS" w:cs="Arial Unicode MS"/>
          <w:iCs/>
          <w:noProof/>
          <w:bdr w:val="nil"/>
        </w:rPr>
      </w:pPr>
      <w:r>
        <w:rPr>
          <w:iCs/>
          <w:noProof/>
          <w:bdr w:val="nil"/>
        </w:rPr>
        <w:t>(a)</w:t>
      </w:r>
      <w:r>
        <w:rPr>
          <w:noProof/>
        </w:rPr>
        <w:tab/>
      </w:r>
      <w:r>
        <w:rPr>
          <w:noProof/>
        </w:rPr>
        <w:tab/>
      </w:r>
      <w:r>
        <w:rPr>
          <w:iCs/>
          <w:noProof/>
          <w:bdr w:val="nil"/>
        </w:rPr>
        <w:t>operațiunile de finanțare sau de investiții nu ar fi fost efectuate deloc sau nu ar fi fost efectuate în aceeași măsură de către partenerul de implementare fără sprijinul Fondului InvestEU și</w:t>
      </w:r>
    </w:p>
    <w:p>
      <w:pPr>
        <w:shd w:val="clear" w:color="auto" w:fill="FFFFFF"/>
        <w:tabs>
          <w:tab w:val="left" w:pos="1418"/>
        </w:tabs>
        <w:ind w:left="1560" w:hanging="426"/>
        <w:rPr>
          <w:rFonts w:eastAsia="Arial Unicode MS" w:cs="Arial Unicode MS"/>
          <w:iCs/>
          <w:noProof/>
          <w:bdr w:val="nil"/>
        </w:rPr>
      </w:pPr>
      <w:r>
        <w:rPr>
          <w:iCs/>
          <w:noProof/>
          <w:bdr w:val="nil"/>
        </w:rPr>
        <w:t>(b)</w:t>
      </w:r>
      <w:r>
        <w:rPr>
          <w:noProof/>
        </w:rPr>
        <w:tab/>
      </w:r>
      <w:r>
        <w:rPr>
          <w:noProof/>
        </w:rPr>
        <w:tab/>
      </w:r>
      <w:r>
        <w:rPr>
          <w:iCs/>
          <w:noProof/>
          <w:bdr w:val="nil"/>
        </w:rPr>
        <w:t>operațiunile de finanțare sau de investiții nu ar fi fost efectuate deloc sau nu ar fi fost efectuate în aceeași măsură în Uniune în cadrul altor instrumente publice existente, cum ar fi instrumentele financiare în gestiune partajată care funcționează la nivel regional și național, deși utilizarea complementară a InvestEU și a altor surse publice trebuie să fie posibilă, în special atunci când se poate obține valoare adăugată a Uniunii și atunci când poate fi optimizată utilizarea surselor publice pentru o îndeplinire eficientă a obiectivelor de politică.</w:t>
      </w:r>
    </w:p>
    <w:p>
      <w:pPr>
        <w:shd w:val="clear" w:color="auto" w:fill="FFFFFF"/>
        <w:tabs>
          <w:tab w:val="left" w:pos="1418"/>
        </w:tabs>
        <w:ind w:left="1134" w:hanging="425"/>
        <w:rPr>
          <w:rFonts w:eastAsia="Arial Unicode MS" w:cs="Arial Unicode MS"/>
          <w:iCs/>
          <w:noProof/>
          <w:bdr w:val="nil"/>
        </w:rPr>
      </w:pPr>
      <w:r>
        <w:rPr>
          <w:iCs/>
          <w:noProof/>
          <w:bdr w:val="nil"/>
        </w:rPr>
        <w:t>(3)</w:t>
      </w:r>
      <w:r>
        <w:rPr>
          <w:noProof/>
        </w:rPr>
        <w:tab/>
      </w:r>
      <w:r>
        <w:rPr>
          <w:iCs/>
          <w:noProof/>
          <w:bdr w:val="nil"/>
        </w:rPr>
        <w:t>Operațiunile de finanțare sau de investiții în cadrul componentei pentru investiții europene strategice pot fi, de asemenea, considerate adiționale dacă respectivele operațiuni nu ar fi fost efectuate deloc sau nu ar fi fost efectuate în aceeași măsură de către alte entități private și publice stabilite și care își desfășoară activitatea în Uniune fără sprijinul Fondului InvestEU.</w:t>
      </w:r>
    </w:p>
    <w:p>
      <w:pPr>
        <w:shd w:val="clear" w:color="auto" w:fill="FFFFFF"/>
        <w:tabs>
          <w:tab w:val="left" w:pos="426"/>
        </w:tabs>
        <w:ind w:left="425"/>
        <w:rPr>
          <w:rFonts w:eastAsia="Arial Unicode MS" w:cs="Arial Unicode MS"/>
          <w:iCs/>
          <w:noProof/>
          <w:bdr w:val="nil"/>
        </w:rPr>
      </w:pPr>
      <w:r>
        <w:rPr>
          <w:iCs/>
          <w:noProof/>
          <w:bdr w:val="nil"/>
        </w:rPr>
        <w:t>Pentru a demonstra că operațiunile de finanțare și de investiții care beneficiază de garanția UE sunt adiționale față de piața existentă și de alte tipuri de sprijin public, partenerii de implementare trebuie să ofere informații care să demonstreze cel puțin una dintre următoarele caracteristici:</w:t>
      </w:r>
    </w:p>
    <w:p>
      <w:pPr>
        <w:shd w:val="clear" w:color="auto" w:fill="FFFFFF"/>
        <w:tabs>
          <w:tab w:val="left" w:pos="1418"/>
        </w:tabs>
        <w:ind w:left="1134" w:hanging="425"/>
        <w:rPr>
          <w:rFonts w:eastAsia="Arial Unicode MS" w:cs="Arial Unicode MS"/>
          <w:iCs/>
          <w:noProof/>
          <w:bdr w:val="nil"/>
        </w:rPr>
      </w:pPr>
      <w:r>
        <w:rPr>
          <w:iCs/>
          <w:noProof/>
          <w:bdr w:val="nil"/>
        </w:rPr>
        <w:t>(a)</w:t>
      </w:r>
      <w:r>
        <w:rPr>
          <w:noProof/>
        </w:rPr>
        <w:tab/>
      </w:r>
      <w:r>
        <w:rPr>
          <w:iCs/>
          <w:noProof/>
          <w:bdr w:val="nil"/>
        </w:rPr>
        <w:t>sprijin acordat prin poziții subordonate în raport cu alți creditori publici sau privați sau în cadrul structurii de finanțare;</w:t>
      </w:r>
    </w:p>
    <w:p>
      <w:pPr>
        <w:shd w:val="clear" w:color="auto" w:fill="FFFFFF"/>
        <w:tabs>
          <w:tab w:val="left" w:pos="1418"/>
        </w:tabs>
        <w:ind w:left="1134" w:hanging="425"/>
        <w:rPr>
          <w:rFonts w:eastAsia="Arial Unicode MS" w:cs="Arial Unicode MS"/>
          <w:iCs/>
          <w:noProof/>
          <w:bdr w:val="nil"/>
        </w:rPr>
      </w:pPr>
      <w:r>
        <w:rPr>
          <w:iCs/>
          <w:noProof/>
          <w:bdr w:val="nil"/>
        </w:rPr>
        <w:t>(b)</w:t>
      </w:r>
      <w:r>
        <w:rPr>
          <w:noProof/>
        </w:rPr>
        <w:tab/>
      </w:r>
      <w:r>
        <w:rPr>
          <w:iCs/>
          <w:noProof/>
          <w:bdr w:val="nil"/>
        </w:rPr>
        <w:t xml:space="preserve">sprijin acordat prin capital propriu și cvasicapital sau prin împrumuturi cu scadențe lungi, prețuri, cerințe de garanție sau alte condiții care nu sunt disponibile în mod suficient pe piață sau din alte surse publice; </w:t>
      </w:r>
    </w:p>
    <w:p>
      <w:pPr>
        <w:shd w:val="clear" w:color="auto" w:fill="FFFFFF"/>
        <w:tabs>
          <w:tab w:val="left" w:pos="1418"/>
        </w:tabs>
        <w:ind w:left="1134" w:hanging="425"/>
        <w:rPr>
          <w:rFonts w:eastAsia="Arial Unicode MS" w:cs="Arial Unicode MS"/>
          <w:iCs/>
          <w:noProof/>
          <w:bdr w:val="nil"/>
        </w:rPr>
      </w:pPr>
      <w:r>
        <w:rPr>
          <w:iCs/>
          <w:noProof/>
          <w:bdr w:val="nil"/>
        </w:rPr>
        <w:t>(c)</w:t>
      </w:r>
      <w:r>
        <w:rPr>
          <w:noProof/>
        </w:rPr>
        <w:tab/>
      </w:r>
      <w:r>
        <w:rPr>
          <w:iCs/>
          <w:noProof/>
          <w:bdr w:val="nil"/>
        </w:rPr>
        <w:t>sprijin pentru operațiunile care prezintă un profil de risc mai ridicat decât riscul general acceptat în activitățile standard ale partenerului de implementare sau sprijin acordat partenerilor de implementare pentru a-și depăși propria capacitate de sprijin pentru astfel de operațiuni;</w:t>
      </w:r>
    </w:p>
    <w:p>
      <w:pPr>
        <w:shd w:val="clear" w:color="auto" w:fill="FFFFFF"/>
        <w:tabs>
          <w:tab w:val="left" w:pos="1418"/>
        </w:tabs>
        <w:ind w:left="1134" w:hanging="425"/>
        <w:rPr>
          <w:rFonts w:eastAsia="Arial Unicode MS" w:cs="Arial Unicode MS"/>
          <w:iCs/>
          <w:noProof/>
          <w:bdr w:val="nil"/>
        </w:rPr>
      </w:pPr>
      <w:r>
        <w:rPr>
          <w:iCs/>
          <w:noProof/>
          <w:bdr w:val="nil"/>
        </w:rPr>
        <w:t>(d)</w:t>
      </w:r>
      <w:r>
        <w:rPr>
          <w:noProof/>
        </w:rPr>
        <w:tab/>
      </w:r>
      <w:r>
        <w:rPr>
          <w:iCs/>
          <w:noProof/>
          <w:bdr w:val="nil"/>
        </w:rPr>
        <w:t>participarea la mecanisme de partajare a riscurilor vizând domenii de politică care expun partenerul de implementare la niveluri de risc mai ridicate în comparație cu nivelurile general acceptate de partenerul de implementare sau pe care actorii financiari privați sunt capabili sau dispuși să le accepte;</w:t>
      </w:r>
    </w:p>
    <w:p>
      <w:pPr>
        <w:shd w:val="clear" w:color="auto" w:fill="FFFFFF"/>
        <w:tabs>
          <w:tab w:val="left" w:pos="1418"/>
        </w:tabs>
        <w:ind w:left="1134" w:hanging="425"/>
        <w:rPr>
          <w:rFonts w:eastAsia="Arial Unicode MS" w:cs="Arial Unicode MS"/>
          <w:iCs/>
          <w:noProof/>
          <w:bdr w:val="nil"/>
        </w:rPr>
      </w:pPr>
      <w:r>
        <w:rPr>
          <w:iCs/>
          <w:noProof/>
          <w:bdr w:val="nil"/>
        </w:rPr>
        <w:t>(e)</w:t>
      </w:r>
      <w:r>
        <w:rPr>
          <w:noProof/>
        </w:rPr>
        <w:tab/>
      </w:r>
      <w:r>
        <w:rPr>
          <w:iCs/>
          <w:noProof/>
          <w:bdr w:val="nil"/>
        </w:rPr>
        <w:t>sprijin care catalizează/atrage finanțare privată sau publică suplimentară și care este complementar altor surse private și comerciale, în special din partea categoriilor de investitori care au în mod tradițional aversiune la risc sau din partea investitorilor instituționali, ca urmare a efectului de semnalizare pe care îl are sprijinul acordat în cadrul Fondului InvestEU;</w:t>
      </w:r>
    </w:p>
    <w:p>
      <w:pPr>
        <w:shd w:val="clear" w:color="auto" w:fill="FFFFFF"/>
        <w:tabs>
          <w:tab w:val="left" w:pos="1418"/>
        </w:tabs>
        <w:ind w:left="1134" w:hanging="425"/>
        <w:rPr>
          <w:rFonts w:eastAsia="Arial Unicode MS" w:cs="Arial Unicode MS"/>
          <w:iCs/>
          <w:noProof/>
          <w:bdr w:val="nil"/>
        </w:rPr>
      </w:pPr>
      <w:r>
        <w:rPr>
          <w:iCs/>
          <w:noProof/>
          <w:bdr w:val="nil"/>
        </w:rPr>
        <w:t>(f)</w:t>
      </w:r>
      <w:r>
        <w:rPr>
          <w:noProof/>
        </w:rPr>
        <w:tab/>
      </w:r>
      <w:r>
        <w:rPr>
          <w:iCs/>
          <w:noProof/>
          <w:bdr w:val="nil"/>
        </w:rPr>
        <w:t>sprijin acordat prin produse financiare care nu sunt disponibile sau nu sunt oferite la un nivel suficient în țările sau regiunile vizate, din cauza faptului că piețele lipsesc, nu sunt suficient dezvoltate sau sunt incomplete.</w:t>
      </w:r>
    </w:p>
    <w:p>
      <w:pPr>
        <w:shd w:val="clear" w:color="auto" w:fill="FFFFFF"/>
        <w:tabs>
          <w:tab w:val="left" w:pos="426"/>
        </w:tabs>
        <w:ind w:left="425"/>
        <w:rPr>
          <w:rFonts w:eastAsia="Arial Unicode MS" w:cs="Arial Unicode MS"/>
          <w:iCs/>
          <w:noProof/>
          <w:bdr w:val="nil"/>
        </w:rPr>
      </w:pPr>
      <w:r>
        <w:rPr>
          <w:iCs/>
          <w:noProof/>
          <w:bdr w:val="nil"/>
        </w:rPr>
        <w:t>În cazul operațiunilor de finanțare și de investiții intermediate, în special în ceea ce privește sprijinul acordat IMM-urilor, adiționalitatea se verifică la nivelul intermediarului mai curând decât la nivelul destinatarului final. Se consideră că există adiționalitate atunci când Fondul InvestEU sprijină un intermediar financiar să instituie un nou portofoliu, cu un nivel mai ridicat de risc, sau să mărească volumul activităților care prezintă deja un risc ridicat, în comparație cu nivelurile de risc pe care actorii financiari privați și publici sunt, la momentul respectiv, capabili sau dispuși să le accepte în țările sau regiunile vizate.</w:t>
      </w:r>
    </w:p>
    <w:p>
      <w:pPr>
        <w:shd w:val="clear" w:color="auto" w:fill="FFFFFF"/>
        <w:tabs>
          <w:tab w:val="left" w:pos="426"/>
        </w:tabs>
        <w:ind w:left="425"/>
        <w:rPr>
          <w:rFonts w:eastAsia="Arial Unicode MS" w:cs="Arial Unicode MS"/>
          <w:iCs/>
          <w:noProof/>
          <w:bdr w:val="nil"/>
        </w:rPr>
      </w:pPr>
      <w:r>
        <w:rPr>
          <w:iCs/>
          <w:noProof/>
          <w:bdr w:val="nil"/>
        </w:rPr>
        <w:t>Garanția UE nu se acordă pentru sprijinirea operațiunilor de refinanțare (cum ar fi înlocuirea acordurilor de împrumut existente sau a altor forme de sprijin financiar pentru proiecte care s-au materializat deja parțial sau integral), decât în circumstanțe excepționale specifice, justificate corespunzător, în care se demonstrează că operațiunea aflată sub garanția UE va permite o nouă investiție, într-un domeniu eligibil pentru operațiuni de finanțare și de investiții în temeiul anexei II, a unei sume adiționale față de volumul de activitate obișnuit al partenerului de implementare sau al intermediarului financiar, cel puțin echivalentă cu valoarea operațiunii care îndeplinește criteriile de eligibilitate stabilite în prezentul regulament. Aceste operațiuni de refinanțare trebuie să respecte cerințele stabilite în secțiunea A din prezenta anexă referitoare la disfuncționalitatea pieței, la situațiile de investiții suboptime și la adiționalitate.</w:t>
      </w:r>
    </w:p>
    <w:p>
      <w:pPr>
        <w:shd w:val="clear" w:color="auto" w:fill="FFFFFF"/>
        <w:tabs>
          <w:tab w:val="left" w:pos="284"/>
          <w:tab w:val="left" w:pos="850"/>
        </w:tabs>
        <w:ind w:left="850" w:hanging="850"/>
        <w:rPr>
          <w:rFonts w:eastAsia="Arial Unicode MS" w:cs="Arial Unicode MS"/>
          <w:iCs/>
          <w:noProof/>
          <w:bdr w:val="nil"/>
        </w:rPr>
      </w:pPr>
      <w:r>
        <w:rPr>
          <w:iCs/>
          <w:noProof/>
          <w:bdr w:val="nil"/>
        </w:rPr>
        <w:t>B.</w:t>
      </w:r>
      <w:r>
        <w:rPr>
          <w:noProof/>
        </w:rPr>
        <w:tab/>
      </w:r>
      <w:r>
        <w:rPr>
          <w:iCs/>
          <w:noProof/>
          <w:bdr w:val="nil"/>
        </w:rPr>
        <w:t>Activități excluse</w:t>
      </w:r>
    </w:p>
    <w:p>
      <w:pPr>
        <w:shd w:val="clear" w:color="auto" w:fill="FFFFFF"/>
        <w:tabs>
          <w:tab w:val="left" w:pos="284"/>
        </w:tabs>
        <w:ind w:left="284"/>
        <w:rPr>
          <w:rFonts w:eastAsia="Arial Unicode MS" w:cs="Arial Unicode MS"/>
          <w:iCs/>
          <w:noProof/>
          <w:bdr w:val="nil"/>
        </w:rPr>
      </w:pPr>
      <w:r>
        <w:rPr>
          <w:iCs/>
          <w:noProof/>
          <w:bdr w:val="nil"/>
        </w:rPr>
        <w:t>Fondul InvestEU nu sprijină:</w:t>
      </w:r>
    </w:p>
    <w:p>
      <w:pPr>
        <w:shd w:val="clear" w:color="auto" w:fill="FFFFFF"/>
        <w:tabs>
          <w:tab w:val="left" w:pos="426"/>
        </w:tabs>
        <w:ind w:left="709" w:hanging="425"/>
        <w:rPr>
          <w:rFonts w:eastAsia="Arial Unicode MS" w:cs="Arial Unicode MS"/>
          <w:iCs/>
          <w:noProof/>
          <w:bdr w:val="nil"/>
        </w:rPr>
      </w:pPr>
      <w:r>
        <w:rPr>
          <w:iCs/>
          <w:noProof/>
          <w:bdr w:val="nil"/>
        </w:rPr>
        <w:t>(1)</w:t>
      </w:r>
      <w:r>
        <w:rPr>
          <w:noProof/>
        </w:rPr>
        <w:tab/>
      </w:r>
      <w:r>
        <w:rPr>
          <w:iCs/>
          <w:noProof/>
          <w:bdr w:val="nil"/>
        </w:rPr>
        <w:t>activități care limitează drepturile și libertățile individuale sau care încalcă drepturile omului;</w:t>
      </w:r>
    </w:p>
    <w:p>
      <w:pPr>
        <w:shd w:val="clear" w:color="auto" w:fill="FFFFFF"/>
        <w:tabs>
          <w:tab w:val="left" w:pos="426"/>
        </w:tabs>
        <w:ind w:left="709" w:hanging="425"/>
        <w:rPr>
          <w:rFonts w:eastAsia="Arial Unicode MS" w:cs="Arial Unicode MS"/>
          <w:iCs/>
          <w:noProof/>
          <w:bdr w:val="nil"/>
        </w:rPr>
      </w:pPr>
      <w:r>
        <w:rPr>
          <w:iCs/>
          <w:noProof/>
          <w:bdr w:val="nil"/>
        </w:rPr>
        <w:t>(2)</w:t>
      </w:r>
      <w:r>
        <w:rPr>
          <w:noProof/>
        </w:rPr>
        <w:tab/>
      </w:r>
      <w:r>
        <w:rPr>
          <w:iCs/>
          <w:noProof/>
          <w:bdr w:val="nil"/>
        </w:rPr>
        <w:t>în domeniul activităților de apărare, utilizarea, dezvoltarea sau fabricarea de produse și tehnologii care sunt interzise de dreptul internațional aplicabil;</w:t>
      </w:r>
    </w:p>
    <w:p>
      <w:pPr>
        <w:shd w:val="clear" w:color="auto" w:fill="FFFFFF"/>
        <w:tabs>
          <w:tab w:val="left" w:pos="426"/>
        </w:tabs>
        <w:ind w:left="709" w:hanging="425"/>
        <w:rPr>
          <w:rFonts w:eastAsia="Arial Unicode MS" w:cs="Arial Unicode MS"/>
          <w:iCs/>
          <w:noProof/>
          <w:bdr w:val="nil"/>
        </w:rPr>
      </w:pPr>
      <w:r>
        <w:rPr>
          <w:iCs/>
          <w:noProof/>
          <w:bdr w:val="nil"/>
        </w:rPr>
        <w:t>(3)</w:t>
      </w:r>
      <w:r>
        <w:rPr>
          <w:noProof/>
        </w:rPr>
        <w:tab/>
      </w:r>
      <w:r>
        <w:rPr>
          <w:iCs/>
          <w:noProof/>
          <w:bdr w:val="nil"/>
        </w:rPr>
        <w:t>produse și activități legate de tutun (producție, distribuție, prelucrare și comercializare);</w:t>
      </w:r>
    </w:p>
    <w:p>
      <w:pPr>
        <w:shd w:val="clear" w:color="auto" w:fill="FFFFFF"/>
        <w:tabs>
          <w:tab w:val="left" w:pos="426"/>
        </w:tabs>
        <w:ind w:left="709" w:hanging="425"/>
        <w:rPr>
          <w:rFonts w:eastAsia="Arial Unicode MS" w:cs="Arial Unicode MS"/>
          <w:iCs/>
          <w:noProof/>
          <w:bdr w:val="nil"/>
        </w:rPr>
      </w:pPr>
      <w:r>
        <w:rPr>
          <w:iCs/>
          <w:noProof/>
          <w:bdr w:val="nil"/>
        </w:rPr>
        <w:t>(4)</w:t>
      </w:r>
      <w:r>
        <w:rPr>
          <w:noProof/>
        </w:rPr>
        <w:tab/>
      </w:r>
      <w:r>
        <w:rPr>
          <w:iCs/>
          <w:noProof/>
          <w:bdr w:val="nil"/>
        </w:rPr>
        <w:t>activități excluse de la finanțare în temeiul articolului [X] din Regulamentul privind [Orizont Europa]</w:t>
      </w:r>
      <w:r>
        <w:rPr>
          <w:rStyle w:val="FootnoteReference"/>
          <w:rFonts w:eastAsia="Arial Unicode MS" w:cs="Arial Unicode MS"/>
          <w:iCs/>
          <w:noProof/>
          <w:bdr w:val="nil"/>
        </w:rPr>
        <w:footnoteReference w:id="2"/>
      </w:r>
      <w:r>
        <w:rPr>
          <w:iCs/>
          <w:noProof/>
          <w:bdr w:val="nil"/>
        </w:rPr>
        <w:t>: cercetarea privind clonarea umană în scop de reproducere; activități care urmăresc să modifice moștenirea genetică a ființelor umane și care ar putea face ca aceste modificări să devină ereditare și activități de creare de embrioni umani exclusiv pentru cercetare sau pentru obținerea de celule stem, inclusiv prin transferul nucleului celulelor somatice;</w:t>
      </w:r>
    </w:p>
    <w:p>
      <w:pPr>
        <w:shd w:val="clear" w:color="auto" w:fill="FFFFFF"/>
        <w:tabs>
          <w:tab w:val="left" w:pos="426"/>
        </w:tabs>
        <w:ind w:left="709" w:hanging="425"/>
        <w:rPr>
          <w:rFonts w:eastAsia="Arial Unicode MS" w:cs="Arial Unicode MS"/>
          <w:iCs/>
          <w:noProof/>
          <w:bdr w:val="nil"/>
        </w:rPr>
      </w:pPr>
      <w:r>
        <w:rPr>
          <w:iCs/>
          <w:noProof/>
          <w:bdr w:val="nil"/>
        </w:rPr>
        <w:t>(5)</w:t>
      </w:r>
      <w:r>
        <w:rPr>
          <w:noProof/>
        </w:rPr>
        <w:tab/>
      </w:r>
      <w:r>
        <w:rPr>
          <w:iCs/>
          <w:noProof/>
          <w:bdr w:val="nil"/>
        </w:rPr>
        <w:t>jocuri de noroc (activități de producție, concepție, distribuție, procesare, comerț sau activități legate de software);</w:t>
      </w:r>
    </w:p>
    <w:p>
      <w:pPr>
        <w:shd w:val="clear" w:color="auto" w:fill="FFFFFF"/>
        <w:tabs>
          <w:tab w:val="left" w:pos="426"/>
        </w:tabs>
        <w:ind w:left="709" w:hanging="425"/>
        <w:rPr>
          <w:rFonts w:eastAsia="Arial Unicode MS" w:cs="Arial Unicode MS"/>
          <w:iCs/>
          <w:noProof/>
          <w:bdr w:val="nil"/>
        </w:rPr>
      </w:pPr>
      <w:r>
        <w:rPr>
          <w:iCs/>
          <w:noProof/>
          <w:bdr w:val="nil"/>
        </w:rPr>
        <w:t>(6)</w:t>
      </w:r>
      <w:r>
        <w:rPr>
          <w:noProof/>
        </w:rPr>
        <w:tab/>
      </w:r>
      <w:r>
        <w:rPr>
          <w:iCs/>
          <w:noProof/>
          <w:bdr w:val="nil"/>
        </w:rPr>
        <w:t>comerțul cu sex și infrastructura, serviciile și mijloacele de informare în masă legate de acesta;</w:t>
      </w:r>
    </w:p>
    <w:p>
      <w:pPr>
        <w:shd w:val="clear" w:color="auto" w:fill="FFFFFF"/>
        <w:tabs>
          <w:tab w:val="left" w:pos="426"/>
        </w:tabs>
        <w:ind w:left="709" w:hanging="425"/>
        <w:rPr>
          <w:rFonts w:eastAsia="Arial Unicode MS" w:cs="Arial Unicode MS"/>
          <w:iCs/>
          <w:noProof/>
          <w:bdr w:val="nil"/>
        </w:rPr>
      </w:pPr>
      <w:r>
        <w:rPr>
          <w:iCs/>
          <w:noProof/>
          <w:bdr w:val="nil"/>
        </w:rPr>
        <w:t>(7)</w:t>
      </w:r>
      <w:r>
        <w:rPr>
          <w:noProof/>
        </w:rPr>
        <w:tab/>
      </w:r>
      <w:r>
        <w:rPr>
          <w:iCs/>
          <w:noProof/>
          <w:bdr w:val="nil"/>
        </w:rPr>
        <w:t>activități care utilizează animale vii în scopuri experimentale și științifice, în măsura în care nu poate fi garantată respectarea Convenției europene privind protecția animalelor vertebrate utilizate în scopuri experimentale sau în alte scopuri științifice</w:t>
      </w:r>
      <w:r>
        <w:rPr>
          <w:rStyle w:val="FootnoteReference"/>
          <w:rFonts w:eastAsia="Arial Unicode MS" w:cs="Arial Unicode MS"/>
          <w:iCs/>
          <w:noProof/>
          <w:bdr w:val="nil"/>
        </w:rPr>
        <w:footnoteReference w:id="3"/>
      </w:r>
      <w:r>
        <w:rPr>
          <w:iCs/>
          <w:noProof/>
          <w:bdr w:val="nil"/>
        </w:rPr>
        <w:t>;</w:t>
      </w:r>
    </w:p>
    <w:p>
      <w:pPr>
        <w:shd w:val="clear" w:color="auto" w:fill="FFFFFF"/>
        <w:tabs>
          <w:tab w:val="left" w:pos="426"/>
        </w:tabs>
        <w:ind w:left="709" w:hanging="425"/>
        <w:rPr>
          <w:rFonts w:eastAsia="Arial Unicode MS" w:cs="Arial Unicode MS"/>
          <w:iCs/>
          <w:noProof/>
          <w:bdr w:val="nil"/>
        </w:rPr>
      </w:pPr>
      <w:r>
        <w:rPr>
          <w:iCs/>
          <w:noProof/>
          <w:bdr w:val="nil"/>
        </w:rPr>
        <w:t>(8)</w:t>
      </w:r>
      <w:r>
        <w:rPr>
          <w:noProof/>
        </w:rPr>
        <w:tab/>
      </w:r>
      <w:r>
        <w:rPr>
          <w:iCs/>
          <w:noProof/>
          <w:bdr w:val="nil"/>
        </w:rPr>
        <w:t>activități de dezvoltare imobiliară, precum activitățile care au unicul scop de a renova și a reînchiria sau a revinde clădiri existente, precum și de a construi noi proiecte; cu toate acestea, sunt eligibile activitățile din sectorul imobiliar care sunt legate de obiectivele specifice ale Programului InvestEU precizate la articolul 3 alineatul (2) și de domeniile eligibile pentru operațiuni de finanțare și de investiții în temeiul anexei II, cum ar fi investițiile în proiecte de eficiență energetică sau în locuințe sociale;</w:t>
      </w:r>
    </w:p>
    <w:p>
      <w:pPr>
        <w:shd w:val="clear" w:color="auto" w:fill="FFFFFF"/>
        <w:tabs>
          <w:tab w:val="left" w:pos="426"/>
        </w:tabs>
        <w:ind w:left="709" w:hanging="425"/>
        <w:rPr>
          <w:rFonts w:eastAsia="Arial Unicode MS" w:cs="Arial Unicode MS"/>
          <w:iCs/>
          <w:noProof/>
          <w:bdr w:val="nil"/>
        </w:rPr>
      </w:pPr>
      <w:r>
        <w:rPr>
          <w:iCs/>
          <w:noProof/>
          <w:bdr w:val="nil"/>
        </w:rPr>
        <w:t>(9)</w:t>
      </w:r>
      <w:r>
        <w:rPr>
          <w:noProof/>
        </w:rPr>
        <w:tab/>
      </w:r>
      <w:r>
        <w:rPr>
          <w:iCs/>
          <w:noProof/>
          <w:bdr w:val="nil"/>
        </w:rPr>
        <w:t>activități financiare precum achiziționarea sau tranzacționarea de instrumente financiare. Sunt excluse în special intervențiile care vizează preluarea în scopul dezmembrării de active sau capitalul de înlocuire destinat dezmembrării de active;</w:t>
      </w:r>
    </w:p>
    <w:p>
      <w:pPr>
        <w:shd w:val="clear" w:color="auto" w:fill="FFFFFF"/>
        <w:tabs>
          <w:tab w:val="left" w:pos="426"/>
        </w:tabs>
        <w:ind w:left="851" w:hanging="567"/>
        <w:rPr>
          <w:rFonts w:eastAsia="Arial Unicode MS" w:cs="Arial Unicode MS"/>
          <w:iCs/>
          <w:noProof/>
          <w:bdr w:val="nil"/>
        </w:rPr>
      </w:pPr>
      <w:r>
        <w:rPr>
          <w:iCs/>
          <w:noProof/>
          <w:bdr w:val="nil"/>
        </w:rPr>
        <w:t>(10)</w:t>
      </w:r>
      <w:r>
        <w:rPr>
          <w:noProof/>
        </w:rPr>
        <w:tab/>
      </w:r>
      <w:r>
        <w:rPr>
          <w:iCs/>
          <w:noProof/>
          <w:bdr w:val="nil"/>
        </w:rPr>
        <w:t>activități interzise de legislația națională aplicabilă;</w:t>
      </w:r>
    </w:p>
    <w:p>
      <w:pPr>
        <w:shd w:val="clear" w:color="auto" w:fill="FFFFFF"/>
        <w:tabs>
          <w:tab w:val="left" w:pos="426"/>
        </w:tabs>
        <w:ind w:left="851" w:hanging="567"/>
        <w:rPr>
          <w:rFonts w:eastAsia="Arial Unicode MS" w:cs="Arial Unicode MS"/>
          <w:iCs/>
          <w:noProof/>
          <w:bdr w:val="nil"/>
        </w:rPr>
      </w:pPr>
      <w:r>
        <w:rPr>
          <w:iCs/>
          <w:noProof/>
          <w:bdr w:val="nil"/>
        </w:rPr>
        <w:t>(11)</w:t>
      </w:r>
      <w:r>
        <w:rPr>
          <w:noProof/>
        </w:rPr>
        <w:tab/>
      </w:r>
      <w:r>
        <w:rPr>
          <w:iCs/>
          <w:noProof/>
          <w:bdr w:val="nil"/>
        </w:rPr>
        <w:t>dezafectarea, exploatarea, adaptarea sau construirea de centrale nucleare;</w:t>
      </w:r>
    </w:p>
    <w:p>
      <w:pPr>
        <w:shd w:val="clear" w:color="auto" w:fill="FFFFFF"/>
        <w:tabs>
          <w:tab w:val="left" w:pos="426"/>
        </w:tabs>
        <w:ind w:left="851" w:hanging="567"/>
        <w:rPr>
          <w:rFonts w:eastAsia="Arial Unicode MS" w:cs="Arial Unicode MS"/>
          <w:iCs/>
          <w:noProof/>
          <w:bdr w:val="nil"/>
        </w:rPr>
      </w:pPr>
      <w:r>
        <w:rPr>
          <w:iCs/>
          <w:noProof/>
          <w:bdr w:val="nil"/>
        </w:rPr>
        <w:t>(12)</w:t>
      </w:r>
      <w:r>
        <w:rPr>
          <w:noProof/>
        </w:rPr>
        <w:tab/>
      </w:r>
      <w:r>
        <w:rPr>
          <w:iCs/>
          <w:noProof/>
          <w:bdr w:val="nil"/>
        </w:rPr>
        <w:t>investiții legate de minerit sau de extracție, prelucrare, distribuție, depozitare sau ardere a combustibililor fosili solizi și a petrolului, precum și investiții legate de extracția gazelor naturale. Această excludere nu se aplică:</w:t>
      </w:r>
    </w:p>
    <w:p>
      <w:pPr>
        <w:shd w:val="clear" w:color="auto" w:fill="FFFFFF"/>
        <w:tabs>
          <w:tab w:val="left" w:pos="1134"/>
        </w:tabs>
        <w:ind w:left="993" w:hanging="284"/>
        <w:rPr>
          <w:rFonts w:eastAsia="Arial Unicode MS" w:cs="Arial Unicode MS"/>
          <w:iCs/>
          <w:noProof/>
          <w:bdr w:val="nil"/>
        </w:rPr>
      </w:pPr>
      <w:r>
        <w:rPr>
          <w:iCs/>
          <w:noProof/>
          <w:bdr w:val="nil"/>
        </w:rPr>
        <w:t xml:space="preserve">(a) </w:t>
      </w:r>
      <w:r>
        <w:rPr>
          <w:noProof/>
        </w:rPr>
        <w:tab/>
      </w:r>
      <w:r>
        <w:rPr>
          <w:iCs/>
          <w:noProof/>
          <w:bdr w:val="nil"/>
        </w:rPr>
        <w:t>proiectelor pentru care nu există o tehnologie alternativă viabilă;</w:t>
      </w:r>
    </w:p>
    <w:p>
      <w:pPr>
        <w:shd w:val="clear" w:color="auto" w:fill="FFFFFF"/>
        <w:tabs>
          <w:tab w:val="left" w:pos="1134"/>
        </w:tabs>
        <w:ind w:left="993" w:hanging="284"/>
        <w:rPr>
          <w:rFonts w:eastAsia="Arial Unicode MS" w:cs="Arial Unicode MS"/>
          <w:iCs/>
          <w:noProof/>
          <w:bdr w:val="nil"/>
        </w:rPr>
      </w:pPr>
      <w:r>
        <w:rPr>
          <w:iCs/>
          <w:noProof/>
          <w:bdr w:val="nil"/>
        </w:rPr>
        <w:t>(b) proiectelor legate de prevenirea și controlul poluării;</w:t>
      </w:r>
    </w:p>
    <w:p>
      <w:pPr>
        <w:shd w:val="clear" w:color="auto" w:fill="FFFFFF"/>
        <w:tabs>
          <w:tab w:val="left" w:pos="1134"/>
        </w:tabs>
        <w:ind w:left="993" w:hanging="284"/>
        <w:rPr>
          <w:rFonts w:eastAsia="Arial Unicode MS" w:cs="Arial Unicode MS"/>
          <w:iCs/>
          <w:noProof/>
          <w:bdr w:val="nil"/>
        </w:rPr>
      </w:pPr>
      <w:r>
        <w:rPr>
          <w:iCs/>
          <w:noProof/>
          <w:bdr w:val="nil"/>
        </w:rPr>
        <w:t xml:space="preserve">(c) </w:t>
      </w:r>
      <w:r>
        <w:rPr>
          <w:noProof/>
        </w:rPr>
        <w:tab/>
      </w:r>
      <w:r>
        <w:rPr>
          <w:iCs/>
          <w:noProof/>
          <w:bdr w:val="nil"/>
        </w:rPr>
        <w:t>proiectelor care dispun de instalații de captare și stocare a carbonului sau de instalații de captare și utilizare a carbonului; proiectelor industriale sau de cercetare care conduc la reduceri substanțiale ale emisiilor de gaze cu efect de seră față de indicele sau indicii de referință aplicabili ai sistemului UE de comercializare a certificatelor de emisii;</w:t>
      </w:r>
    </w:p>
    <w:p>
      <w:pPr>
        <w:shd w:val="clear" w:color="auto" w:fill="FFFFFF"/>
        <w:tabs>
          <w:tab w:val="left" w:pos="426"/>
        </w:tabs>
        <w:ind w:left="851" w:hanging="567"/>
        <w:rPr>
          <w:rFonts w:eastAsia="Arial Unicode MS" w:cs="Arial Unicode MS"/>
          <w:iCs/>
          <w:noProof/>
          <w:bdr w:val="nil"/>
        </w:rPr>
      </w:pPr>
      <w:r>
        <w:rPr>
          <w:iCs/>
          <w:noProof/>
          <w:bdr w:val="nil"/>
        </w:rPr>
        <w:t>(13)</w:t>
      </w:r>
      <w:r>
        <w:rPr>
          <w:noProof/>
        </w:rPr>
        <w:tab/>
      </w:r>
      <w:r>
        <w:rPr>
          <w:iCs/>
          <w:noProof/>
          <w:bdr w:val="nil"/>
        </w:rPr>
        <w:t>investiții în instalații pentru eliminarea deșeurilor în depozitele de deșeuri. Această excludere nu se aplică investițiilor în:</w:t>
      </w:r>
    </w:p>
    <w:p>
      <w:pPr>
        <w:shd w:val="clear" w:color="auto" w:fill="FFFFFF"/>
        <w:tabs>
          <w:tab w:val="left" w:pos="1134"/>
        </w:tabs>
        <w:ind w:left="993" w:hanging="284"/>
        <w:rPr>
          <w:rFonts w:eastAsia="Arial Unicode MS" w:cs="Arial Unicode MS"/>
          <w:iCs/>
          <w:noProof/>
          <w:bdr w:val="nil"/>
        </w:rPr>
      </w:pPr>
      <w:r>
        <w:rPr>
          <w:iCs/>
          <w:noProof/>
          <w:bdr w:val="nil"/>
        </w:rPr>
        <w:t>(a)</w:t>
      </w:r>
      <w:r>
        <w:rPr>
          <w:noProof/>
        </w:rPr>
        <w:tab/>
      </w:r>
      <w:r>
        <w:rPr>
          <w:iCs/>
          <w:noProof/>
          <w:bdr w:val="nil"/>
        </w:rPr>
        <w:t xml:space="preserve">instalații de depozitare a deșeurilor </w:t>
      </w:r>
      <w:r>
        <w:rPr>
          <w:i/>
          <w:iCs/>
          <w:noProof/>
          <w:bdr w:val="nil"/>
        </w:rPr>
        <w:t>in situ</w:t>
      </w:r>
      <w:r>
        <w:rPr>
          <w:iCs/>
          <w:noProof/>
          <w:bdr w:val="nil"/>
        </w:rPr>
        <w:t xml:space="preserve"> care reprezintă un element auxiliar al unui proiect de investiții industrial sau de minerit și în cazul cărora s-a demonstrat că depozitarea deșeurilor reprezintă singura opțiune viabilă de tratare a deșeurilor industriale sau miniere produse de însăși activitatea în cauză;</w:t>
      </w:r>
    </w:p>
    <w:p>
      <w:pPr>
        <w:shd w:val="clear" w:color="auto" w:fill="FFFFFF"/>
        <w:tabs>
          <w:tab w:val="left" w:pos="1134"/>
        </w:tabs>
        <w:ind w:left="993" w:hanging="284"/>
        <w:rPr>
          <w:rFonts w:eastAsia="Arial Unicode MS" w:cs="Arial Unicode MS"/>
          <w:iCs/>
          <w:noProof/>
          <w:bdr w:val="nil"/>
        </w:rPr>
      </w:pPr>
      <w:r>
        <w:rPr>
          <w:iCs/>
          <w:noProof/>
          <w:bdr w:val="nil"/>
        </w:rPr>
        <w:t>(b)</w:t>
      </w:r>
      <w:r>
        <w:rPr>
          <w:noProof/>
        </w:rPr>
        <w:tab/>
        <w:t xml:space="preserve"> </w:t>
      </w:r>
      <w:r>
        <w:rPr>
          <w:iCs/>
          <w:noProof/>
          <w:bdr w:val="nil"/>
        </w:rPr>
        <w:t>instalațiile existente de depozitare a deșeurilor pentru a asigura utilizarea gazului de depozit și pentru a promova exploatarea depozitelor de deșeuri și reprocesarea deșeurilor miniere;</w:t>
      </w:r>
    </w:p>
    <w:p>
      <w:pPr>
        <w:shd w:val="clear" w:color="auto" w:fill="FFFFFF"/>
        <w:tabs>
          <w:tab w:val="left" w:pos="426"/>
        </w:tabs>
        <w:ind w:left="851" w:hanging="567"/>
        <w:rPr>
          <w:rFonts w:eastAsia="Arial Unicode MS" w:cs="Arial Unicode MS"/>
          <w:iCs/>
          <w:noProof/>
          <w:bdr w:val="nil"/>
        </w:rPr>
      </w:pPr>
      <w:r>
        <w:rPr>
          <w:iCs/>
          <w:noProof/>
          <w:bdr w:val="nil"/>
        </w:rPr>
        <w:t>(14)</w:t>
      </w:r>
      <w:r>
        <w:rPr>
          <w:noProof/>
        </w:rPr>
        <w:tab/>
      </w:r>
      <w:r>
        <w:rPr>
          <w:iCs/>
          <w:noProof/>
          <w:bdr w:val="nil"/>
        </w:rPr>
        <w:t>investiții în instalațiile de tratare mecano-biologică (TMB). Această excludere nu se aplică investițiilor în modernizarea instalațiilor de TMB existente pentru valorificarea energetică a deșeurilor sau pentru operațiuni de reciclare a deșeurilor separate, cum ar fi compostarea sau digestia anaerobă;</w:t>
      </w:r>
    </w:p>
    <w:p>
      <w:pPr>
        <w:shd w:val="clear" w:color="auto" w:fill="FFFFFF"/>
        <w:tabs>
          <w:tab w:val="left" w:pos="426"/>
        </w:tabs>
        <w:ind w:left="851" w:hanging="567"/>
        <w:rPr>
          <w:rFonts w:eastAsia="Arial Unicode MS" w:cs="Arial Unicode MS"/>
          <w:iCs/>
          <w:noProof/>
          <w:bdr w:val="nil"/>
        </w:rPr>
      </w:pPr>
      <w:r>
        <w:rPr>
          <w:iCs/>
          <w:noProof/>
          <w:bdr w:val="nil"/>
        </w:rPr>
        <w:t>(15)</w:t>
      </w:r>
      <w:r>
        <w:rPr>
          <w:noProof/>
        </w:rPr>
        <w:tab/>
      </w:r>
      <w:r>
        <w:rPr>
          <w:iCs/>
          <w:noProof/>
          <w:bdr w:val="nil"/>
        </w:rPr>
        <w:t>investiții în incineratoare pentru tratarea deșeurilor. Această excludere nu se aplică investițiilor în:</w:t>
      </w:r>
    </w:p>
    <w:p>
      <w:pPr>
        <w:shd w:val="clear" w:color="auto" w:fill="FFFFFF"/>
        <w:tabs>
          <w:tab w:val="left" w:pos="1134"/>
        </w:tabs>
        <w:ind w:left="993" w:hanging="284"/>
        <w:rPr>
          <w:rFonts w:eastAsia="Arial Unicode MS" w:cs="Arial Unicode MS"/>
          <w:iCs/>
          <w:noProof/>
          <w:bdr w:val="nil"/>
        </w:rPr>
      </w:pPr>
      <w:r>
        <w:rPr>
          <w:iCs/>
          <w:noProof/>
          <w:bdr w:val="nil"/>
        </w:rPr>
        <w:t>(a)</w:t>
      </w:r>
      <w:r>
        <w:rPr>
          <w:noProof/>
        </w:rPr>
        <w:tab/>
      </w:r>
      <w:r>
        <w:rPr>
          <w:iCs/>
          <w:noProof/>
          <w:bdr w:val="nil"/>
        </w:rPr>
        <w:t>instalații dedicate exclusiv tratării deșeurilor nereciclabile periculoase;</w:t>
      </w:r>
    </w:p>
    <w:p>
      <w:pPr>
        <w:shd w:val="clear" w:color="auto" w:fill="FFFFFF"/>
        <w:tabs>
          <w:tab w:val="left" w:pos="1134"/>
        </w:tabs>
        <w:ind w:left="993" w:hanging="284"/>
        <w:rPr>
          <w:rFonts w:eastAsia="Arial Unicode MS" w:cs="Arial Unicode MS"/>
          <w:iCs/>
          <w:noProof/>
          <w:bdr w:val="nil"/>
        </w:rPr>
      </w:pPr>
      <w:r>
        <w:rPr>
          <w:iCs/>
          <w:noProof/>
          <w:bdr w:val="nil"/>
        </w:rPr>
        <w:t>(b)</w:t>
      </w:r>
      <w:r>
        <w:rPr>
          <w:noProof/>
        </w:rPr>
        <w:tab/>
        <w:t xml:space="preserve"> </w:t>
      </w:r>
      <w:r>
        <w:rPr>
          <w:iCs/>
          <w:noProof/>
          <w:bdr w:val="nil"/>
        </w:rPr>
        <w:t>instalațiile existente, unde investiția vizează creșterea eficienței energetice, captarea gazelor de eșapament în vederea depozitării sau utilizării ori recuperarea materialelor din cenușa de incinerare, cu condiția ca aceste investiții să nu conducă la o creștere a capacității de prelucrare a deșeurilor a instalației.</w:t>
      </w:r>
    </w:p>
    <w:p>
      <w:pPr>
        <w:shd w:val="clear" w:color="auto" w:fill="FFFFFF"/>
        <w:tabs>
          <w:tab w:val="left" w:pos="284"/>
        </w:tabs>
        <w:ind w:left="284"/>
        <w:rPr>
          <w:rFonts w:eastAsia="Calibri"/>
          <w:iCs/>
          <w:noProof/>
        </w:rPr>
      </w:pPr>
      <w:r>
        <w:rPr>
          <w:iCs/>
          <w:noProof/>
          <w:bdr w:val="nil"/>
        </w:rPr>
        <w:t xml:space="preserve">Partenerii de implementare rămân responsabili de asigurarea conformității operațiunilor de finanțare și de investiții cu criteriile de excludere stabilite în prezenta anexă, în momentul semnării, de monitorizarea conformității pe durata implementării proiectului și de luarea măsurilor de remediere adecvate, dacă este cazul.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Articolul 14 din Propunerea de REGULAMENT AL PARLAMENTULUI EUROPEAN ȘI AL CONSILIULUI de instituire a programului-cadru pentru cercetare și inovare Orizont Europa și de stabilire a normelor sale de participare și de diseminare 2018/0224(COD).</w:t>
      </w:r>
    </w:p>
  </w:footnote>
  <w:footnote w:id="3">
    <w:p>
      <w:pPr>
        <w:pStyle w:val="FootnoteText"/>
      </w:pPr>
      <w:r>
        <w:rPr>
          <w:rStyle w:val="FootnoteReference"/>
        </w:rPr>
        <w:footnoteRef/>
      </w:r>
      <w:r>
        <w:tab/>
        <w:t>JO L 222, 24.8.1999, p.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7C52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A09A84"/>
    <w:lvl w:ilvl="0">
      <w:start w:val="1"/>
      <w:numFmt w:val="decimal"/>
      <w:pStyle w:val="ListNumber3"/>
      <w:lvlText w:val="%1."/>
      <w:lvlJc w:val="left"/>
      <w:pPr>
        <w:tabs>
          <w:tab w:val="num" w:pos="926"/>
        </w:tabs>
        <w:ind w:left="926" w:hanging="360"/>
      </w:pPr>
    </w:lvl>
  </w:abstractNum>
  <w:abstractNum w:abstractNumId="2">
    <w:nsid w:val="FFFFFF7F"/>
    <w:multiLevelType w:val="singleLevel"/>
    <w:tmpl w:val="182CC4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97D659F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70AD28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92A7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4A055EA"/>
    <w:lvl w:ilvl="0">
      <w:start w:val="1"/>
      <w:numFmt w:val="decimal"/>
      <w:pStyle w:val="ListNumber"/>
      <w:lvlText w:val="%1."/>
      <w:lvlJc w:val="left"/>
      <w:pPr>
        <w:tabs>
          <w:tab w:val="num" w:pos="360"/>
        </w:tabs>
        <w:ind w:left="360" w:hanging="360"/>
      </w:pPr>
    </w:lvl>
  </w:abstractNum>
  <w:abstractNum w:abstractNumId="7">
    <w:nsid w:val="FFFFFF89"/>
    <w:multiLevelType w:val="singleLevel"/>
    <w:tmpl w:val="9B84A6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4C6479A"/>
    <w:multiLevelType w:val="hybridMultilevel"/>
    <w:tmpl w:val="6B808576"/>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2">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3">
    <w:nsid w:val="14FE7E03"/>
    <w:multiLevelType w:val="hybridMultilevel"/>
    <w:tmpl w:val="FD98427A"/>
    <w:styleLink w:val="Style3import"/>
    <w:lvl w:ilvl="0" w:tplc="A24CB368">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2178C">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66E002">
      <w:start w:val="1"/>
      <w:numFmt w:val="decimal"/>
      <w:lvlText w:val="(%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8BD2C">
      <w:start w:val="1"/>
      <w:numFmt w:val="decimal"/>
      <w:lvlText w:val="(%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CE636">
      <w:start w:val="1"/>
      <w:numFmt w:val="decimal"/>
      <w:lvlText w:val="(%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07BFE">
      <w:start w:val="1"/>
      <w:numFmt w:val="decimal"/>
      <w:lvlText w:val="(%6)"/>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AFA8A">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84044">
      <w:start w:val="1"/>
      <w:numFmt w:val="decimal"/>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E88BA">
      <w:start w:val="1"/>
      <w:numFmt w:val="decimal"/>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B0557C4"/>
    <w:multiLevelType w:val="hybridMultilevel"/>
    <w:tmpl w:val="9558B820"/>
    <w:styleLink w:val="Style2import"/>
    <w:lvl w:ilvl="0" w:tplc="4E9659C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2A30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03A8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A10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6B9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C9A2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758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6BAB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58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3F12BE"/>
    <w:multiLevelType w:val="hybridMultilevel"/>
    <w:tmpl w:val="7640E8B6"/>
    <w:styleLink w:val="Style4import"/>
    <w:lvl w:ilvl="0" w:tplc="414A16A4">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4A0C8">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4E25A">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BA9CCC">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325F3E">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82B90">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2EB30">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46DD0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AF058">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7">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2">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3">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96D67A1"/>
    <w:multiLevelType w:val="singleLevel"/>
    <w:tmpl w:val="9AC8831A"/>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3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4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3">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4">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5">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6">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42"/>
  </w:num>
  <w:num w:numId="10">
    <w:abstractNumId w:val="11"/>
  </w:num>
  <w:num w:numId="11">
    <w:abstractNumId w:val="43"/>
  </w:num>
  <w:num w:numId="12">
    <w:abstractNumId w:val="38"/>
  </w:num>
  <w:num w:numId="13">
    <w:abstractNumId w:val="12"/>
  </w:num>
  <w:num w:numId="14">
    <w:abstractNumId w:val="45"/>
  </w:num>
  <w:num w:numId="15">
    <w:abstractNumId w:val="46"/>
  </w:num>
  <w:num w:numId="16">
    <w:abstractNumId w:val="32"/>
  </w:num>
  <w:num w:numId="17">
    <w:abstractNumId w:val="44"/>
  </w:num>
  <w:num w:numId="18">
    <w:abstractNumId w:val="40"/>
  </w:num>
  <w:num w:numId="19">
    <w:abstractNumId w:val="27"/>
  </w:num>
  <w:num w:numId="20">
    <w:abstractNumId w:val="10"/>
  </w:num>
  <w:num w:numId="21">
    <w:abstractNumId w:val="19"/>
  </w:num>
  <w:num w:numId="22">
    <w:abstractNumId w:val="14"/>
  </w:num>
  <w:num w:numId="23">
    <w:abstractNumId w:val="20"/>
  </w:num>
  <w:num w:numId="24">
    <w:abstractNumId w:val="33"/>
  </w:num>
  <w:num w:numId="25">
    <w:abstractNumId w:val="24"/>
  </w:num>
  <w:num w:numId="26">
    <w:abstractNumId w:val="8"/>
  </w:num>
  <w:num w:numId="27">
    <w:abstractNumId w:val="9"/>
  </w:num>
  <w:num w:numId="28">
    <w:abstractNumId w:val="30"/>
  </w:num>
  <w:num w:numId="29">
    <w:abstractNumId w:val="29"/>
  </w:num>
  <w:num w:numId="30">
    <w:abstractNumId w:val="15"/>
  </w:num>
  <w:num w:numId="31">
    <w:abstractNumId w:val="13"/>
  </w:num>
  <w:num w:numId="32">
    <w:abstractNumId w:val="18"/>
  </w:num>
  <w:num w:numId="33">
    <w:abstractNumId w:val="23"/>
  </w:num>
  <w:num w:numId="34">
    <w:abstractNumId w:val="34"/>
  </w:num>
  <w:num w:numId="35">
    <w:abstractNumId w:val="37"/>
  </w:num>
  <w:num w:numId="36">
    <w:abstractNumId w:val="25"/>
  </w:num>
  <w:num w:numId="37">
    <w:abstractNumId w:val="41"/>
  </w:num>
  <w:num w:numId="38">
    <w:abstractNumId w:val="22"/>
  </w:num>
  <w:num w:numId="39">
    <w:abstractNumId w:val="26"/>
  </w:num>
  <w:num w:numId="40">
    <w:abstractNumId w:val="17"/>
  </w:num>
  <w:num w:numId="41">
    <w:abstractNumId w:val="39"/>
  </w:num>
  <w:num w:numId="42">
    <w:abstractNumId w:val="16"/>
  </w:num>
  <w:num w:numId="43">
    <w:abstractNumId w:val="28"/>
  </w:num>
  <w:num w:numId="44">
    <w:abstractNumId w:val="35"/>
  </w:num>
  <w:num w:numId="45">
    <w:abstractNumId w:val="36"/>
  </w:num>
  <w:num w:numId="46">
    <w:abstractNumId w:val="21"/>
  </w:num>
  <w:num w:numId="47">
    <w:abstractNumId w:val="31"/>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6:10:4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5"/>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5"/>
    <w:docVar w:name="LW_ANNEX_NBR_LAST" w:val="5"/>
    <w:docVar w:name="LW_ANNEX_UNIQUE" w:val="0"/>
    <w:docVar w:name="LW_CORRIGENDUM" w:val="&lt;UNUSED&gt;"/>
    <w:docVar w:name="LW_COVERPAGE_EXISTS" w:val="True"/>
    <w:docVar w:name="LW_COVERPAGE_GUID" w:val="C0C179A2-97D3-4042-927F-7527869CBBC3"/>
    <w:docVar w:name="LW_COVERPAGE_TYPE" w:val="1"/>
    <w:docVar w:name="LW_CROSSREFERENCE" w:val="&lt;UNUSED&gt;"/>
    <w:docVar w:name="LW_DocType" w:val="ANNEX"/>
    <w:docVar w:name="LW_EMISSION" w:val="29.5.2020"/>
    <w:docVar w:name="LW_EMISSION_ISODATE" w:val="2020-05-29"/>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lt;FMT:Bold&gt;de instituire a Programului InvestEU&lt;/FMT&gt;"/>
    <w:docVar w:name="LW_OBJETACTEPRINCIPAL.CP" w:val="&lt;FMT:Bold&gt;de instituire a Programului InvestEU&lt;/FMT&gt;"/>
    <w:docVar w:name="LW_PART_NBR" w:val="1"/>
    <w:docVar w:name="LW_PART_NBR_TOTAL" w:val="1"/>
    <w:docVar w:name="LW_REF.INST.NEW" w:val="COM"/>
    <w:docVar w:name="LW_REF.INST.NEW_ADOPTED" w:val="final"/>
    <w:docVar w:name="LW_REF.INST.NEW_TEXT" w:val="(2020)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 w:val="Propunerea de REGULAMENT AL PARLAMENTULUI EUROPEAN \u536?I AL CONSILIULUI"/>
    <w:docVar w:name="LW_TYPEACTEPRINCIPAL.CP" w:val="Propunerea de 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qFormat/>
    <w:pPr>
      <w:numPr>
        <w:ilvl w:val="4"/>
        <w:numId w:val="25"/>
      </w:numPr>
      <w:spacing w:before="240" w:after="60"/>
      <w:jc w:val="left"/>
      <w:outlineLvl w:val="4"/>
    </w:pPr>
    <w:rPr>
      <w:rFonts w:eastAsia="Times New Roman"/>
      <w:szCs w:val="20"/>
      <w:lang w:eastAsia="fr-FR"/>
    </w:rPr>
  </w:style>
  <w:style w:type="paragraph" w:styleId="Heading6">
    <w:name w:val="heading 6"/>
    <w:basedOn w:val="Normal"/>
    <w:next w:val="Normal"/>
    <w:link w:val="Heading6Char"/>
    <w:qFormat/>
    <w:pPr>
      <w:widowControl w:val="0"/>
      <w:spacing w:before="240" w:after="60"/>
      <w:jc w:val="left"/>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jc w:val="left"/>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jc w:val="left"/>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jc w:val="left"/>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ro-RO"/>
    </w:rPr>
  </w:style>
  <w:style w:type="character" w:styleId="CommentReference">
    <w:name w:val="annotation reference"/>
    <w:unhideWhenUsed/>
    <w:rPr>
      <w:sz w:val="16"/>
      <w:szCs w:val="16"/>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ro-RO"/>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val="en-GB"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ro-RO" w:eastAsia="en-GB"/>
    </w:rPr>
  </w:style>
  <w:style w:type="character" w:customStyle="1" w:styleId="Heading7Char">
    <w:name w:val="Heading 7 Char"/>
    <w:basedOn w:val="DefaultParagraphFont"/>
    <w:link w:val="Heading7"/>
    <w:rPr>
      <w:rFonts w:ascii="Arial" w:eastAsia="Times New Roman" w:hAnsi="Arial" w:cs="Times New Roman"/>
      <w:sz w:val="24"/>
      <w:szCs w:val="20"/>
      <w:lang w:val="ro-RO"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ro-RO"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ro-RO" w:eastAsia="en-GB"/>
    </w:rPr>
  </w:style>
  <w:style w:type="paragraph" w:customStyle="1" w:styleId="NormalJustified">
    <w:name w:val="Normal Justified"/>
    <w:basedOn w:val="Normal"/>
    <w:pPr>
      <w:spacing w:before="200" w:line="360" w:lineRule="auto"/>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link w:val="TechnicalBlockChar"/>
    <w:pPr>
      <w:spacing w:before="0" w:after="240"/>
      <w:jc w:val="center"/>
    </w:pPr>
  </w:style>
  <w:style w:type="paragraph" w:customStyle="1" w:styleId="FinalLine">
    <w:name w:val="Final Line"/>
    <w:basedOn w:val="Normal"/>
    <w:next w:val="Normal"/>
    <w:pPr>
      <w:pBdr>
        <w:bottom w:val="single" w:sz="4" w:space="0" w:color="000000"/>
      </w:pBdr>
      <w:spacing w:before="360" w:line="360" w:lineRule="auto"/>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line="360" w:lineRule="auto"/>
      <w:ind w:left="5868" w:right="5868"/>
      <w:jc w:val="center"/>
    </w:pPr>
    <w:rPr>
      <w:b/>
    </w:rPr>
  </w:style>
  <w:style w:type="paragraph" w:customStyle="1" w:styleId="Text5">
    <w:name w:val="Text 5"/>
    <w:basedOn w:val="Normal"/>
    <w:pPr>
      <w:spacing w:line="360" w:lineRule="auto"/>
      <w:ind w:left="2835"/>
      <w:jc w:val="left"/>
    </w:pPr>
  </w:style>
  <w:style w:type="paragraph" w:customStyle="1" w:styleId="Text6">
    <w:name w:val="Text 6"/>
    <w:basedOn w:val="Normal"/>
    <w:pPr>
      <w:spacing w:line="360" w:lineRule="auto"/>
      <w:ind w:left="3402"/>
      <w:jc w:val="left"/>
    </w:p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PointManual2">
    <w:name w:val="Point Manual (2)"/>
    <w:basedOn w:val="Normal"/>
    <w:pPr>
      <w:spacing w:line="360" w:lineRule="auto"/>
      <w:ind w:left="1701" w:hanging="567"/>
      <w:jc w:val="left"/>
    </w:pPr>
  </w:style>
  <w:style w:type="paragraph" w:customStyle="1" w:styleId="PointManual3">
    <w:name w:val="Point Manual (3)"/>
    <w:basedOn w:val="Normal"/>
    <w:pPr>
      <w:spacing w:line="360" w:lineRule="auto"/>
      <w:ind w:left="2268" w:hanging="567"/>
      <w:jc w:val="left"/>
    </w:pPr>
  </w:style>
  <w:style w:type="paragraph" w:customStyle="1" w:styleId="PointManual4">
    <w:name w:val="Point Manual (4)"/>
    <w:basedOn w:val="Normal"/>
    <w:pPr>
      <w:spacing w:line="360" w:lineRule="auto"/>
      <w:ind w:left="2835" w:hanging="567"/>
      <w:jc w:val="left"/>
    </w:pPr>
  </w:style>
  <w:style w:type="paragraph" w:customStyle="1" w:styleId="PointDoubleManual">
    <w:name w:val="Point Double Manual"/>
    <w:basedOn w:val="Normal"/>
    <w:pPr>
      <w:tabs>
        <w:tab w:val="left" w:pos="567"/>
      </w:tabs>
      <w:spacing w:line="360" w:lineRule="auto"/>
      <w:ind w:left="1134" w:hanging="1134"/>
      <w:jc w:val="left"/>
    </w:pPr>
  </w:style>
  <w:style w:type="paragraph" w:customStyle="1" w:styleId="PointDoubleManual1">
    <w:name w:val="Point Double Manual (1)"/>
    <w:basedOn w:val="Normal"/>
    <w:pPr>
      <w:tabs>
        <w:tab w:val="left" w:pos="1134"/>
      </w:tabs>
      <w:spacing w:line="360" w:lineRule="auto"/>
      <w:ind w:left="1701" w:hanging="1134"/>
      <w:jc w:val="left"/>
    </w:pPr>
  </w:style>
  <w:style w:type="paragraph" w:customStyle="1" w:styleId="PointDoubleManual2">
    <w:name w:val="Point Double Manual (2)"/>
    <w:basedOn w:val="Normal"/>
    <w:pPr>
      <w:tabs>
        <w:tab w:val="left" w:pos="1701"/>
      </w:tabs>
      <w:spacing w:line="360" w:lineRule="auto"/>
      <w:ind w:left="2268" w:hanging="1134"/>
      <w:jc w:val="left"/>
    </w:pPr>
  </w:style>
  <w:style w:type="paragraph" w:customStyle="1" w:styleId="PointDoubleManual3">
    <w:name w:val="Point Double Manual (3)"/>
    <w:basedOn w:val="Normal"/>
    <w:pPr>
      <w:tabs>
        <w:tab w:val="left" w:pos="2268"/>
      </w:tabs>
      <w:spacing w:line="360" w:lineRule="auto"/>
      <w:ind w:left="2835" w:hanging="1134"/>
      <w:jc w:val="left"/>
    </w:pPr>
  </w:style>
  <w:style w:type="paragraph" w:customStyle="1" w:styleId="PointDoubleManual4">
    <w:name w:val="Point Double Manual (4)"/>
    <w:basedOn w:val="Normal"/>
    <w:pPr>
      <w:tabs>
        <w:tab w:val="left" w:pos="2835"/>
      </w:tabs>
      <w:spacing w:line="360" w:lineRule="auto"/>
      <w:ind w:left="3402" w:hanging="1134"/>
      <w:jc w:val="left"/>
    </w:pPr>
  </w:style>
  <w:style w:type="paragraph" w:customStyle="1" w:styleId="Pointabc">
    <w:name w:val="Point abc"/>
    <w:basedOn w:val="Normal"/>
    <w:pPr>
      <w:numPr>
        <w:ilvl w:val="1"/>
        <w:numId w:val="20"/>
      </w:numPr>
      <w:spacing w:line="360" w:lineRule="auto"/>
      <w:jc w:val="left"/>
    </w:pPr>
  </w:style>
  <w:style w:type="paragraph" w:customStyle="1" w:styleId="Pointabc1">
    <w:name w:val="Point abc (1)"/>
    <w:basedOn w:val="Normal"/>
    <w:pPr>
      <w:numPr>
        <w:ilvl w:val="3"/>
        <w:numId w:val="20"/>
      </w:numPr>
      <w:spacing w:line="360" w:lineRule="auto"/>
      <w:jc w:val="left"/>
    </w:pPr>
  </w:style>
  <w:style w:type="paragraph" w:customStyle="1" w:styleId="Pointabc2">
    <w:name w:val="Point abc (2)"/>
    <w:basedOn w:val="Normal"/>
    <w:pPr>
      <w:numPr>
        <w:ilvl w:val="5"/>
        <w:numId w:val="20"/>
      </w:numPr>
      <w:spacing w:line="360" w:lineRule="auto"/>
      <w:jc w:val="left"/>
    </w:pPr>
  </w:style>
  <w:style w:type="paragraph" w:customStyle="1" w:styleId="Pointabc3">
    <w:name w:val="Point abc (3)"/>
    <w:basedOn w:val="Normal"/>
    <w:pPr>
      <w:numPr>
        <w:ilvl w:val="7"/>
        <w:numId w:val="20"/>
      </w:numPr>
      <w:spacing w:line="360" w:lineRule="auto"/>
      <w:jc w:val="left"/>
    </w:pPr>
  </w:style>
  <w:style w:type="paragraph" w:customStyle="1" w:styleId="Pointabc4">
    <w:name w:val="Point abc (4)"/>
    <w:basedOn w:val="Normal"/>
    <w:pPr>
      <w:numPr>
        <w:ilvl w:val="8"/>
        <w:numId w:val="20"/>
      </w:numPr>
      <w:spacing w:line="360" w:lineRule="auto"/>
      <w:jc w:val="left"/>
    </w:pPr>
  </w:style>
  <w:style w:type="paragraph" w:customStyle="1" w:styleId="Point123">
    <w:name w:val="Point 123"/>
    <w:basedOn w:val="Normal"/>
    <w:pPr>
      <w:numPr>
        <w:numId w:val="20"/>
      </w:numPr>
      <w:spacing w:line="360" w:lineRule="auto"/>
      <w:jc w:val="left"/>
    </w:pPr>
  </w:style>
  <w:style w:type="paragraph" w:customStyle="1" w:styleId="Point1231">
    <w:name w:val="Point 123 (1)"/>
    <w:basedOn w:val="Normal"/>
    <w:pPr>
      <w:numPr>
        <w:ilvl w:val="2"/>
        <w:numId w:val="20"/>
      </w:numPr>
      <w:spacing w:line="360" w:lineRule="auto"/>
      <w:jc w:val="left"/>
    </w:pPr>
  </w:style>
  <w:style w:type="paragraph" w:customStyle="1" w:styleId="Point1232">
    <w:name w:val="Point 123 (2)"/>
    <w:basedOn w:val="Normal"/>
    <w:pPr>
      <w:numPr>
        <w:ilvl w:val="4"/>
        <w:numId w:val="20"/>
      </w:numPr>
      <w:spacing w:line="360" w:lineRule="auto"/>
      <w:jc w:val="left"/>
    </w:pPr>
  </w:style>
  <w:style w:type="paragraph" w:customStyle="1" w:styleId="Point1233">
    <w:name w:val="Point 123 (3)"/>
    <w:basedOn w:val="Normal"/>
    <w:pPr>
      <w:numPr>
        <w:ilvl w:val="6"/>
        <w:numId w:val="20"/>
      </w:numPr>
      <w:spacing w:line="360" w:lineRule="auto"/>
      <w:jc w:val="left"/>
    </w:pPr>
  </w:style>
  <w:style w:type="paragraph" w:customStyle="1" w:styleId="Pointivx">
    <w:name w:val="Point ivx"/>
    <w:basedOn w:val="Normal"/>
    <w:pPr>
      <w:numPr>
        <w:numId w:val="21"/>
      </w:numPr>
      <w:spacing w:line="360" w:lineRule="auto"/>
      <w:jc w:val="left"/>
    </w:pPr>
  </w:style>
  <w:style w:type="paragraph" w:customStyle="1" w:styleId="Pointivx1">
    <w:name w:val="Point ivx (1)"/>
    <w:basedOn w:val="Normal"/>
    <w:pPr>
      <w:numPr>
        <w:ilvl w:val="1"/>
        <w:numId w:val="21"/>
      </w:numPr>
      <w:spacing w:line="360" w:lineRule="auto"/>
      <w:jc w:val="left"/>
    </w:pPr>
  </w:style>
  <w:style w:type="paragraph" w:customStyle="1" w:styleId="Pointivx2">
    <w:name w:val="Point ivx (2)"/>
    <w:basedOn w:val="Normal"/>
    <w:pPr>
      <w:numPr>
        <w:ilvl w:val="2"/>
        <w:numId w:val="21"/>
      </w:numPr>
      <w:spacing w:line="360" w:lineRule="auto"/>
      <w:jc w:val="left"/>
    </w:pPr>
  </w:style>
  <w:style w:type="paragraph" w:customStyle="1" w:styleId="Pointivx3">
    <w:name w:val="Point ivx (3)"/>
    <w:basedOn w:val="Normal"/>
    <w:pPr>
      <w:numPr>
        <w:ilvl w:val="3"/>
        <w:numId w:val="21"/>
      </w:numPr>
      <w:spacing w:line="360" w:lineRule="auto"/>
      <w:jc w:val="left"/>
    </w:pPr>
  </w:style>
  <w:style w:type="paragraph" w:customStyle="1" w:styleId="Pointivx4">
    <w:name w:val="Point ivx (4)"/>
    <w:basedOn w:val="Normal"/>
    <w:pPr>
      <w:numPr>
        <w:ilvl w:val="4"/>
        <w:numId w:val="21"/>
      </w:numPr>
      <w:spacing w:line="360" w:lineRule="auto"/>
      <w:jc w:val="left"/>
    </w:pPr>
  </w:style>
  <w:style w:type="paragraph" w:customStyle="1" w:styleId="Bullet">
    <w:name w:val="Bullet"/>
    <w:basedOn w:val="Normal"/>
    <w:pPr>
      <w:numPr>
        <w:numId w:val="19"/>
      </w:numPr>
      <w:spacing w:line="360" w:lineRule="auto"/>
      <w:jc w:val="left"/>
    </w:pPr>
  </w:style>
  <w:style w:type="paragraph" w:customStyle="1" w:styleId="Dash">
    <w:name w:val="Dash"/>
    <w:basedOn w:val="Normal"/>
    <w:pPr>
      <w:numPr>
        <w:numId w:val="9"/>
      </w:numPr>
      <w:spacing w:line="360" w:lineRule="auto"/>
      <w:jc w:val="left"/>
    </w:pPr>
  </w:style>
  <w:style w:type="paragraph" w:customStyle="1" w:styleId="Dash1">
    <w:name w:val="Dash 1"/>
    <w:basedOn w:val="Normal"/>
    <w:pPr>
      <w:numPr>
        <w:numId w:val="10"/>
      </w:numPr>
      <w:spacing w:line="360" w:lineRule="auto"/>
      <w:jc w:val="left"/>
    </w:pPr>
  </w:style>
  <w:style w:type="paragraph" w:customStyle="1" w:styleId="Dash2">
    <w:name w:val="Dash 2"/>
    <w:basedOn w:val="Normal"/>
    <w:pPr>
      <w:numPr>
        <w:numId w:val="11"/>
      </w:numPr>
      <w:spacing w:line="360" w:lineRule="auto"/>
      <w:jc w:val="left"/>
    </w:pPr>
  </w:style>
  <w:style w:type="paragraph" w:customStyle="1" w:styleId="Dash3">
    <w:name w:val="Dash 3"/>
    <w:basedOn w:val="Normal"/>
    <w:pPr>
      <w:numPr>
        <w:numId w:val="12"/>
      </w:numPr>
      <w:spacing w:line="360" w:lineRule="auto"/>
      <w:jc w:val="left"/>
    </w:pPr>
  </w:style>
  <w:style w:type="paragraph" w:customStyle="1" w:styleId="Dash4">
    <w:name w:val="Dash 4"/>
    <w:basedOn w:val="Normal"/>
    <w:pPr>
      <w:numPr>
        <w:numId w:val="13"/>
      </w:numPr>
      <w:spacing w:line="360" w:lineRule="auto"/>
      <w:jc w:val="left"/>
    </w:pPr>
  </w:style>
  <w:style w:type="paragraph" w:customStyle="1" w:styleId="DashEqual">
    <w:name w:val="Dash Equal"/>
    <w:basedOn w:val="Dash"/>
    <w:pPr>
      <w:numPr>
        <w:numId w:val="14"/>
      </w:numPr>
    </w:pPr>
  </w:style>
  <w:style w:type="paragraph" w:customStyle="1" w:styleId="DashEqual1">
    <w:name w:val="Dash Equal 1"/>
    <w:basedOn w:val="Dash1"/>
    <w:pPr>
      <w:numPr>
        <w:numId w:val="15"/>
      </w:numPr>
    </w:pPr>
  </w:style>
  <w:style w:type="paragraph" w:customStyle="1" w:styleId="DashEqual2">
    <w:name w:val="Dash Equal 2"/>
    <w:basedOn w:val="Dash2"/>
    <w:pPr>
      <w:numPr>
        <w:numId w:val="16"/>
      </w:numPr>
    </w:pPr>
  </w:style>
  <w:style w:type="paragraph" w:customStyle="1" w:styleId="DashEqual3">
    <w:name w:val="Dash Equal 3"/>
    <w:basedOn w:val="Dash3"/>
    <w:pPr>
      <w:numPr>
        <w:numId w:val="17"/>
      </w:numPr>
    </w:pPr>
  </w:style>
  <w:style w:type="paragraph" w:customStyle="1" w:styleId="DashEqual4">
    <w:name w:val="Dash Equal 4"/>
    <w:basedOn w:val="Dash4"/>
    <w:pPr>
      <w:numPr>
        <w:numId w:val="18"/>
      </w:numPr>
    </w:pPr>
  </w:style>
  <w:style w:type="paragraph" w:customStyle="1" w:styleId="HeadingLeft">
    <w:name w:val="Heading Left"/>
    <w:basedOn w:val="Normal"/>
    <w:next w:val="Normal"/>
    <w:pPr>
      <w:spacing w:before="360" w:line="360" w:lineRule="auto"/>
      <w:jc w:val="left"/>
      <w:outlineLvl w:val="0"/>
    </w:pPr>
    <w:rPr>
      <w:b/>
      <w:caps/>
      <w:u w:val="single"/>
    </w:rPr>
  </w:style>
  <w:style w:type="paragraph" w:customStyle="1" w:styleId="HeadingIVX">
    <w:name w:val="Heading IVX"/>
    <w:basedOn w:val="HeadingLeft"/>
    <w:next w:val="Normal"/>
    <w:pPr>
      <w:numPr>
        <w:numId w:val="24"/>
      </w:numPr>
    </w:pPr>
  </w:style>
  <w:style w:type="paragraph" w:customStyle="1" w:styleId="Heading123">
    <w:name w:val="Heading 123"/>
    <w:basedOn w:val="HeadingLeft"/>
    <w:next w:val="Normal"/>
    <w:pPr>
      <w:numPr>
        <w:numId w:val="23"/>
      </w:numPr>
    </w:pPr>
  </w:style>
  <w:style w:type="paragraph" w:customStyle="1" w:styleId="HeadingABC">
    <w:name w:val="Heading ABC"/>
    <w:basedOn w:val="HeadingLeft"/>
    <w:next w:val="Normal"/>
    <w:pPr>
      <w:numPr>
        <w:numId w:val="22"/>
      </w:numPr>
    </w:pPr>
  </w:style>
  <w:style w:type="paragraph" w:customStyle="1" w:styleId="HeadingCentered">
    <w:name w:val="Heading Centered"/>
    <w:basedOn w:val="HeadingLeft"/>
    <w:next w:val="Normal"/>
    <w:pPr>
      <w:jc w:val="center"/>
    </w:pPr>
  </w:style>
  <w:style w:type="paragraph" w:customStyle="1" w:styleId="Jardin">
    <w:name w:val="Jardin"/>
    <w:basedOn w:val="Normal"/>
    <w:pPr>
      <w:spacing w:before="200" w:after="0"/>
      <w:jc w:val="center"/>
    </w:pPr>
  </w:style>
  <w:style w:type="paragraph" w:customStyle="1" w:styleId="Amendment">
    <w:name w:val="Amendment"/>
    <w:basedOn w:val="Normal"/>
    <w:next w:val="Normal"/>
    <w:pPr>
      <w:spacing w:line="360" w:lineRule="auto"/>
      <w:jc w:val="left"/>
    </w:pPr>
    <w:rPr>
      <w:i/>
      <w:u w:val="single"/>
    </w:rPr>
  </w:style>
  <w:style w:type="paragraph" w:customStyle="1" w:styleId="AmendmentList">
    <w:name w:val="Amendment List"/>
    <w:basedOn w:val="Normal"/>
    <w:pPr>
      <w:spacing w:line="360" w:lineRule="auto"/>
      <w:ind w:left="2268" w:hanging="2268"/>
      <w:jc w:val="left"/>
    </w:pPr>
  </w:style>
  <w:style w:type="paragraph" w:customStyle="1" w:styleId="ReplyRE">
    <w:name w:val="Reply RE"/>
    <w:basedOn w:val="Normal"/>
    <w:next w:val="Normal"/>
    <w:pPr>
      <w:spacing w:after="480"/>
      <w:contextualSpacing/>
      <w:jc w:val="left"/>
    </w:pPr>
  </w:style>
  <w:style w:type="paragraph" w:customStyle="1" w:styleId="ReplyBold">
    <w:name w:val="Reply Bold"/>
    <w:basedOn w:val="ReplyRE"/>
    <w:next w:val="Normal"/>
    <w:rPr>
      <w:b/>
    </w:rPr>
  </w:style>
  <w:style w:type="paragraph" w:customStyle="1" w:styleId="Annex">
    <w:name w:val="Annex"/>
    <w:basedOn w:val="Normal"/>
    <w:next w:val="Normal"/>
    <w:pPr>
      <w:spacing w:line="360" w:lineRule="auto"/>
      <w:jc w:val="right"/>
    </w:pPr>
    <w:rPr>
      <w:b/>
      <w:u w:val="single"/>
    </w:rPr>
  </w:style>
  <w:style w:type="paragraph" w:customStyle="1" w:styleId="Sign">
    <w:name w:val="Sign"/>
    <w:basedOn w:val="Normal"/>
    <w:pPr>
      <w:tabs>
        <w:tab w:val="center" w:pos="7087"/>
      </w:tabs>
      <w:spacing w:line="360" w:lineRule="auto"/>
      <w:contextualSpacing/>
      <w:jc w:val="left"/>
    </w:pPr>
  </w:style>
  <w:style w:type="paragraph" w:customStyle="1" w:styleId="NotDeclassified">
    <w:name w:val="Not Declassified"/>
    <w:basedOn w:val="Normal"/>
    <w:next w:val="Normal"/>
    <w:pPr>
      <w:spacing w:line="360" w:lineRule="auto"/>
      <w:jc w:val="left"/>
    </w:pPr>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jc w:val="left"/>
    </w:pPr>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ro-RO"/>
    </w:rPr>
  </w:style>
  <w:style w:type="character" w:customStyle="1" w:styleId="HeaderCouncilLargeChar">
    <w:name w:val="Header Council Large Char"/>
    <w:basedOn w:val="TechnicalBlockChar"/>
    <w:link w:val="HeaderCouncilLarge"/>
    <w:rPr>
      <w:rFonts w:ascii="Times New Roman" w:hAnsi="Times New Roman" w:cs="Times New Roman"/>
      <w:sz w:val="2"/>
      <w:lang w:val="ro-RO"/>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spacing w:line="360" w:lineRule="auto"/>
      <w:ind w:left="720"/>
      <w:contextualSpacing/>
      <w:jc w:val="left"/>
    </w:pPr>
  </w:style>
  <w:style w:type="paragraph" w:customStyle="1" w:styleId="Normal12">
    <w:name w:val="Normal12"/>
    <w:basedOn w:val="Normal"/>
    <w:link w:val="Normal12Char"/>
    <w:qFormat/>
    <w:pPr>
      <w:widowControl w:val="0"/>
      <w:spacing w:before="0" w:after="240"/>
      <w:jc w:val="left"/>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jc w:val="left"/>
      <w:outlineLvl w:val="1"/>
    </w:pPr>
    <w:rPr>
      <w:rFonts w:eastAsia="Times New Roman"/>
      <w:b/>
      <w:noProof/>
      <w:sz w:val="28"/>
      <w:szCs w:val="20"/>
      <w:lang w:eastAsia="fr-FR"/>
    </w:rPr>
  </w:style>
  <w:style w:type="paragraph" w:customStyle="1" w:styleId="ATHeading3">
    <w:name w:val="AT Heading 3"/>
    <w:basedOn w:val="Normal"/>
    <w:next w:val="Normal"/>
    <w:pPr>
      <w:keepNext/>
      <w:keepLines/>
      <w:jc w:val="left"/>
      <w:outlineLvl w:val="2"/>
    </w:pPr>
    <w:rPr>
      <w:rFonts w:eastAsia="Times New Roman"/>
      <w:b/>
      <w:noProof/>
      <w:szCs w:val="20"/>
      <w:lang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jc w:val="left"/>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ro-RO"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jc w:val="left"/>
    </w:pPr>
    <w:rPr>
      <w:rFonts w:eastAsia="Times New Roman"/>
      <w:szCs w:val="20"/>
      <w:lang w:eastAsia="en-GB"/>
    </w:rPr>
  </w:style>
  <w:style w:type="paragraph" w:customStyle="1" w:styleId="Footer2">
    <w:name w:val="Footer2"/>
    <w:basedOn w:val="Normal"/>
    <w:pPr>
      <w:tabs>
        <w:tab w:val="right" w:pos="9921"/>
      </w:tabs>
      <w:spacing w:before="0" w:after="240"/>
      <w:ind w:left="-850" w:right="-850"/>
      <w:jc w:val="left"/>
    </w:pPr>
    <w:rPr>
      <w:rFonts w:ascii="Arial" w:eastAsia="Times New Roman" w:hAnsi="Arial" w:cs="Arial"/>
      <w:b/>
      <w:sz w:val="48"/>
      <w:szCs w:val="20"/>
      <w:lang w:eastAsia="en-G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jc w:val="left"/>
    </w:pPr>
    <w:rPr>
      <w:rFonts w:eastAsia="Times New Roman"/>
      <w:szCs w:val="20"/>
      <w:lang w:eastAsia="en-GB"/>
    </w:rPr>
  </w:style>
  <w:style w:type="paragraph" w:customStyle="1" w:styleId="PageHeading">
    <w:name w:val="PageHeading"/>
    <w:basedOn w:val="Normal12a12b"/>
    <w:pPr>
      <w:keepNext/>
      <w:jc w:val="center"/>
    </w:pPr>
    <w:rPr>
      <w:rFonts w:ascii="Arial" w:hAnsi="Arial"/>
      <w:b/>
    </w:rPr>
  </w:style>
  <w:style w:type="paragraph" w:customStyle="1" w:styleId="CoverBold">
    <w:name w:val="CoverBold"/>
    <w:basedOn w:val="CoverNormal"/>
    <w:rPr>
      <w:b/>
    </w:rPr>
  </w:style>
  <w:style w:type="paragraph" w:customStyle="1" w:styleId="Normal24">
    <w:name w:val="Normal24"/>
    <w:basedOn w:val="Normal"/>
    <w:pPr>
      <w:widowControl w:val="0"/>
      <w:spacing w:before="0" w:after="480"/>
      <w:jc w:val="left"/>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ind w:left="1418"/>
      <w:jc w:val="left"/>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jc w:val="left"/>
    </w:pPr>
    <w:rPr>
      <w:rFonts w:eastAsia="Times New Roman"/>
      <w:b/>
      <w:szCs w:val="20"/>
      <w:lang w:eastAsia="en-GB"/>
    </w:rPr>
  </w:style>
  <w:style w:type="paragraph" w:customStyle="1" w:styleId="RefProc">
    <w:name w:val="RefProc"/>
    <w:basedOn w:val="Normal"/>
    <w:pPr>
      <w:widowControl w:val="0"/>
      <w:spacing w:before="0" w:after="0"/>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jc w:val="left"/>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jc w:val="center"/>
    </w:pPr>
    <w:rPr>
      <w:rFonts w:ascii="Arial" w:eastAsia="Times New Roman" w:hAnsi="Arial"/>
      <w:sz w:val="16"/>
      <w:szCs w:val="16"/>
      <w:lang w:eastAsia="en-GB"/>
    </w:rPr>
  </w:style>
  <w:style w:type="paragraph" w:customStyle="1" w:styleId="LineBottom">
    <w:name w:val="LineBottom"/>
    <w:basedOn w:val="Normal"/>
    <w:next w:val="Normal"/>
    <w:pPr>
      <w:widowControl w:val="0"/>
      <w:pBdr>
        <w:bottom w:val="single" w:sz="4" w:space="1" w:color="auto"/>
      </w:pBdr>
      <w:spacing w:before="0" w:after="240"/>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jc w:val="left"/>
    </w:pPr>
    <w:rPr>
      <w:rFonts w:ascii="Arial" w:eastAsia="Times New Roman" w:hAnsi="Arial" w:cs="Arial"/>
      <w:sz w:val="22"/>
      <w:lang w:eastAsia="en-GB"/>
    </w:rPr>
  </w:style>
  <w:style w:type="paragraph" w:customStyle="1" w:styleId="PERight">
    <w:name w:val="PERight"/>
    <w:basedOn w:val="Normal"/>
    <w:next w:val="Normal"/>
    <w:pPr>
      <w:widowControl w:val="0"/>
      <w:spacing w:before="0" w:after="0"/>
      <w:jc w:val="right"/>
    </w:pPr>
    <w:rPr>
      <w:rFonts w:ascii="Arial" w:eastAsia="Times New Roman" w:hAnsi="Arial" w:cs="Arial"/>
      <w:sz w:val="22"/>
      <w:lang w:eastAsia="en-GB"/>
    </w:rPr>
  </w:style>
  <w:style w:type="paragraph" w:customStyle="1" w:styleId="NormalBold">
    <w:name w:val="NormalBold"/>
    <w:basedOn w:val="Normal"/>
    <w:link w:val="NormalBoldChar"/>
    <w:pPr>
      <w:widowControl w:val="0"/>
      <w:spacing w:before="0" w:after="0"/>
      <w:jc w:val="left"/>
    </w:pPr>
    <w:rPr>
      <w:rFonts w:eastAsia="Times New Roman"/>
      <w:b/>
      <w:szCs w:val="20"/>
      <w:lang w:eastAsia="en-GB"/>
    </w:rPr>
  </w:style>
  <w:style w:type="paragraph" w:customStyle="1" w:styleId="Normal24Bold">
    <w:name w:val="Normal24Bold"/>
    <w:basedOn w:val="Normal"/>
    <w:pPr>
      <w:widowControl w:val="0"/>
      <w:spacing w:before="0" w:after="480"/>
      <w:jc w:val="left"/>
    </w:pPr>
    <w:rPr>
      <w:rFonts w:eastAsia="Times New Roman"/>
      <w:b/>
      <w:szCs w:val="20"/>
      <w:lang w:eastAsia="en-GB"/>
    </w:rPr>
  </w:style>
  <w:style w:type="paragraph" w:customStyle="1" w:styleId="ATHeading1">
    <w:name w:val="AT Heading 1"/>
    <w:basedOn w:val="Normal"/>
    <w:next w:val="Normal"/>
    <w:pPr>
      <w:keepNext/>
      <w:keepLines/>
      <w:spacing w:before="480"/>
      <w:jc w:val="left"/>
      <w:outlineLvl w:val="0"/>
    </w:pPr>
    <w:rPr>
      <w:rFonts w:eastAsia="Times New Roman"/>
      <w:b/>
      <w:noProof/>
      <w:sz w:val="28"/>
      <w:szCs w:val="20"/>
      <w:lang w:eastAsia="fr-FR"/>
    </w:rPr>
  </w:style>
  <w:style w:type="paragraph" w:customStyle="1" w:styleId="ATHeading4">
    <w:name w:val="AT Heading 4"/>
    <w:basedOn w:val="Normal"/>
    <w:next w:val="Normal"/>
    <w:pPr>
      <w:keepNext/>
      <w:keepLines/>
      <w:jc w:val="left"/>
    </w:pPr>
    <w:rPr>
      <w:rFonts w:eastAsia="Times New Roman"/>
      <w:b/>
      <w:i/>
      <w:noProof/>
      <w:szCs w:val="20"/>
      <w:lang w:eastAsia="fr-FR"/>
    </w:rPr>
  </w:style>
  <w:style w:type="paragraph" w:customStyle="1" w:styleId="ATHeading5">
    <w:name w:val="AT Heading 5"/>
    <w:basedOn w:val="Normal"/>
    <w:next w:val="Normal"/>
    <w:pPr>
      <w:keepNext/>
      <w:keepLines/>
      <w:jc w:val="left"/>
    </w:pPr>
    <w:rPr>
      <w:rFonts w:eastAsia="Times New Roman"/>
      <w:i/>
      <w:noProof/>
      <w:szCs w:val="20"/>
      <w:lang w:eastAsia="fr-FR"/>
    </w:rPr>
  </w:style>
  <w:style w:type="paragraph" w:customStyle="1" w:styleId="ATHeading6">
    <w:name w:val="AT Heading 6"/>
    <w:basedOn w:val="Normal"/>
    <w:next w:val="Normal"/>
    <w:pPr>
      <w:keepNext/>
      <w:keepLines/>
      <w:jc w:val="left"/>
    </w:pPr>
    <w:rPr>
      <w:rFonts w:eastAsia="Times New Roman"/>
      <w:smallCaps/>
      <w:noProof/>
      <w:szCs w:val="20"/>
      <w:lang w:eastAsia="fr-FR"/>
    </w:rPr>
  </w:style>
  <w:style w:type="paragraph" w:customStyle="1" w:styleId="ATHeadingMotiv">
    <w:name w:val="AT Heading Motiv"/>
    <w:basedOn w:val="Normal"/>
    <w:next w:val="Normal"/>
    <w:pPr>
      <w:keepNext/>
      <w:spacing w:before="60" w:after="60"/>
      <w:jc w:val="center"/>
    </w:pPr>
    <w:rPr>
      <w:rFonts w:eastAsia="Times New Roman"/>
      <w:i/>
      <w:szCs w:val="20"/>
      <w:lang w:eastAsia="fr-FR"/>
    </w:rPr>
  </w:style>
  <w:style w:type="paragraph" w:customStyle="1" w:styleId="ATTOCTitle">
    <w:name w:val="AT TOC Title"/>
    <w:basedOn w:val="Normal"/>
    <w:pPr>
      <w:keepNext/>
      <w:keepLines/>
      <w:spacing w:before="0" w:after="240"/>
      <w:jc w:val="center"/>
    </w:pPr>
    <w:rPr>
      <w:rFonts w:eastAsia="Times New Roman"/>
      <w:b/>
      <w:caps/>
      <w:sz w:val="28"/>
      <w:szCs w:val="20"/>
      <w:lang w:eastAsia="fr-FR"/>
    </w:rPr>
  </w:style>
  <w:style w:type="paragraph" w:customStyle="1" w:styleId="Numroamendement">
    <w:name w:val="Numéro amendement"/>
    <w:basedOn w:val="Normal"/>
    <w:next w:val="Normal"/>
    <w:pPr>
      <w:widowControl w:val="0"/>
      <w:spacing w:before="0" w:after="0"/>
      <w:jc w:val="center"/>
    </w:pPr>
    <w:rPr>
      <w:rFonts w:eastAsia="Times New Roman"/>
      <w:snapToGrid w:val="0"/>
      <w:szCs w:val="20"/>
    </w:rPr>
  </w:style>
  <w:style w:type="character" w:styleId="PageNumber">
    <w:name w:val="page number"/>
  </w:style>
  <w:style w:type="paragraph" w:customStyle="1" w:styleId="EPName">
    <w:name w:val="EPName"/>
    <w:basedOn w:val="Normal"/>
    <w:pPr>
      <w:widowControl w:val="0"/>
      <w:spacing w:before="80" w:after="80"/>
      <w:jc w:val="left"/>
    </w:pPr>
    <w:rPr>
      <w:rFonts w:ascii="Arial Narrow" w:eastAsia="Times New Roman" w:hAnsi="Arial Narrow" w:cs="Arial"/>
      <w:b/>
      <w:color w:val="000000"/>
      <w:sz w:val="32"/>
      <w:lang w:eastAsia="en-GB"/>
    </w:rPr>
  </w:style>
  <w:style w:type="paragraph" w:customStyle="1" w:styleId="EPTerm">
    <w:name w:val="EPTerm"/>
    <w:basedOn w:val="Normal"/>
    <w:next w:val="Normal"/>
    <w:pPr>
      <w:widowControl w:val="0"/>
      <w:spacing w:before="0" w:after="80"/>
      <w:jc w:val="left"/>
    </w:pPr>
    <w:rPr>
      <w:rFonts w:ascii="Arial" w:eastAsia="Times New Roman" w:hAnsi="Arial" w:cs="Arial"/>
      <w:sz w:val="20"/>
      <w:lang w:eastAsia="en-GB"/>
    </w:rPr>
  </w:style>
  <w:style w:type="paragraph" w:customStyle="1" w:styleId="EPLogo">
    <w:name w:val="EPLogo"/>
    <w:basedOn w:val="Normal"/>
    <w:qFormat/>
    <w:pPr>
      <w:widowControl w:val="0"/>
      <w:spacing w:before="0" w:after="0"/>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ro-RO" w:eastAsia="en-GB"/>
    </w:rPr>
  </w:style>
  <w:style w:type="paragraph" w:customStyle="1" w:styleId="NormalBoldCentre">
    <w:name w:val="NormalBoldCentre"/>
    <w:basedOn w:val="Normal"/>
    <w:pPr>
      <w:widowControl w:val="0"/>
      <w:spacing w:before="0" w:after="0"/>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ind w:left="1418"/>
      <w:jc w:val="left"/>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jc w:val="left"/>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jc w:val="center"/>
    </w:pPr>
    <w:rPr>
      <w:rFonts w:ascii="Arial" w:eastAsia="Times New Roman" w:hAnsi="Arial" w:cs="Arial"/>
      <w:i/>
      <w:sz w:val="22"/>
      <w:lang w:eastAsia="en-GB"/>
    </w:rPr>
  </w:style>
  <w:style w:type="paragraph" w:customStyle="1" w:styleId="ConsLine">
    <w:name w:val="ConsLine"/>
    <w:basedOn w:val="Normal"/>
    <w:pPr>
      <w:widowControl w:val="0"/>
      <w:spacing w:before="240" w:after="240"/>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ind w:left="737" w:hanging="737"/>
      <w:jc w:val="left"/>
    </w:pPr>
    <w:rPr>
      <w:rFonts w:eastAsia="Times New Roman"/>
      <w:snapToGrid w:val="0"/>
      <w:sz w:val="18"/>
      <w:szCs w:val="20"/>
    </w:rPr>
  </w:style>
  <w:style w:type="paragraph" w:customStyle="1" w:styleId="Lgendetitre">
    <w:name w:val="Légende titre"/>
    <w:basedOn w:val="Normal"/>
    <w:pPr>
      <w:widowControl w:val="0"/>
      <w:spacing w:before="240" w:after="240"/>
      <w:jc w:val="left"/>
    </w:pPr>
    <w:rPr>
      <w:rFonts w:eastAsia="Times New Roman"/>
      <w:b/>
      <w:i/>
      <w:snapToGrid w:val="0"/>
      <w:szCs w:val="20"/>
    </w:rPr>
  </w:style>
  <w:style w:type="paragraph" w:customStyle="1" w:styleId="Lgendestandard">
    <w:name w:val="Légende standard"/>
    <w:basedOn w:val="Lgendesigne"/>
    <w:pPr>
      <w:ind w:left="0" w:firstLine="0"/>
    </w:p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customStyle="1" w:styleId="ListNumberLevel2">
    <w:name w:val="List Number (Level 2)"/>
    <w:pPr>
      <w:tabs>
        <w:tab w:val="num" w:pos="1417"/>
      </w:tabs>
      <w:spacing w:before="120" w:after="120" w:line="240" w:lineRule="auto"/>
      <w:ind w:left="1417" w:hanging="708"/>
      <w:jc w:val="both"/>
    </w:pPr>
    <w:rPr>
      <w:rFonts w:ascii="Times New Roman" w:eastAsia="Times New Roman" w:hAnsi="Times New Roman" w:cs="Times New Roman"/>
      <w:sz w:val="24"/>
      <w:u w:color="000000"/>
      <w:lang w:eastAsia="de-DE"/>
    </w:rPr>
  </w:style>
  <w:style w:type="paragraph" w:customStyle="1" w:styleId="ListNumberLevel3">
    <w:name w:val="List Number (Level 3)"/>
    <w:pPr>
      <w:tabs>
        <w:tab w:val="num" w:pos="2126"/>
      </w:tabs>
      <w:spacing w:before="120" w:after="120" w:line="240" w:lineRule="auto"/>
      <w:ind w:left="2126" w:hanging="709"/>
      <w:jc w:val="both"/>
    </w:pPr>
    <w:rPr>
      <w:rFonts w:ascii="Times New Roman" w:eastAsia="Times New Roman" w:hAnsi="Times New Roman" w:cs="Times New Roman"/>
      <w:sz w:val="24"/>
      <w:u w:color="000000"/>
      <w:lang w:eastAsia="de-DE"/>
    </w:rPr>
  </w:style>
  <w:style w:type="paragraph" w:customStyle="1" w:styleId="ListNumberLevel4">
    <w:name w:val="List Number (Level 4)"/>
    <w:pPr>
      <w:tabs>
        <w:tab w:val="num" w:pos="2835"/>
      </w:tabs>
      <w:spacing w:before="120" w:after="120" w:line="240" w:lineRule="auto"/>
      <w:ind w:left="2835" w:hanging="709"/>
      <w:jc w:val="both"/>
    </w:pPr>
    <w:rPr>
      <w:rFonts w:ascii="Times New Roman" w:eastAsia="Times New Roman" w:hAnsi="Times New Roman" w:cs="Times New Roman"/>
      <w:sz w:val="24"/>
      <w:u w:color="000000"/>
      <w:lang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eastAsia="en-GB"/>
    </w:rPr>
  </w:style>
  <w:style w:type="paragraph" w:customStyle="1" w:styleId="Titreobjet">
    <w:name w:val="Titre objet"/>
    <w:next w:val="Normal"/>
    <w:pPr>
      <w:spacing w:before="360" w:after="360" w:line="240" w:lineRule="auto"/>
      <w:jc w:val="center"/>
    </w:pPr>
    <w:rPr>
      <w:rFonts w:ascii="Times New Roman" w:eastAsia="Calibri" w:hAnsi="Times New Roman" w:cs="Times New Roman"/>
      <w:b/>
      <w:sz w:val="24"/>
      <w:u w:color="000000"/>
    </w:rPr>
  </w:style>
  <w:style w:type="character" w:customStyle="1" w:styleId="Aucun">
    <w:name w:val="Aucun"/>
    <w:rPr>
      <w:lang w:val="ro-RO"/>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jc w:val="left"/>
    </w:pPr>
    <w:rPr>
      <w:rFonts w:eastAsia="Times New Roman"/>
      <w:snapToGrid w:val="0"/>
      <w:szCs w:val="20"/>
    </w:rPr>
  </w:style>
  <w:style w:type="character" w:customStyle="1" w:styleId="Normal6Char">
    <w:name w:val="Normal6 Char"/>
    <w:link w:val="Normal6"/>
    <w:rPr>
      <w:rFonts w:ascii="Times New Roman" w:eastAsia="Times New Roman" w:hAnsi="Times New Roman" w:cs="Times New Roman"/>
      <w:sz w:val="24"/>
      <w:szCs w:val="20"/>
      <w:lang w:val="ro-RO" w:eastAsia="en-GB"/>
    </w:rPr>
  </w:style>
  <w:style w:type="paragraph" w:customStyle="1" w:styleId="PageHeadingNotTOC">
    <w:name w:val="PageHeadingNotTOC"/>
    <w:basedOn w:val="Normal"/>
    <w:pPr>
      <w:keepNext/>
      <w:widowControl w:val="0"/>
      <w:spacing w:before="240" w:after="240"/>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jc w:val="left"/>
    </w:pPr>
    <w:rPr>
      <w:rFonts w:eastAsia="Times New Roman"/>
      <w:i/>
      <w:szCs w:val="20"/>
      <w:lang w:eastAsia="en-GB"/>
    </w:rPr>
  </w:style>
  <w:style w:type="paragraph" w:customStyle="1" w:styleId="CrossRef">
    <w:name w:val="CrossRef"/>
    <w:basedOn w:val="Normal"/>
    <w:pPr>
      <w:widowControl w:val="0"/>
      <w:spacing w:before="240" w:after="0"/>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eastAsia="en-US"/>
    </w:rPr>
  </w:style>
  <w:style w:type="paragraph" w:customStyle="1" w:styleId="ColumnHeading">
    <w:name w:val="ColumnHeading"/>
    <w:basedOn w:val="Normal"/>
    <w:pPr>
      <w:widowControl w:val="0"/>
      <w:spacing w:before="0" w:after="240"/>
      <w:jc w:val="center"/>
    </w:pPr>
    <w:rPr>
      <w:rFonts w:eastAsia="Times New Roman"/>
      <w:i/>
      <w:szCs w:val="20"/>
      <w:lang w:eastAsia="en-GB"/>
    </w:rPr>
  </w:style>
  <w:style w:type="paragraph" w:customStyle="1" w:styleId="NormalBold12b">
    <w:name w:val="NormalBold12b"/>
    <w:basedOn w:val="Normal"/>
    <w:pPr>
      <w:widowControl w:val="0"/>
      <w:spacing w:before="240" w:after="0"/>
      <w:jc w:val="left"/>
    </w:pPr>
    <w:rPr>
      <w:rFonts w:eastAsia="Times New Roman"/>
      <w:b/>
      <w:szCs w:val="20"/>
      <w:lang w:eastAsia="en-GB"/>
    </w:rPr>
  </w:style>
  <w:style w:type="paragraph" w:styleId="NoSpacing">
    <w:name w:val="No Spacing"/>
    <w:basedOn w:val="Normal"/>
    <w:uiPriority w:val="1"/>
    <w:qFormat/>
    <w:pPr>
      <w:spacing w:before="0" w:after="0"/>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character" w:customStyle="1" w:styleId="Normal12Char">
    <w:name w:val="Normal12 Char"/>
    <w:link w:val="Normal12"/>
    <w:locked/>
    <w:rPr>
      <w:rFonts w:ascii="Times New Roman" w:eastAsia="Times New Roman" w:hAnsi="Times New Roman" w:cs="Times New Roman"/>
      <w:sz w:val="24"/>
      <w:szCs w:val="20"/>
      <w:lang w:val="ro-RO" w:eastAsia="en-GB"/>
    </w:rPr>
  </w:style>
  <w:style w:type="paragraph" w:customStyle="1" w:styleId="ZDateAM">
    <w:name w:val="ZDateAM"/>
    <w:basedOn w:val="Normal"/>
    <w:pPr>
      <w:widowControl w:val="0"/>
      <w:tabs>
        <w:tab w:val="right" w:pos="9356"/>
      </w:tabs>
      <w:spacing w:before="0" w:after="480"/>
      <w:jc w:val="left"/>
    </w:pPr>
    <w:rPr>
      <w:rFonts w:eastAsia="Times New Roman"/>
      <w:noProof/>
      <w:szCs w:val="20"/>
      <w:lang w:eastAsia="en-GB"/>
    </w:rPr>
  </w:style>
  <w:style w:type="paragraph" w:customStyle="1" w:styleId="ProjRap">
    <w:name w:val="ProjRap"/>
    <w:basedOn w:val="Normal"/>
    <w:pPr>
      <w:widowControl w:val="0"/>
      <w:tabs>
        <w:tab w:val="right" w:pos="9356"/>
      </w:tabs>
      <w:spacing w:before="0" w:after="0"/>
      <w:jc w:val="left"/>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jc w:val="left"/>
    </w:pPr>
    <w:rPr>
      <w:rFonts w:eastAsia="Times New Roman"/>
      <w:i/>
      <w:color w:val="000000"/>
      <w:szCs w:val="24"/>
      <w:lang w:eastAsia="en-GB"/>
    </w:rPr>
  </w:style>
  <w:style w:type="numbering" w:customStyle="1" w:styleId="Style5import">
    <w:name w:val="Style 5 importé"/>
    <w:pPr>
      <w:numPr>
        <w:numId w:val="26"/>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jc w:val="left"/>
    </w:pPr>
    <w:rPr>
      <w:rFonts w:eastAsia="Times New Roman"/>
      <w:szCs w:val="20"/>
      <w:lang w:eastAsia="en-GB"/>
    </w:rPr>
  </w:style>
  <w:style w:type="paragraph" w:customStyle="1" w:styleId="NormalKeep">
    <w:name w:val="NormalKeep"/>
    <w:basedOn w:val="Normal"/>
    <w:pPr>
      <w:keepNext/>
      <w:widowControl w:val="0"/>
      <w:spacing w:before="0" w:after="0"/>
      <w:jc w:val="left"/>
    </w:pPr>
    <w:rPr>
      <w:rFonts w:eastAsia="Times New Roman"/>
      <w:szCs w:val="20"/>
      <w:lang w:eastAsia="en-GB"/>
    </w:rPr>
  </w:style>
  <w:style w:type="character" w:customStyle="1" w:styleId="added">
    <w:name w:val="added"/>
    <w:rPr>
      <w:b/>
      <w:i/>
      <w:noProof w:val="0"/>
      <w:lang w:val="ro-RO"/>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jc w:val="left"/>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27"/>
      </w:numPr>
    </w:pPr>
    <w:rPr>
      <w:rFonts w:eastAsia="Times New Roman"/>
      <w:lang w:eastAsia="de-DE"/>
    </w:rPr>
  </w:style>
  <w:style w:type="paragraph" w:customStyle="1" w:styleId="ListDash1">
    <w:name w:val="List Dash 1"/>
    <w:basedOn w:val="Normal"/>
    <w:pPr>
      <w:numPr>
        <w:numId w:val="28"/>
      </w:numPr>
    </w:pPr>
    <w:rPr>
      <w:rFonts w:eastAsia="Times New Roman"/>
      <w:lang w:eastAsia="de-DE"/>
    </w:rPr>
  </w:style>
  <w:style w:type="paragraph" w:customStyle="1" w:styleId="ListDash2">
    <w:name w:val="List Dash 2"/>
    <w:basedOn w:val="Normal"/>
    <w:pPr>
      <w:numPr>
        <w:numId w:val="29"/>
      </w:numPr>
    </w:pPr>
    <w:rPr>
      <w:rFonts w:eastAsia="Times New Roman"/>
      <w:lang w:eastAsia="de-DE"/>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numbering" w:customStyle="1" w:styleId="Style2import">
    <w:name w:val="Style 2 importé"/>
    <w:pPr>
      <w:numPr>
        <w:numId w:val="30"/>
      </w:numPr>
    </w:pPr>
  </w:style>
  <w:style w:type="character" w:customStyle="1" w:styleId="Lien">
    <w:name w:val="Lien"/>
    <w:rPr>
      <w:color w:val="0000FF"/>
      <w:u w:val="single" w:color="0000FF"/>
    </w:rPr>
  </w:style>
  <w:style w:type="numbering" w:customStyle="1" w:styleId="Style3import">
    <w:name w:val="Style 3 importé"/>
    <w:pPr>
      <w:numPr>
        <w:numId w:val="31"/>
      </w:numPr>
    </w:pPr>
  </w:style>
  <w:style w:type="character" w:customStyle="1" w:styleId="Hyperlink0">
    <w:name w:val="Hyperlink.0"/>
    <w:rPr>
      <w:color w:val="000000"/>
      <w:u w:val="single" w:color="000000"/>
    </w:rPr>
  </w:style>
  <w:style w:type="numbering" w:customStyle="1" w:styleId="Style4import">
    <w:name w:val="Style 4 importé"/>
    <w:pPr>
      <w:numPr>
        <w:numId w:val="32"/>
      </w:numPr>
    </w:pPr>
  </w:style>
  <w:style w:type="numbering" w:customStyle="1" w:styleId="Style5import1">
    <w:name w:val="Style 5 importé1"/>
  </w:style>
  <w:style w:type="paragraph" w:customStyle="1" w:styleId="ListDash">
    <w:name w:val="List Dash"/>
    <w:basedOn w:val="Normal"/>
    <w:pPr>
      <w:numPr>
        <w:numId w:val="33"/>
      </w:numPr>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ro-RO"/>
    </w:rPr>
  </w:style>
  <w:style w:type="paragraph" w:customStyle="1" w:styleId="TitreobjetPagedecouverture">
    <w:name w:val="Titre objet (Page de couverture)"/>
    <w:basedOn w:val="Titreobjet"/>
    <w:next w:val="IntrtEEEPagedecouverture"/>
  </w:style>
  <w:style w:type="paragraph" w:customStyle="1" w:styleId="ListDash4">
    <w:name w:val="List Dash 4"/>
    <w:basedOn w:val="Normal"/>
    <w:pPr>
      <w:numPr>
        <w:numId w:val="34"/>
      </w:numPr>
      <w:jc w:val="left"/>
    </w:pPr>
    <w:rPr>
      <w:rFonts w:eastAsia="Times New Roman"/>
      <w:szCs w:val="24"/>
      <w:lang w:eastAsia="de-DE"/>
    </w:rPr>
  </w:style>
  <w:style w:type="paragraph" w:customStyle="1" w:styleId="ListNumber4Level3">
    <w:name w:val="List Number 4 (Level 3)"/>
    <w:basedOn w:val="Normal"/>
    <w:pPr>
      <w:tabs>
        <w:tab w:val="num" w:pos="8790"/>
      </w:tabs>
      <w:ind w:left="8790" w:hanging="709"/>
      <w:jc w:val="left"/>
    </w:pPr>
    <w:rPr>
      <w:rFonts w:eastAsia="Times New Roman"/>
      <w:szCs w:val="24"/>
      <w:lang w:eastAsia="de-DE"/>
    </w:rPr>
  </w:style>
  <w:style w:type="paragraph" w:customStyle="1" w:styleId="ListNumber4Level4">
    <w:name w:val="List Number 4 (Level 4)"/>
    <w:basedOn w:val="Normal"/>
    <w:pPr>
      <w:tabs>
        <w:tab w:val="num" w:pos="9499"/>
      </w:tabs>
      <w:ind w:left="9499" w:hanging="709"/>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eastAsia="lv-LV"/>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character" w:customStyle="1" w:styleId="highlight">
    <w:name w:val="highlight"/>
    <w:basedOn w:val="DefaultParagraphFont"/>
  </w:style>
  <w:style w:type="character" w:customStyle="1" w:styleId="Added0">
    <w:name w:val="Added"/>
    <w:basedOn w:val="DefaultParagraphFont"/>
    <w:rPr>
      <w:b/>
      <w:u w:val="single"/>
      <w:shd w:val="clear" w:color="auto" w:fill="auto"/>
    </w:rPr>
  </w:style>
  <w:style w:type="character" w:customStyle="1" w:styleId="Added1">
    <w:name w:val="Added"/>
    <w:basedOn w:val="DefaultParagraphFont"/>
    <w:rPr>
      <w:b/>
      <w:u w:val="single"/>
      <w:shd w:val="clear" w:color="auto" w:fill="auto"/>
    </w:rPr>
  </w:style>
  <w:style w:type="character" w:customStyle="1" w:styleId="Added2">
    <w:name w:val="Added"/>
    <w:basedOn w:val="DefaultParagraphFont"/>
    <w:rPr>
      <w:b/>
      <w:u w:val="single"/>
      <w:shd w:val="clear" w:color="auto" w:fill="auto"/>
    </w:rPr>
  </w:style>
  <w:style w:type="character" w:customStyle="1" w:styleId="Added3">
    <w:name w:val="Added"/>
    <w:basedOn w:val="DefaultParagraphFont"/>
    <w:rPr>
      <w:b/>
      <w:u w:val="single"/>
      <w:shd w:val="clear" w:color="auto" w:fill="auto"/>
    </w:rPr>
  </w:style>
  <w:style w:type="character" w:customStyle="1" w:styleId="Added4">
    <w:name w:val="Added"/>
    <w:basedOn w:val="DefaultParagraphFont"/>
    <w:rPr>
      <w:b/>
      <w:u w:val="single"/>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5">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paragraph" w:styleId="Heading5">
    <w:name w:val="heading 5"/>
    <w:basedOn w:val="Normal"/>
    <w:next w:val="Normal"/>
    <w:link w:val="Heading5Char"/>
    <w:qFormat/>
    <w:pPr>
      <w:numPr>
        <w:ilvl w:val="4"/>
        <w:numId w:val="25"/>
      </w:numPr>
      <w:spacing w:before="240" w:after="60"/>
      <w:jc w:val="left"/>
      <w:outlineLvl w:val="4"/>
    </w:pPr>
    <w:rPr>
      <w:rFonts w:eastAsia="Times New Roman"/>
      <w:szCs w:val="20"/>
      <w:lang w:eastAsia="fr-FR"/>
    </w:rPr>
  </w:style>
  <w:style w:type="paragraph" w:styleId="Heading6">
    <w:name w:val="heading 6"/>
    <w:basedOn w:val="Normal"/>
    <w:next w:val="Normal"/>
    <w:link w:val="Heading6Char"/>
    <w:qFormat/>
    <w:pPr>
      <w:widowControl w:val="0"/>
      <w:spacing w:before="240" w:after="60"/>
      <w:jc w:val="left"/>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jc w:val="left"/>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jc w:val="left"/>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jc w:val="left"/>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ro-RO"/>
    </w:rPr>
  </w:style>
  <w:style w:type="character" w:styleId="CommentReference">
    <w:name w:val="annotation reference"/>
    <w:unhideWhenUsed/>
    <w:rPr>
      <w:sz w:val="16"/>
      <w:szCs w:val="16"/>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ro-RO"/>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val="en-GB"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ro-RO" w:eastAsia="en-GB"/>
    </w:rPr>
  </w:style>
  <w:style w:type="character" w:customStyle="1" w:styleId="Heading7Char">
    <w:name w:val="Heading 7 Char"/>
    <w:basedOn w:val="DefaultParagraphFont"/>
    <w:link w:val="Heading7"/>
    <w:rPr>
      <w:rFonts w:ascii="Arial" w:eastAsia="Times New Roman" w:hAnsi="Arial" w:cs="Times New Roman"/>
      <w:sz w:val="24"/>
      <w:szCs w:val="20"/>
      <w:lang w:val="ro-RO"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ro-RO"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ro-RO" w:eastAsia="en-GB"/>
    </w:rPr>
  </w:style>
  <w:style w:type="paragraph" w:customStyle="1" w:styleId="NormalJustified">
    <w:name w:val="Normal Justified"/>
    <w:basedOn w:val="Normal"/>
    <w:pPr>
      <w:spacing w:before="200" w:line="360" w:lineRule="auto"/>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link w:val="TechnicalBlockChar"/>
    <w:pPr>
      <w:spacing w:before="0" w:after="240"/>
      <w:jc w:val="center"/>
    </w:pPr>
  </w:style>
  <w:style w:type="paragraph" w:customStyle="1" w:styleId="FinalLine">
    <w:name w:val="Final Line"/>
    <w:basedOn w:val="Normal"/>
    <w:next w:val="Normal"/>
    <w:pPr>
      <w:pBdr>
        <w:bottom w:val="single" w:sz="4" w:space="0" w:color="000000"/>
      </w:pBdr>
      <w:spacing w:before="360" w:line="360" w:lineRule="auto"/>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line="360" w:lineRule="auto"/>
      <w:ind w:left="5868" w:right="5868"/>
      <w:jc w:val="center"/>
    </w:pPr>
    <w:rPr>
      <w:b/>
    </w:rPr>
  </w:style>
  <w:style w:type="paragraph" w:customStyle="1" w:styleId="Text5">
    <w:name w:val="Text 5"/>
    <w:basedOn w:val="Normal"/>
    <w:pPr>
      <w:spacing w:line="360" w:lineRule="auto"/>
      <w:ind w:left="2835"/>
      <w:jc w:val="left"/>
    </w:pPr>
  </w:style>
  <w:style w:type="paragraph" w:customStyle="1" w:styleId="Text6">
    <w:name w:val="Text 6"/>
    <w:basedOn w:val="Normal"/>
    <w:pPr>
      <w:spacing w:line="360" w:lineRule="auto"/>
      <w:ind w:left="3402"/>
      <w:jc w:val="left"/>
    </w:p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PointManual2">
    <w:name w:val="Point Manual (2)"/>
    <w:basedOn w:val="Normal"/>
    <w:pPr>
      <w:spacing w:line="360" w:lineRule="auto"/>
      <w:ind w:left="1701" w:hanging="567"/>
      <w:jc w:val="left"/>
    </w:pPr>
  </w:style>
  <w:style w:type="paragraph" w:customStyle="1" w:styleId="PointManual3">
    <w:name w:val="Point Manual (3)"/>
    <w:basedOn w:val="Normal"/>
    <w:pPr>
      <w:spacing w:line="360" w:lineRule="auto"/>
      <w:ind w:left="2268" w:hanging="567"/>
      <w:jc w:val="left"/>
    </w:pPr>
  </w:style>
  <w:style w:type="paragraph" w:customStyle="1" w:styleId="PointManual4">
    <w:name w:val="Point Manual (4)"/>
    <w:basedOn w:val="Normal"/>
    <w:pPr>
      <w:spacing w:line="360" w:lineRule="auto"/>
      <w:ind w:left="2835" w:hanging="567"/>
      <w:jc w:val="left"/>
    </w:pPr>
  </w:style>
  <w:style w:type="paragraph" w:customStyle="1" w:styleId="PointDoubleManual">
    <w:name w:val="Point Double Manual"/>
    <w:basedOn w:val="Normal"/>
    <w:pPr>
      <w:tabs>
        <w:tab w:val="left" w:pos="567"/>
      </w:tabs>
      <w:spacing w:line="360" w:lineRule="auto"/>
      <w:ind w:left="1134" w:hanging="1134"/>
      <w:jc w:val="left"/>
    </w:pPr>
  </w:style>
  <w:style w:type="paragraph" w:customStyle="1" w:styleId="PointDoubleManual1">
    <w:name w:val="Point Double Manual (1)"/>
    <w:basedOn w:val="Normal"/>
    <w:pPr>
      <w:tabs>
        <w:tab w:val="left" w:pos="1134"/>
      </w:tabs>
      <w:spacing w:line="360" w:lineRule="auto"/>
      <w:ind w:left="1701" w:hanging="1134"/>
      <w:jc w:val="left"/>
    </w:pPr>
  </w:style>
  <w:style w:type="paragraph" w:customStyle="1" w:styleId="PointDoubleManual2">
    <w:name w:val="Point Double Manual (2)"/>
    <w:basedOn w:val="Normal"/>
    <w:pPr>
      <w:tabs>
        <w:tab w:val="left" w:pos="1701"/>
      </w:tabs>
      <w:spacing w:line="360" w:lineRule="auto"/>
      <w:ind w:left="2268" w:hanging="1134"/>
      <w:jc w:val="left"/>
    </w:pPr>
  </w:style>
  <w:style w:type="paragraph" w:customStyle="1" w:styleId="PointDoubleManual3">
    <w:name w:val="Point Double Manual (3)"/>
    <w:basedOn w:val="Normal"/>
    <w:pPr>
      <w:tabs>
        <w:tab w:val="left" w:pos="2268"/>
      </w:tabs>
      <w:spacing w:line="360" w:lineRule="auto"/>
      <w:ind w:left="2835" w:hanging="1134"/>
      <w:jc w:val="left"/>
    </w:pPr>
  </w:style>
  <w:style w:type="paragraph" w:customStyle="1" w:styleId="PointDoubleManual4">
    <w:name w:val="Point Double Manual (4)"/>
    <w:basedOn w:val="Normal"/>
    <w:pPr>
      <w:tabs>
        <w:tab w:val="left" w:pos="2835"/>
      </w:tabs>
      <w:spacing w:line="360" w:lineRule="auto"/>
      <w:ind w:left="3402" w:hanging="1134"/>
      <w:jc w:val="left"/>
    </w:pPr>
  </w:style>
  <w:style w:type="paragraph" w:customStyle="1" w:styleId="Pointabc">
    <w:name w:val="Point abc"/>
    <w:basedOn w:val="Normal"/>
    <w:pPr>
      <w:numPr>
        <w:ilvl w:val="1"/>
        <w:numId w:val="20"/>
      </w:numPr>
      <w:spacing w:line="360" w:lineRule="auto"/>
      <w:jc w:val="left"/>
    </w:pPr>
  </w:style>
  <w:style w:type="paragraph" w:customStyle="1" w:styleId="Pointabc1">
    <w:name w:val="Point abc (1)"/>
    <w:basedOn w:val="Normal"/>
    <w:pPr>
      <w:numPr>
        <w:ilvl w:val="3"/>
        <w:numId w:val="20"/>
      </w:numPr>
      <w:spacing w:line="360" w:lineRule="auto"/>
      <w:jc w:val="left"/>
    </w:pPr>
  </w:style>
  <w:style w:type="paragraph" w:customStyle="1" w:styleId="Pointabc2">
    <w:name w:val="Point abc (2)"/>
    <w:basedOn w:val="Normal"/>
    <w:pPr>
      <w:numPr>
        <w:ilvl w:val="5"/>
        <w:numId w:val="20"/>
      </w:numPr>
      <w:spacing w:line="360" w:lineRule="auto"/>
      <w:jc w:val="left"/>
    </w:pPr>
  </w:style>
  <w:style w:type="paragraph" w:customStyle="1" w:styleId="Pointabc3">
    <w:name w:val="Point abc (3)"/>
    <w:basedOn w:val="Normal"/>
    <w:pPr>
      <w:numPr>
        <w:ilvl w:val="7"/>
        <w:numId w:val="20"/>
      </w:numPr>
      <w:spacing w:line="360" w:lineRule="auto"/>
      <w:jc w:val="left"/>
    </w:pPr>
  </w:style>
  <w:style w:type="paragraph" w:customStyle="1" w:styleId="Pointabc4">
    <w:name w:val="Point abc (4)"/>
    <w:basedOn w:val="Normal"/>
    <w:pPr>
      <w:numPr>
        <w:ilvl w:val="8"/>
        <w:numId w:val="20"/>
      </w:numPr>
      <w:spacing w:line="360" w:lineRule="auto"/>
      <w:jc w:val="left"/>
    </w:pPr>
  </w:style>
  <w:style w:type="paragraph" w:customStyle="1" w:styleId="Point123">
    <w:name w:val="Point 123"/>
    <w:basedOn w:val="Normal"/>
    <w:pPr>
      <w:numPr>
        <w:numId w:val="20"/>
      </w:numPr>
      <w:spacing w:line="360" w:lineRule="auto"/>
      <w:jc w:val="left"/>
    </w:pPr>
  </w:style>
  <w:style w:type="paragraph" w:customStyle="1" w:styleId="Point1231">
    <w:name w:val="Point 123 (1)"/>
    <w:basedOn w:val="Normal"/>
    <w:pPr>
      <w:numPr>
        <w:ilvl w:val="2"/>
        <w:numId w:val="20"/>
      </w:numPr>
      <w:spacing w:line="360" w:lineRule="auto"/>
      <w:jc w:val="left"/>
    </w:pPr>
  </w:style>
  <w:style w:type="paragraph" w:customStyle="1" w:styleId="Point1232">
    <w:name w:val="Point 123 (2)"/>
    <w:basedOn w:val="Normal"/>
    <w:pPr>
      <w:numPr>
        <w:ilvl w:val="4"/>
        <w:numId w:val="20"/>
      </w:numPr>
      <w:spacing w:line="360" w:lineRule="auto"/>
      <w:jc w:val="left"/>
    </w:pPr>
  </w:style>
  <w:style w:type="paragraph" w:customStyle="1" w:styleId="Point1233">
    <w:name w:val="Point 123 (3)"/>
    <w:basedOn w:val="Normal"/>
    <w:pPr>
      <w:numPr>
        <w:ilvl w:val="6"/>
        <w:numId w:val="20"/>
      </w:numPr>
      <w:spacing w:line="360" w:lineRule="auto"/>
      <w:jc w:val="left"/>
    </w:pPr>
  </w:style>
  <w:style w:type="paragraph" w:customStyle="1" w:styleId="Pointivx">
    <w:name w:val="Point ivx"/>
    <w:basedOn w:val="Normal"/>
    <w:pPr>
      <w:numPr>
        <w:numId w:val="21"/>
      </w:numPr>
      <w:spacing w:line="360" w:lineRule="auto"/>
      <w:jc w:val="left"/>
    </w:pPr>
  </w:style>
  <w:style w:type="paragraph" w:customStyle="1" w:styleId="Pointivx1">
    <w:name w:val="Point ivx (1)"/>
    <w:basedOn w:val="Normal"/>
    <w:pPr>
      <w:numPr>
        <w:ilvl w:val="1"/>
        <w:numId w:val="21"/>
      </w:numPr>
      <w:spacing w:line="360" w:lineRule="auto"/>
      <w:jc w:val="left"/>
    </w:pPr>
  </w:style>
  <w:style w:type="paragraph" w:customStyle="1" w:styleId="Pointivx2">
    <w:name w:val="Point ivx (2)"/>
    <w:basedOn w:val="Normal"/>
    <w:pPr>
      <w:numPr>
        <w:ilvl w:val="2"/>
        <w:numId w:val="21"/>
      </w:numPr>
      <w:spacing w:line="360" w:lineRule="auto"/>
      <w:jc w:val="left"/>
    </w:pPr>
  </w:style>
  <w:style w:type="paragraph" w:customStyle="1" w:styleId="Pointivx3">
    <w:name w:val="Point ivx (3)"/>
    <w:basedOn w:val="Normal"/>
    <w:pPr>
      <w:numPr>
        <w:ilvl w:val="3"/>
        <w:numId w:val="21"/>
      </w:numPr>
      <w:spacing w:line="360" w:lineRule="auto"/>
      <w:jc w:val="left"/>
    </w:pPr>
  </w:style>
  <w:style w:type="paragraph" w:customStyle="1" w:styleId="Pointivx4">
    <w:name w:val="Point ivx (4)"/>
    <w:basedOn w:val="Normal"/>
    <w:pPr>
      <w:numPr>
        <w:ilvl w:val="4"/>
        <w:numId w:val="21"/>
      </w:numPr>
      <w:spacing w:line="360" w:lineRule="auto"/>
      <w:jc w:val="left"/>
    </w:pPr>
  </w:style>
  <w:style w:type="paragraph" w:customStyle="1" w:styleId="Bullet">
    <w:name w:val="Bullet"/>
    <w:basedOn w:val="Normal"/>
    <w:pPr>
      <w:numPr>
        <w:numId w:val="19"/>
      </w:numPr>
      <w:spacing w:line="360" w:lineRule="auto"/>
      <w:jc w:val="left"/>
    </w:pPr>
  </w:style>
  <w:style w:type="paragraph" w:customStyle="1" w:styleId="Dash">
    <w:name w:val="Dash"/>
    <w:basedOn w:val="Normal"/>
    <w:pPr>
      <w:numPr>
        <w:numId w:val="9"/>
      </w:numPr>
      <w:spacing w:line="360" w:lineRule="auto"/>
      <w:jc w:val="left"/>
    </w:pPr>
  </w:style>
  <w:style w:type="paragraph" w:customStyle="1" w:styleId="Dash1">
    <w:name w:val="Dash 1"/>
    <w:basedOn w:val="Normal"/>
    <w:pPr>
      <w:numPr>
        <w:numId w:val="10"/>
      </w:numPr>
      <w:spacing w:line="360" w:lineRule="auto"/>
      <w:jc w:val="left"/>
    </w:pPr>
  </w:style>
  <w:style w:type="paragraph" w:customStyle="1" w:styleId="Dash2">
    <w:name w:val="Dash 2"/>
    <w:basedOn w:val="Normal"/>
    <w:pPr>
      <w:numPr>
        <w:numId w:val="11"/>
      </w:numPr>
      <w:spacing w:line="360" w:lineRule="auto"/>
      <w:jc w:val="left"/>
    </w:pPr>
  </w:style>
  <w:style w:type="paragraph" w:customStyle="1" w:styleId="Dash3">
    <w:name w:val="Dash 3"/>
    <w:basedOn w:val="Normal"/>
    <w:pPr>
      <w:numPr>
        <w:numId w:val="12"/>
      </w:numPr>
      <w:spacing w:line="360" w:lineRule="auto"/>
      <w:jc w:val="left"/>
    </w:pPr>
  </w:style>
  <w:style w:type="paragraph" w:customStyle="1" w:styleId="Dash4">
    <w:name w:val="Dash 4"/>
    <w:basedOn w:val="Normal"/>
    <w:pPr>
      <w:numPr>
        <w:numId w:val="13"/>
      </w:numPr>
      <w:spacing w:line="360" w:lineRule="auto"/>
      <w:jc w:val="left"/>
    </w:pPr>
  </w:style>
  <w:style w:type="paragraph" w:customStyle="1" w:styleId="DashEqual">
    <w:name w:val="Dash Equal"/>
    <w:basedOn w:val="Dash"/>
    <w:pPr>
      <w:numPr>
        <w:numId w:val="14"/>
      </w:numPr>
    </w:pPr>
  </w:style>
  <w:style w:type="paragraph" w:customStyle="1" w:styleId="DashEqual1">
    <w:name w:val="Dash Equal 1"/>
    <w:basedOn w:val="Dash1"/>
    <w:pPr>
      <w:numPr>
        <w:numId w:val="15"/>
      </w:numPr>
    </w:pPr>
  </w:style>
  <w:style w:type="paragraph" w:customStyle="1" w:styleId="DashEqual2">
    <w:name w:val="Dash Equal 2"/>
    <w:basedOn w:val="Dash2"/>
    <w:pPr>
      <w:numPr>
        <w:numId w:val="16"/>
      </w:numPr>
    </w:pPr>
  </w:style>
  <w:style w:type="paragraph" w:customStyle="1" w:styleId="DashEqual3">
    <w:name w:val="Dash Equal 3"/>
    <w:basedOn w:val="Dash3"/>
    <w:pPr>
      <w:numPr>
        <w:numId w:val="17"/>
      </w:numPr>
    </w:pPr>
  </w:style>
  <w:style w:type="paragraph" w:customStyle="1" w:styleId="DashEqual4">
    <w:name w:val="Dash Equal 4"/>
    <w:basedOn w:val="Dash4"/>
    <w:pPr>
      <w:numPr>
        <w:numId w:val="18"/>
      </w:numPr>
    </w:pPr>
  </w:style>
  <w:style w:type="paragraph" w:customStyle="1" w:styleId="HeadingLeft">
    <w:name w:val="Heading Left"/>
    <w:basedOn w:val="Normal"/>
    <w:next w:val="Normal"/>
    <w:pPr>
      <w:spacing w:before="360" w:line="360" w:lineRule="auto"/>
      <w:jc w:val="left"/>
      <w:outlineLvl w:val="0"/>
    </w:pPr>
    <w:rPr>
      <w:b/>
      <w:caps/>
      <w:u w:val="single"/>
    </w:rPr>
  </w:style>
  <w:style w:type="paragraph" w:customStyle="1" w:styleId="HeadingIVX">
    <w:name w:val="Heading IVX"/>
    <w:basedOn w:val="HeadingLeft"/>
    <w:next w:val="Normal"/>
    <w:pPr>
      <w:numPr>
        <w:numId w:val="24"/>
      </w:numPr>
    </w:pPr>
  </w:style>
  <w:style w:type="paragraph" w:customStyle="1" w:styleId="Heading123">
    <w:name w:val="Heading 123"/>
    <w:basedOn w:val="HeadingLeft"/>
    <w:next w:val="Normal"/>
    <w:pPr>
      <w:numPr>
        <w:numId w:val="23"/>
      </w:numPr>
    </w:pPr>
  </w:style>
  <w:style w:type="paragraph" w:customStyle="1" w:styleId="HeadingABC">
    <w:name w:val="Heading ABC"/>
    <w:basedOn w:val="HeadingLeft"/>
    <w:next w:val="Normal"/>
    <w:pPr>
      <w:numPr>
        <w:numId w:val="22"/>
      </w:numPr>
    </w:pPr>
  </w:style>
  <w:style w:type="paragraph" w:customStyle="1" w:styleId="HeadingCentered">
    <w:name w:val="Heading Centered"/>
    <w:basedOn w:val="HeadingLeft"/>
    <w:next w:val="Normal"/>
    <w:pPr>
      <w:jc w:val="center"/>
    </w:pPr>
  </w:style>
  <w:style w:type="paragraph" w:customStyle="1" w:styleId="Jardin">
    <w:name w:val="Jardin"/>
    <w:basedOn w:val="Normal"/>
    <w:pPr>
      <w:spacing w:before="200" w:after="0"/>
      <w:jc w:val="center"/>
    </w:pPr>
  </w:style>
  <w:style w:type="paragraph" w:customStyle="1" w:styleId="Amendment">
    <w:name w:val="Amendment"/>
    <w:basedOn w:val="Normal"/>
    <w:next w:val="Normal"/>
    <w:pPr>
      <w:spacing w:line="360" w:lineRule="auto"/>
      <w:jc w:val="left"/>
    </w:pPr>
    <w:rPr>
      <w:i/>
      <w:u w:val="single"/>
    </w:rPr>
  </w:style>
  <w:style w:type="paragraph" w:customStyle="1" w:styleId="AmendmentList">
    <w:name w:val="Amendment List"/>
    <w:basedOn w:val="Normal"/>
    <w:pPr>
      <w:spacing w:line="360" w:lineRule="auto"/>
      <w:ind w:left="2268" w:hanging="2268"/>
      <w:jc w:val="left"/>
    </w:pPr>
  </w:style>
  <w:style w:type="paragraph" w:customStyle="1" w:styleId="ReplyRE">
    <w:name w:val="Reply RE"/>
    <w:basedOn w:val="Normal"/>
    <w:next w:val="Normal"/>
    <w:pPr>
      <w:spacing w:after="480"/>
      <w:contextualSpacing/>
      <w:jc w:val="left"/>
    </w:pPr>
  </w:style>
  <w:style w:type="paragraph" w:customStyle="1" w:styleId="ReplyBold">
    <w:name w:val="Reply Bold"/>
    <w:basedOn w:val="ReplyRE"/>
    <w:next w:val="Normal"/>
    <w:rPr>
      <w:b/>
    </w:rPr>
  </w:style>
  <w:style w:type="paragraph" w:customStyle="1" w:styleId="Annex">
    <w:name w:val="Annex"/>
    <w:basedOn w:val="Normal"/>
    <w:next w:val="Normal"/>
    <w:pPr>
      <w:spacing w:line="360" w:lineRule="auto"/>
      <w:jc w:val="right"/>
    </w:pPr>
    <w:rPr>
      <w:b/>
      <w:u w:val="single"/>
    </w:rPr>
  </w:style>
  <w:style w:type="paragraph" w:customStyle="1" w:styleId="Sign">
    <w:name w:val="Sign"/>
    <w:basedOn w:val="Normal"/>
    <w:pPr>
      <w:tabs>
        <w:tab w:val="center" w:pos="7087"/>
      </w:tabs>
      <w:spacing w:line="360" w:lineRule="auto"/>
      <w:contextualSpacing/>
      <w:jc w:val="left"/>
    </w:pPr>
  </w:style>
  <w:style w:type="paragraph" w:customStyle="1" w:styleId="NotDeclassified">
    <w:name w:val="Not Declassified"/>
    <w:basedOn w:val="Normal"/>
    <w:next w:val="Normal"/>
    <w:pPr>
      <w:spacing w:line="360" w:lineRule="auto"/>
      <w:jc w:val="left"/>
    </w:pPr>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jc w:val="left"/>
    </w:pPr>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ro-RO"/>
    </w:rPr>
  </w:style>
  <w:style w:type="character" w:customStyle="1" w:styleId="HeaderCouncilLargeChar">
    <w:name w:val="Header Council Large Char"/>
    <w:basedOn w:val="TechnicalBlockChar"/>
    <w:link w:val="HeaderCouncilLarge"/>
    <w:rPr>
      <w:rFonts w:ascii="Times New Roman" w:hAnsi="Times New Roman" w:cs="Times New Roman"/>
      <w:sz w:val="2"/>
      <w:lang w:val="ro-RO"/>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basedOn w:val="DefaultParagraphFont"/>
    <w:uiPriority w:val="99"/>
    <w:semiHidden/>
    <w:rPr>
      <w:color w:val="808080"/>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spacing w:line="360" w:lineRule="auto"/>
      <w:ind w:left="720"/>
      <w:contextualSpacing/>
      <w:jc w:val="left"/>
    </w:pPr>
  </w:style>
  <w:style w:type="paragraph" w:customStyle="1" w:styleId="Normal12">
    <w:name w:val="Normal12"/>
    <w:basedOn w:val="Normal"/>
    <w:link w:val="Normal12Char"/>
    <w:qFormat/>
    <w:pPr>
      <w:widowControl w:val="0"/>
      <w:spacing w:before="0" w:after="240"/>
      <w:jc w:val="left"/>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jc w:val="left"/>
      <w:outlineLvl w:val="1"/>
    </w:pPr>
    <w:rPr>
      <w:rFonts w:eastAsia="Times New Roman"/>
      <w:b/>
      <w:noProof/>
      <w:sz w:val="28"/>
      <w:szCs w:val="20"/>
      <w:lang w:eastAsia="fr-FR"/>
    </w:rPr>
  </w:style>
  <w:style w:type="paragraph" w:customStyle="1" w:styleId="ATHeading3">
    <w:name w:val="AT Heading 3"/>
    <w:basedOn w:val="Normal"/>
    <w:next w:val="Normal"/>
    <w:pPr>
      <w:keepNext/>
      <w:keepLines/>
      <w:jc w:val="left"/>
      <w:outlineLvl w:val="2"/>
    </w:pPr>
    <w:rPr>
      <w:rFonts w:eastAsia="Times New Roman"/>
      <w:b/>
      <w:noProof/>
      <w:szCs w:val="20"/>
      <w:lang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jc w:val="left"/>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ro-RO"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jc w:val="left"/>
    </w:pPr>
    <w:rPr>
      <w:rFonts w:eastAsia="Times New Roman"/>
      <w:szCs w:val="20"/>
      <w:lang w:eastAsia="en-GB"/>
    </w:rPr>
  </w:style>
  <w:style w:type="paragraph" w:customStyle="1" w:styleId="Footer2">
    <w:name w:val="Footer2"/>
    <w:basedOn w:val="Normal"/>
    <w:pPr>
      <w:tabs>
        <w:tab w:val="right" w:pos="9921"/>
      </w:tabs>
      <w:spacing w:before="0" w:after="240"/>
      <w:ind w:left="-850" w:right="-850"/>
      <w:jc w:val="left"/>
    </w:pPr>
    <w:rPr>
      <w:rFonts w:ascii="Arial" w:eastAsia="Times New Roman" w:hAnsi="Arial" w:cs="Arial"/>
      <w:b/>
      <w:sz w:val="48"/>
      <w:szCs w:val="20"/>
      <w:lang w:eastAsia="en-G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jc w:val="left"/>
    </w:pPr>
    <w:rPr>
      <w:rFonts w:eastAsia="Times New Roman"/>
      <w:szCs w:val="20"/>
      <w:lang w:eastAsia="en-GB"/>
    </w:rPr>
  </w:style>
  <w:style w:type="paragraph" w:customStyle="1" w:styleId="PageHeading">
    <w:name w:val="PageHeading"/>
    <w:basedOn w:val="Normal12a12b"/>
    <w:pPr>
      <w:keepNext/>
      <w:jc w:val="center"/>
    </w:pPr>
    <w:rPr>
      <w:rFonts w:ascii="Arial" w:hAnsi="Arial"/>
      <w:b/>
    </w:rPr>
  </w:style>
  <w:style w:type="paragraph" w:customStyle="1" w:styleId="CoverBold">
    <w:name w:val="CoverBold"/>
    <w:basedOn w:val="CoverNormal"/>
    <w:rPr>
      <w:b/>
    </w:rPr>
  </w:style>
  <w:style w:type="paragraph" w:customStyle="1" w:styleId="Normal24">
    <w:name w:val="Normal24"/>
    <w:basedOn w:val="Normal"/>
    <w:pPr>
      <w:widowControl w:val="0"/>
      <w:spacing w:before="0" w:after="480"/>
      <w:jc w:val="left"/>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ind w:left="1418"/>
      <w:jc w:val="left"/>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jc w:val="left"/>
    </w:pPr>
    <w:rPr>
      <w:rFonts w:eastAsia="Times New Roman"/>
      <w:b/>
      <w:szCs w:val="20"/>
      <w:lang w:eastAsia="en-GB"/>
    </w:rPr>
  </w:style>
  <w:style w:type="paragraph" w:customStyle="1" w:styleId="RefProc">
    <w:name w:val="RefProc"/>
    <w:basedOn w:val="Normal"/>
    <w:pPr>
      <w:widowControl w:val="0"/>
      <w:spacing w:before="0" w:after="0"/>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jc w:val="left"/>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jc w:val="center"/>
    </w:pPr>
    <w:rPr>
      <w:rFonts w:ascii="Arial" w:eastAsia="Times New Roman" w:hAnsi="Arial"/>
      <w:sz w:val="16"/>
      <w:szCs w:val="16"/>
      <w:lang w:eastAsia="en-GB"/>
    </w:rPr>
  </w:style>
  <w:style w:type="paragraph" w:customStyle="1" w:styleId="LineBottom">
    <w:name w:val="LineBottom"/>
    <w:basedOn w:val="Normal"/>
    <w:next w:val="Normal"/>
    <w:pPr>
      <w:widowControl w:val="0"/>
      <w:pBdr>
        <w:bottom w:val="single" w:sz="4" w:space="1" w:color="auto"/>
      </w:pBdr>
      <w:spacing w:before="0" w:after="240"/>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jc w:val="left"/>
    </w:pPr>
    <w:rPr>
      <w:rFonts w:ascii="Arial" w:eastAsia="Times New Roman" w:hAnsi="Arial" w:cs="Arial"/>
      <w:sz w:val="22"/>
      <w:lang w:eastAsia="en-GB"/>
    </w:rPr>
  </w:style>
  <w:style w:type="paragraph" w:customStyle="1" w:styleId="PERight">
    <w:name w:val="PERight"/>
    <w:basedOn w:val="Normal"/>
    <w:next w:val="Normal"/>
    <w:pPr>
      <w:widowControl w:val="0"/>
      <w:spacing w:before="0" w:after="0"/>
      <w:jc w:val="right"/>
    </w:pPr>
    <w:rPr>
      <w:rFonts w:ascii="Arial" w:eastAsia="Times New Roman" w:hAnsi="Arial" w:cs="Arial"/>
      <w:sz w:val="22"/>
      <w:lang w:eastAsia="en-GB"/>
    </w:rPr>
  </w:style>
  <w:style w:type="paragraph" w:customStyle="1" w:styleId="NormalBold">
    <w:name w:val="NormalBold"/>
    <w:basedOn w:val="Normal"/>
    <w:link w:val="NormalBoldChar"/>
    <w:pPr>
      <w:widowControl w:val="0"/>
      <w:spacing w:before="0" w:after="0"/>
      <w:jc w:val="left"/>
    </w:pPr>
    <w:rPr>
      <w:rFonts w:eastAsia="Times New Roman"/>
      <w:b/>
      <w:szCs w:val="20"/>
      <w:lang w:eastAsia="en-GB"/>
    </w:rPr>
  </w:style>
  <w:style w:type="paragraph" w:customStyle="1" w:styleId="Normal24Bold">
    <w:name w:val="Normal24Bold"/>
    <w:basedOn w:val="Normal"/>
    <w:pPr>
      <w:widowControl w:val="0"/>
      <w:spacing w:before="0" w:after="480"/>
      <w:jc w:val="left"/>
    </w:pPr>
    <w:rPr>
      <w:rFonts w:eastAsia="Times New Roman"/>
      <w:b/>
      <w:szCs w:val="20"/>
      <w:lang w:eastAsia="en-GB"/>
    </w:rPr>
  </w:style>
  <w:style w:type="paragraph" w:customStyle="1" w:styleId="ATHeading1">
    <w:name w:val="AT Heading 1"/>
    <w:basedOn w:val="Normal"/>
    <w:next w:val="Normal"/>
    <w:pPr>
      <w:keepNext/>
      <w:keepLines/>
      <w:spacing w:before="480"/>
      <w:jc w:val="left"/>
      <w:outlineLvl w:val="0"/>
    </w:pPr>
    <w:rPr>
      <w:rFonts w:eastAsia="Times New Roman"/>
      <w:b/>
      <w:noProof/>
      <w:sz w:val="28"/>
      <w:szCs w:val="20"/>
      <w:lang w:eastAsia="fr-FR"/>
    </w:rPr>
  </w:style>
  <w:style w:type="paragraph" w:customStyle="1" w:styleId="ATHeading4">
    <w:name w:val="AT Heading 4"/>
    <w:basedOn w:val="Normal"/>
    <w:next w:val="Normal"/>
    <w:pPr>
      <w:keepNext/>
      <w:keepLines/>
      <w:jc w:val="left"/>
    </w:pPr>
    <w:rPr>
      <w:rFonts w:eastAsia="Times New Roman"/>
      <w:b/>
      <w:i/>
      <w:noProof/>
      <w:szCs w:val="20"/>
      <w:lang w:eastAsia="fr-FR"/>
    </w:rPr>
  </w:style>
  <w:style w:type="paragraph" w:customStyle="1" w:styleId="ATHeading5">
    <w:name w:val="AT Heading 5"/>
    <w:basedOn w:val="Normal"/>
    <w:next w:val="Normal"/>
    <w:pPr>
      <w:keepNext/>
      <w:keepLines/>
      <w:jc w:val="left"/>
    </w:pPr>
    <w:rPr>
      <w:rFonts w:eastAsia="Times New Roman"/>
      <w:i/>
      <w:noProof/>
      <w:szCs w:val="20"/>
      <w:lang w:eastAsia="fr-FR"/>
    </w:rPr>
  </w:style>
  <w:style w:type="paragraph" w:customStyle="1" w:styleId="ATHeading6">
    <w:name w:val="AT Heading 6"/>
    <w:basedOn w:val="Normal"/>
    <w:next w:val="Normal"/>
    <w:pPr>
      <w:keepNext/>
      <w:keepLines/>
      <w:jc w:val="left"/>
    </w:pPr>
    <w:rPr>
      <w:rFonts w:eastAsia="Times New Roman"/>
      <w:smallCaps/>
      <w:noProof/>
      <w:szCs w:val="20"/>
      <w:lang w:eastAsia="fr-FR"/>
    </w:rPr>
  </w:style>
  <w:style w:type="paragraph" w:customStyle="1" w:styleId="ATHeadingMotiv">
    <w:name w:val="AT Heading Motiv"/>
    <w:basedOn w:val="Normal"/>
    <w:next w:val="Normal"/>
    <w:pPr>
      <w:keepNext/>
      <w:spacing w:before="60" w:after="60"/>
      <w:jc w:val="center"/>
    </w:pPr>
    <w:rPr>
      <w:rFonts w:eastAsia="Times New Roman"/>
      <w:i/>
      <w:szCs w:val="20"/>
      <w:lang w:eastAsia="fr-FR"/>
    </w:rPr>
  </w:style>
  <w:style w:type="paragraph" w:customStyle="1" w:styleId="ATTOCTitle">
    <w:name w:val="AT TOC Title"/>
    <w:basedOn w:val="Normal"/>
    <w:pPr>
      <w:keepNext/>
      <w:keepLines/>
      <w:spacing w:before="0" w:after="240"/>
      <w:jc w:val="center"/>
    </w:pPr>
    <w:rPr>
      <w:rFonts w:eastAsia="Times New Roman"/>
      <w:b/>
      <w:caps/>
      <w:sz w:val="28"/>
      <w:szCs w:val="20"/>
      <w:lang w:eastAsia="fr-FR"/>
    </w:rPr>
  </w:style>
  <w:style w:type="paragraph" w:customStyle="1" w:styleId="Numroamendement">
    <w:name w:val="Numéro amendement"/>
    <w:basedOn w:val="Normal"/>
    <w:next w:val="Normal"/>
    <w:pPr>
      <w:widowControl w:val="0"/>
      <w:spacing w:before="0" w:after="0"/>
      <w:jc w:val="center"/>
    </w:pPr>
    <w:rPr>
      <w:rFonts w:eastAsia="Times New Roman"/>
      <w:snapToGrid w:val="0"/>
      <w:szCs w:val="20"/>
    </w:rPr>
  </w:style>
  <w:style w:type="character" w:styleId="PageNumber">
    <w:name w:val="page number"/>
  </w:style>
  <w:style w:type="paragraph" w:customStyle="1" w:styleId="EPName">
    <w:name w:val="EPName"/>
    <w:basedOn w:val="Normal"/>
    <w:pPr>
      <w:widowControl w:val="0"/>
      <w:spacing w:before="80" w:after="80"/>
      <w:jc w:val="left"/>
    </w:pPr>
    <w:rPr>
      <w:rFonts w:ascii="Arial Narrow" w:eastAsia="Times New Roman" w:hAnsi="Arial Narrow" w:cs="Arial"/>
      <w:b/>
      <w:color w:val="000000"/>
      <w:sz w:val="32"/>
      <w:lang w:eastAsia="en-GB"/>
    </w:rPr>
  </w:style>
  <w:style w:type="paragraph" w:customStyle="1" w:styleId="EPTerm">
    <w:name w:val="EPTerm"/>
    <w:basedOn w:val="Normal"/>
    <w:next w:val="Normal"/>
    <w:pPr>
      <w:widowControl w:val="0"/>
      <w:spacing w:before="0" w:after="80"/>
      <w:jc w:val="left"/>
    </w:pPr>
    <w:rPr>
      <w:rFonts w:ascii="Arial" w:eastAsia="Times New Roman" w:hAnsi="Arial" w:cs="Arial"/>
      <w:sz w:val="20"/>
      <w:lang w:eastAsia="en-GB"/>
    </w:rPr>
  </w:style>
  <w:style w:type="paragraph" w:customStyle="1" w:styleId="EPLogo">
    <w:name w:val="EPLogo"/>
    <w:basedOn w:val="Normal"/>
    <w:qFormat/>
    <w:pPr>
      <w:widowControl w:val="0"/>
      <w:spacing w:before="0" w:after="0"/>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ro-RO" w:eastAsia="en-GB"/>
    </w:rPr>
  </w:style>
  <w:style w:type="paragraph" w:customStyle="1" w:styleId="NormalBoldCentre">
    <w:name w:val="NormalBoldCentre"/>
    <w:basedOn w:val="Normal"/>
    <w:pPr>
      <w:widowControl w:val="0"/>
      <w:spacing w:before="0" w:after="0"/>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ind w:left="1418"/>
      <w:jc w:val="left"/>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jc w:val="left"/>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jc w:val="center"/>
    </w:pPr>
    <w:rPr>
      <w:rFonts w:ascii="Arial" w:eastAsia="Times New Roman" w:hAnsi="Arial" w:cs="Arial"/>
      <w:i/>
      <w:sz w:val="22"/>
      <w:lang w:eastAsia="en-GB"/>
    </w:rPr>
  </w:style>
  <w:style w:type="paragraph" w:customStyle="1" w:styleId="ConsLine">
    <w:name w:val="ConsLine"/>
    <w:basedOn w:val="Normal"/>
    <w:pPr>
      <w:widowControl w:val="0"/>
      <w:spacing w:before="240" w:after="240"/>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ind w:left="737" w:hanging="737"/>
      <w:jc w:val="left"/>
    </w:pPr>
    <w:rPr>
      <w:rFonts w:eastAsia="Times New Roman"/>
      <w:snapToGrid w:val="0"/>
      <w:sz w:val="18"/>
      <w:szCs w:val="20"/>
    </w:rPr>
  </w:style>
  <w:style w:type="paragraph" w:customStyle="1" w:styleId="Lgendetitre">
    <w:name w:val="Légende titre"/>
    <w:basedOn w:val="Normal"/>
    <w:pPr>
      <w:widowControl w:val="0"/>
      <w:spacing w:before="240" w:after="240"/>
      <w:jc w:val="left"/>
    </w:pPr>
    <w:rPr>
      <w:rFonts w:eastAsia="Times New Roman"/>
      <w:b/>
      <w:i/>
      <w:snapToGrid w:val="0"/>
      <w:szCs w:val="20"/>
    </w:rPr>
  </w:style>
  <w:style w:type="paragraph" w:customStyle="1" w:styleId="Lgendestandard">
    <w:name w:val="Légende standard"/>
    <w:basedOn w:val="Lgendesigne"/>
    <w:pPr>
      <w:ind w:left="0" w:firstLine="0"/>
    </w:p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customStyle="1" w:styleId="ListNumberLevel2">
    <w:name w:val="List Number (Level 2)"/>
    <w:pPr>
      <w:tabs>
        <w:tab w:val="num" w:pos="1417"/>
      </w:tabs>
      <w:spacing w:before="120" w:after="120" w:line="240" w:lineRule="auto"/>
      <w:ind w:left="1417" w:hanging="708"/>
      <w:jc w:val="both"/>
    </w:pPr>
    <w:rPr>
      <w:rFonts w:ascii="Times New Roman" w:eastAsia="Times New Roman" w:hAnsi="Times New Roman" w:cs="Times New Roman"/>
      <w:sz w:val="24"/>
      <w:u w:color="000000"/>
      <w:lang w:eastAsia="de-DE"/>
    </w:rPr>
  </w:style>
  <w:style w:type="paragraph" w:customStyle="1" w:styleId="ListNumberLevel3">
    <w:name w:val="List Number (Level 3)"/>
    <w:pPr>
      <w:tabs>
        <w:tab w:val="num" w:pos="2126"/>
      </w:tabs>
      <w:spacing w:before="120" w:after="120" w:line="240" w:lineRule="auto"/>
      <w:ind w:left="2126" w:hanging="709"/>
      <w:jc w:val="both"/>
    </w:pPr>
    <w:rPr>
      <w:rFonts w:ascii="Times New Roman" w:eastAsia="Times New Roman" w:hAnsi="Times New Roman" w:cs="Times New Roman"/>
      <w:sz w:val="24"/>
      <w:u w:color="000000"/>
      <w:lang w:eastAsia="de-DE"/>
    </w:rPr>
  </w:style>
  <w:style w:type="paragraph" w:customStyle="1" w:styleId="ListNumberLevel4">
    <w:name w:val="List Number (Level 4)"/>
    <w:pPr>
      <w:tabs>
        <w:tab w:val="num" w:pos="2835"/>
      </w:tabs>
      <w:spacing w:before="120" w:after="120" w:line="240" w:lineRule="auto"/>
      <w:ind w:left="2835" w:hanging="709"/>
      <w:jc w:val="both"/>
    </w:pPr>
    <w:rPr>
      <w:rFonts w:ascii="Times New Roman" w:eastAsia="Times New Roman" w:hAnsi="Times New Roman" w:cs="Times New Roman"/>
      <w:sz w:val="24"/>
      <w:u w:color="000000"/>
      <w:lang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eastAsia="en-GB"/>
    </w:rPr>
  </w:style>
  <w:style w:type="paragraph" w:customStyle="1" w:styleId="Titreobjet">
    <w:name w:val="Titre objet"/>
    <w:next w:val="Normal"/>
    <w:pPr>
      <w:spacing w:before="360" w:after="360" w:line="240" w:lineRule="auto"/>
      <w:jc w:val="center"/>
    </w:pPr>
    <w:rPr>
      <w:rFonts w:ascii="Times New Roman" w:eastAsia="Calibri" w:hAnsi="Times New Roman" w:cs="Times New Roman"/>
      <w:b/>
      <w:sz w:val="24"/>
      <w:u w:color="000000"/>
    </w:rPr>
  </w:style>
  <w:style w:type="character" w:customStyle="1" w:styleId="Aucun">
    <w:name w:val="Aucun"/>
    <w:rPr>
      <w:lang w:val="ro-RO"/>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jc w:val="left"/>
    </w:pPr>
    <w:rPr>
      <w:rFonts w:eastAsia="Times New Roman"/>
      <w:snapToGrid w:val="0"/>
      <w:szCs w:val="20"/>
    </w:rPr>
  </w:style>
  <w:style w:type="character" w:customStyle="1" w:styleId="Normal6Char">
    <w:name w:val="Normal6 Char"/>
    <w:link w:val="Normal6"/>
    <w:rPr>
      <w:rFonts w:ascii="Times New Roman" w:eastAsia="Times New Roman" w:hAnsi="Times New Roman" w:cs="Times New Roman"/>
      <w:sz w:val="24"/>
      <w:szCs w:val="20"/>
      <w:lang w:val="ro-RO" w:eastAsia="en-GB"/>
    </w:rPr>
  </w:style>
  <w:style w:type="paragraph" w:customStyle="1" w:styleId="PageHeadingNotTOC">
    <w:name w:val="PageHeadingNotTOC"/>
    <w:basedOn w:val="Normal"/>
    <w:pPr>
      <w:keepNext/>
      <w:widowControl w:val="0"/>
      <w:spacing w:before="240" w:after="240"/>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jc w:val="left"/>
    </w:pPr>
    <w:rPr>
      <w:rFonts w:eastAsia="Times New Roman"/>
      <w:i/>
      <w:szCs w:val="20"/>
      <w:lang w:eastAsia="en-GB"/>
    </w:rPr>
  </w:style>
  <w:style w:type="paragraph" w:customStyle="1" w:styleId="CrossRef">
    <w:name w:val="CrossRef"/>
    <w:basedOn w:val="Normal"/>
    <w:pPr>
      <w:widowControl w:val="0"/>
      <w:spacing w:before="240" w:after="0"/>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eastAsia="en-US"/>
    </w:rPr>
  </w:style>
  <w:style w:type="paragraph" w:customStyle="1" w:styleId="ColumnHeading">
    <w:name w:val="ColumnHeading"/>
    <w:basedOn w:val="Normal"/>
    <w:pPr>
      <w:widowControl w:val="0"/>
      <w:spacing w:before="0" w:after="240"/>
      <w:jc w:val="center"/>
    </w:pPr>
    <w:rPr>
      <w:rFonts w:eastAsia="Times New Roman"/>
      <w:i/>
      <w:szCs w:val="20"/>
      <w:lang w:eastAsia="en-GB"/>
    </w:rPr>
  </w:style>
  <w:style w:type="paragraph" w:customStyle="1" w:styleId="NormalBold12b">
    <w:name w:val="NormalBold12b"/>
    <w:basedOn w:val="Normal"/>
    <w:pPr>
      <w:widowControl w:val="0"/>
      <w:spacing w:before="240" w:after="0"/>
      <w:jc w:val="left"/>
    </w:pPr>
    <w:rPr>
      <w:rFonts w:eastAsia="Times New Roman"/>
      <w:b/>
      <w:szCs w:val="20"/>
      <w:lang w:eastAsia="en-GB"/>
    </w:rPr>
  </w:style>
  <w:style w:type="paragraph" w:styleId="NoSpacing">
    <w:name w:val="No Spacing"/>
    <w:basedOn w:val="Normal"/>
    <w:uiPriority w:val="1"/>
    <w:qFormat/>
    <w:pPr>
      <w:spacing w:before="0" w:after="0"/>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character" w:customStyle="1" w:styleId="Normal12Char">
    <w:name w:val="Normal12 Char"/>
    <w:link w:val="Normal12"/>
    <w:locked/>
    <w:rPr>
      <w:rFonts w:ascii="Times New Roman" w:eastAsia="Times New Roman" w:hAnsi="Times New Roman" w:cs="Times New Roman"/>
      <w:sz w:val="24"/>
      <w:szCs w:val="20"/>
      <w:lang w:val="ro-RO" w:eastAsia="en-GB"/>
    </w:rPr>
  </w:style>
  <w:style w:type="paragraph" w:customStyle="1" w:styleId="ZDateAM">
    <w:name w:val="ZDateAM"/>
    <w:basedOn w:val="Normal"/>
    <w:pPr>
      <w:widowControl w:val="0"/>
      <w:tabs>
        <w:tab w:val="right" w:pos="9356"/>
      </w:tabs>
      <w:spacing w:before="0" w:after="480"/>
      <w:jc w:val="left"/>
    </w:pPr>
    <w:rPr>
      <w:rFonts w:eastAsia="Times New Roman"/>
      <w:noProof/>
      <w:szCs w:val="20"/>
      <w:lang w:eastAsia="en-GB"/>
    </w:rPr>
  </w:style>
  <w:style w:type="paragraph" w:customStyle="1" w:styleId="ProjRap">
    <w:name w:val="ProjRap"/>
    <w:basedOn w:val="Normal"/>
    <w:pPr>
      <w:widowControl w:val="0"/>
      <w:tabs>
        <w:tab w:val="right" w:pos="9356"/>
      </w:tabs>
      <w:spacing w:before="0" w:after="0"/>
      <w:jc w:val="left"/>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jc w:val="left"/>
    </w:pPr>
    <w:rPr>
      <w:rFonts w:eastAsia="Times New Roman"/>
      <w:i/>
      <w:color w:val="000000"/>
      <w:szCs w:val="24"/>
      <w:lang w:eastAsia="en-GB"/>
    </w:rPr>
  </w:style>
  <w:style w:type="numbering" w:customStyle="1" w:styleId="Style5import">
    <w:name w:val="Style 5 importé"/>
    <w:pPr>
      <w:numPr>
        <w:numId w:val="26"/>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jc w:val="left"/>
    </w:pPr>
    <w:rPr>
      <w:rFonts w:eastAsia="Times New Roman"/>
      <w:szCs w:val="20"/>
      <w:lang w:eastAsia="en-GB"/>
    </w:rPr>
  </w:style>
  <w:style w:type="paragraph" w:customStyle="1" w:styleId="NormalKeep">
    <w:name w:val="NormalKeep"/>
    <w:basedOn w:val="Normal"/>
    <w:pPr>
      <w:keepNext/>
      <w:widowControl w:val="0"/>
      <w:spacing w:before="0" w:after="0"/>
      <w:jc w:val="left"/>
    </w:pPr>
    <w:rPr>
      <w:rFonts w:eastAsia="Times New Roman"/>
      <w:szCs w:val="20"/>
      <w:lang w:eastAsia="en-GB"/>
    </w:rPr>
  </w:style>
  <w:style w:type="character" w:customStyle="1" w:styleId="added">
    <w:name w:val="added"/>
    <w:rPr>
      <w:b/>
      <w:i/>
      <w:noProof w:val="0"/>
      <w:lang w:val="ro-RO"/>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jc w:val="left"/>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27"/>
      </w:numPr>
    </w:pPr>
    <w:rPr>
      <w:rFonts w:eastAsia="Times New Roman"/>
      <w:lang w:eastAsia="de-DE"/>
    </w:rPr>
  </w:style>
  <w:style w:type="paragraph" w:customStyle="1" w:styleId="ListDash1">
    <w:name w:val="List Dash 1"/>
    <w:basedOn w:val="Normal"/>
    <w:pPr>
      <w:numPr>
        <w:numId w:val="28"/>
      </w:numPr>
    </w:pPr>
    <w:rPr>
      <w:rFonts w:eastAsia="Times New Roman"/>
      <w:lang w:eastAsia="de-DE"/>
    </w:rPr>
  </w:style>
  <w:style w:type="paragraph" w:customStyle="1" w:styleId="ListDash2">
    <w:name w:val="List Dash 2"/>
    <w:basedOn w:val="Normal"/>
    <w:pPr>
      <w:numPr>
        <w:numId w:val="29"/>
      </w:numPr>
    </w:pPr>
    <w:rPr>
      <w:rFonts w:eastAsia="Times New Roman"/>
      <w:lang w:eastAsia="de-DE"/>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numbering" w:customStyle="1" w:styleId="Style2import">
    <w:name w:val="Style 2 importé"/>
    <w:pPr>
      <w:numPr>
        <w:numId w:val="30"/>
      </w:numPr>
    </w:pPr>
  </w:style>
  <w:style w:type="character" w:customStyle="1" w:styleId="Lien">
    <w:name w:val="Lien"/>
    <w:rPr>
      <w:color w:val="0000FF"/>
      <w:u w:val="single" w:color="0000FF"/>
    </w:rPr>
  </w:style>
  <w:style w:type="numbering" w:customStyle="1" w:styleId="Style3import">
    <w:name w:val="Style 3 importé"/>
    <w:pPr>
      <w:numPr>
        <w:numId w:val="31"/>
      </w:numPr>
    </w:pPr>
  </w:style>
  <w:style w:type="character" w:customStyle="1" w:styleId="Hyperlink0">
    <w:name w:val="Hyperlink.0"/>
    <w:rPr>
      <w:color w:val="000000"/>
      <w:u w:val="single" w:color="000000"/>
    </w:rPr>
  </w:style>
  <w:style w:type="numbering" w:customStyle="1" w:styleId="Style4import">
    <w:name w:val="Style 4 importé"/>
    <w:pPr>
      <w:numPr>
        <w:numId w:val="32"/>
      </w:numPr>
    </w:pPr>
  </w:style>
  <w:style w:type="numbering" w:customStyle="1" w:styleId="Style5import1">
    <w:name w:val="Style 5 importé1"/>
  </w:style>
  <w:style w:type="paragraph" w:customStyle="1" w:styleId="ListDash">
    <w:name w:val="List Dash"/>
    <w:basedOn w:val="Normal"/>
    <w:pPr>
      <w:numPr>
        <w:numId w:val="33"/>
      </w:numPr>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ro-RO"/>
    </w:rPr>
  </w:style>
  <w:style w:type="paragraph" w:customStyle="1" w:styleId="TitreobjetPagedecouverture">
    <w:name w:val="Titre objet (Page de couverture)"/>
    <w:basedOn w:val="Titreobjet"/>
    <w:next w:val="IntrtEEEPagedecouverture"/>
  </w:style>
  <w:style w:type="paragraph" w:customStyle="1" w:styleId="ListDash4">
    <w:name w:val="List Dash 4"/>
    <w:basedOn w:val="Normal"/>
    <w:pPr>
      <w:numPr>
        <w:numId w:val="34"/>
      </w:numPr>
      <w:jc w:val="left"/>
    </w:pPr>
    <w:rPr>
      <w:rFonts w:eastAsia="Times New Roman"/>
      <w:szCs w:val="24"/>
      <w:lang w:eastAsia="de-DE"/>
    </w:rPr>
  </w:style>
  <w:style w:type="paragraph" w:customStyle="1" w:styleId="ListNumber4Level3">
    <w:name w:val="List Number 4 (Level 3)"/>
    <w:basedOn w:val="Normal"/>
    <w:pPr>
      <w:tabs>
        <w:tab w:val="num" w:pos="8790"/>
      </w:tabs>
      <w:ind w:left="8790" w:hanging="709"/>
      <w:jc w:val="left"/>
    </w:pPr>
    <w:rPr>
      <w:rFonts w:eastAsia="Times New Roman"/>
      <w:szCs w:val="24"/>
      <w:lang w:eastAsia="de-DE"/>
    </w:rPr>
  </w:style>
  <w:style w:type="paragraph" w:customStyle="1" w:styleId="ListNumber4Level4">
    <w:name w:val="List Number 4 (Level 4)"/>
    <w:basedOn w:val="Normal"/>
    <w:pPr>
      <w:tabs>
        <w:tab w:val="num" w:pos="9499"/>
      </w:tabs>
      <w:ind w:left="9499" w:hanging="709"/>
      <w:jc w:val="left"/>
    </w:pPr>
    <w:rPr>
      <w:rFonts w:eastAsia="Times New Roman"/>
      <w:szCs w:val="24"/>
      <w:lang w:eastAsia="de-DE"/>
    </w:rPr>
  </w:style>
  <w:style w:type="paragraph" w:customStyle="1" w:styleId="Normal1">
    <w:name w:val="Normal1"/>
    <w:basedOn w:val="Normal"/>
    <w:pPr>
      <w:spacing w:before="100" w:beforeAutospacing="1" w:after="100" w:afterAutospacing="1"/>
      <w:jc w:val="left"/>
    </w:pPr>
    <w:rPr>
      <w:rFonts w:eastAsia="Times New Roman"/>
      <w:szCs w:val="24"/>
      <w:lang w:eastAsia="lv-LV"/>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character" w:customStyle="1" w:styleId="highlight">
    <w:name w:val="highlight"/>
    <w:basedOn w:val="DefaultParagraphFont"/>
  </w:style>
  <w:style w:type="character" w:customStyle="1" w:styleId="Added0">
    <w:name w:val="Added"/>
    <w:basedOn w:val="DefaultParagraphFont"/>
    <w:rPr>
      <w:b/>
      <w:u w:val="single"/>
      <w:shd w:val="clear" w:color="auto" w:fill="auto"/>
    </w:rPr>
  </w:style>
  <w:style w:type="character" w:customStyle="1" w:styleId="Added1">
    <w:name w:val="Added"/>
    <w:basedOn w:val="DefaultParagraphFont"/>
    <w:rPr>
      <w:b/>
      <w:u w:val="single"/>
      <w:shd w:val="clear" w:color="auto" w:fill="auto"/>
    </w:rPr>
  </w:style>
  <w:style w:type="character" w:customStyle="1" w:styleId="Added2">
    <w:name w:val="Added"/>
    <w:basedOn w:val="DefaultParagraphFont"/>
    <w:rPr>
      <w:b/>
      <w:u w:val="single"/>
      <w:shd w:val="clear" w:color="auto" w:fill="auto"/>
    </w:rPr>
  </w:style>
  <w:style w:type="character" w:customStyle="1" w:styleId="Added3">
    <w:name w:val="Added"/>
    <w:basedOn w:val="DefaultParagraphFont"/>
    <w:rPr>
      <w:b/>
      <w:u w:val="single"/>
      <w:shd w:val="clear" w:color="auto" w:fill="auto"/>
    </w:rPr>
  </w:style>
  <w:style w:type="character" w:customStyle="1" w:styleId="Added4">
    <w:name w:val="Added"/>
    <w:basedOn w:val="DefaultParagraphFont"/>
    <w:rPr>
      <w:b/>
      <w:u w:val="single"/>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5">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96C5F6-E127-4FD8-845E-D8738C02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6</Pages>
  <Words>2060</Words>
  <Characters>12447</Characters>
  <Application>Microsoft Office Word</Application>
  <DocSecurity>0</DocSecurity>
  <Lines>200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2020-06-01T07:21:00Z</dcterms:created>
  <dcterms:modified xsi:type="dcterms:W3CDTF">2020-06-02T14:10:00Z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First annex">
    <vt:lpwstr>5</vt:lpwstr>
  </property>
  <property fmtid="{D5CDD505-2E9C-101B-9397-08002B2CF9AE}" pid="5" name="Last annex">
    <vt:lpwstr>5</vt:lpwstr>
  </property>
  <property fmtid="{D5CDD505-2E9C-101B-9397-08002B2CF9AE}" pid="6" name="Unique annex">
    <vt:lpwstr>0</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SG-017</vt:lpwstr>
  </property>
  <property fmtid="{D5CDD505-2E9C-101B-9397-08002B2CF9AE}" pid="10" name="DQCStatus">
    <vt:lpwstr>Green (DQC version 03)</vt:lpwstr>
  </property>
  <property fmtid="{D5CDD505-2E9C-101B-9397-08002B2CF9AE}" pid="11" name="Category">
    <vt:lpwstr>COM/ANNEX</vt:lpwstr>
  </property>
</Properties>
</file>