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D74C90D-7E69-4173-BAD2-F9616D036192" style="width:450pt;height:36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 xml:space="preserve">ANNESS I </w:t>
      </w:r>
      <w:r>
        <w:rPr>
          <w:noProof/>
        </w:rPr>
        <w:br/>
        <w:t>Ammonti tal-garanzija tal-UE skont l-objettiv speċifiku</w:t>
      </w:r>
    </w:p>
    <w:p>
      <w:pPr>
        <w:jc w:val="both"/>
        <w:rPr>
          <w:noProof/>
          <w:szCs w:val="24"/>
        </w:rPr>
      </w:pPr>
      <w:r>
        <w:rPr>
          <w:noProof/>
        </w:rPr>
        <w:t>Id-distribuzzjoni indikattiva msemmija fil-ħames subparagrafu tal-Artikolu 4(2) għall-operazzjonijiet finanzjarji u tal-investiment għandha tkun kif ġej:</w:t>
      </w:r>
    </w:p>
    <w:p>
      <w:pPr>
        <w:outlineLvl w:val="0"/>
        <w:rPr>
          <w:rFonts w:eastAsia="Times New Roman"/>
          <w:noProof/>
          <w:szCs w:val="24"/>
        </w:rPr>
      </w:pPr>
      <w:r>
        <w:rPr>
          <w:noProof/>
        </w:rPr>
        <w:t>(a)</w:t>
      </w:r>
      <w:r>
        <w:rPr>
          <w:noProof/>
        </w:rPr>
        <w:tab/>
        <w:t>sa EUR 20 051 970 000</w:t>
      </w:r>
      <w:r>
        <w:rPr>
          <w:b/>
          <w:noProof/>
          <w:szCs w:val="24"/>
        </w:rPr>
        <w:t xml:space="preserve"> </w:t>
      </w:r>
      <w:r>
        <w:rPr>
          <w:noProof/>
        </w:rPr>
        <w:t>għall-objettivi msemmija fil-punt (a) tal-Artikolu 3(2);</w:t>
      </w:r>
    </w:p>
    <w:p>
      <w:pPr>
        <w:outlineLvl w:val="0"/>
        <w:rPr>
          <w:rFonts w:eastAsia="Times New Roman"/>
          <w:noProof/>
          <w:szCs w:val="24"/>
        </w:rPr>
      </w:pPr>
      <w:r>
        <w:rPr>
          <w:noProof/>
        </w:rPr>
        <w:t>(b)</w:t>
      </w:r>
      <w:r>
        <w:rPr>
          <w:noProof/>
        </w:rPr>
        <w:tab/>
        <w:t>sa EUR 10 166 620 000</w:t>
      </w:r>
      <w:r>
        <w:rPr>
          <w:b/>
          <w:noProof/>
          <w:szCs w:val="24"/>
        </w:rPr>
        <w:t xml:space="preserve"> </w:t>
      </w:r>
      <w:r>
        <w:rPr>
          <w:noProof/>
        </w:rPr>
        <w:t>għall-objettivi msemmija fil-punt (b) tal-Artikolu 3(2);</w:t>
      </w:r>
    </w:p>
    <w:p>
      <w:pPr>
        <w:outlineLvl w:val="0"/>
        <w:rPr>
          <w:rFonts w:eastAsia="Times New Roman"/>
          <w:noProof/>
          <w:szCs w:val="24"/>
        </w:rPr>
      </w:pPr>
      <w:r>
        <w:rPr>
          <w:noProof/>
        </w:rPr>
        <w:t>(c)</w:t>
      </w:r>
      <w:r>
        <w:rPr>
          <w:noProof/>
        </w:rPr>
        <w:tab/>
        <w:t>sa EUR 10 166 620 000</w:t>
      </w:r>
      <w:r>
        <w:rPr>
          <w:b/>
          <w:noProof/>
          <w:szCs w:val="24"/>
        </w:rPr>
        <w:t xml:space="preserve"> </w:t>
      </w:r>
      <w:r>
        <w:rPr>
          <w:noProof/>
        </w:rPr>
        <w:t>għall-objettivi msemmija fil-punt (c) tal-Artikolu 3(2);</w:t>
      </w:r>
    </w:p>
    <w:p>
      <w:pPr>
        <w:jc w:val="both"/>
        <w:rPr>
          <w:rFonts w:eastAsia="Times New Roman"/>
          <w:noProof/>
          <w:szCs w:val="24"/>
        </w:rPr>
      </w:pPr>
      <w:r>
        <w:rPr>
          <w:noProof/>
        </w:rPr>
        <w:t>(d)</w:t>
      </w:r>
      <w:r>
        <w:rPr>
          <w:noProof/>
        </w:rPr>
        <w:tab/>
        <w:t>sa EUR 3 614 800 000</w:t>
      </w:r>
      <w:r>
        <w:rPr>
          <w:b/>
          <w:noProof/>
          <w:szCs w:val="24"/>
        </w:rPr>
        <w:t xml:space="preserve"> </w:t>
      </w:r>
      <w:r>
        <w:rPr>
          <w:noProof/>
        </w:rPr>
        <w:t>għall-objettivi msemmija fil-punt (d) tal-Artikolu 3(2);</w:t>
      </w:r>
    </w:p>
    <w:p>
      <w:pPr>
        <w:jc w:val="both"/>
        <w:rPr>
          <w:rFonts w:eastAsia="Times New Roman"/>
          <w:noProof/>
          <w:szCs w:val="24"/>
        </w:rPr>
      </w:pPr>
      <w:r>
        <w:rPr>
          <w:noProof/>
        </w:rPr>
        <w:t>(e)</w:t>
      </w:r>
      <w:r>
        <w:rPr>
          <w:noProof/>
        </w:rPr>
        <w:tab/>
        <w:t>sa EUR 31 153 850 000 għall-objettivi msemmija fil-punt (e) tal-Artikolu 3(2).</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MT</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MT</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MT</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567"/>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tal-"/>
    <w:docVar w:name="LW_ANNEX_NBR_FIRST" w:val="1"/>
    <w:docVar w:name="LW_ANNEX_NBR_LAST" w:val="1"/>
    <w:docVar w:name="LW_ANNEX_UNIQUE" w:val="0"/>
    <w:docVar w:name="LW_CORRIGENDUM" w:val="&lt;UNUSED&gt;"/>
    <w:docVar w:name="LW_COVERPAGE_EXISTS" w:val="True"/>
    <w:docVar w:name="LW_COVERPAGE_GUID" w:val="1D74C90D-7E69-4173-BAD2-F9616D036192"/>
    <w:docVar w:name="LW_COVERPAGE_TYPE" w:val="1"/>
    <w:docVar w:name="LW_CROSSREFERENCE" w:val="&lt;UNUSED&gt;"/>
    <w:docVar w:name="LW_DocType" w:val="DW_COUNCIL"/>
    <w:docVar w:name="LW_EMISSION" w:val="29.5.2020"/>
    <w:docVar w:name="LW_EMISSION_ISODATE" w:val="2020-05-29"/>
    <w:docVar w:name="LW_EMISSION_LOCATION" w:val="BRX"/>
    <w:docVar w:name="LW_EMISSION_PREFIX" w:val="Brussell, "/>
    <w:docVar w:name="LW_EMISSION_SUFFIX" w:val=" "/>
    <w:docVar w:name="LW_ID_DOCTYPE_NONLW" w:val="CP-036"/>
    <w:docVar w:name="LW_LANGUE" w:val="MT"/>
    <w:docVar w:name="LW_LEVEL_OF_SENSITIVITY" w:val="Standard treatment"/>
    <w:docVar w:name="LW_NOM.INST" w:val="IL-KUMMISSJONI EWROPEA"/>
    <w:docVar w:name="LW_NOM.INST_JOINTDOC" w:val="&lt;EMPTY&gt;"/>
    <w:docVar w:name="LW_OBJETACTEPRINCIPAL.CP" w:val="&lt;FMT:Bold&gt;li jistabbilixxi l-Programm InvestEU &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SS_x000b_"/>
    <w:docVar w:name="LW_TYPEACTEPRINCIPAL.CP" w:val="Proposta g\u295?ar-REGOLAMENT TAL-PARLAMENT EWROPEW U TAL-KUNSILL"/>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mt-MT"/>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mt-MT"/>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mt-MT"/>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mt-MT"/>
    </w:rPr>
  </w:style>
  <w:style w:type="character" w:customStyle="1" w:styleId="HeaderCouncilLargeChar">
    <w:name w:val="Header Council Large Char"/>
    <w:basedOn w:val="TechnicalBlockChar"/>
    <w:link w:val="HeaderCouncilLarge"/>
    <w:rPr>
      <w:rFonts w:ascii="Times New Roman" w:hAnsi="Times New Roman" w:cs="Times New Roman"/>
      <w:sz w:val="2"/>
      <w:lang w:val="mt-MT"/>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mt-MT"/>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mt-MT"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mt-MT"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mt-MT"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mt-MT"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mt-MT" w:eastAsia="en-GB"/>
    </w:rPr>
  </w:style>
  <w:style w:type="character" w:customStyle="1" w:styleId="Heading7Char">
    <w:name w:val="Heading 7 Char"/>
    <w:basedOn w:val="DefaultParagraphFont"/>
    <w:link w:val="Heading7"/>
    <w:rPr>
      <w:rFonts w:ascii="Arial" w:eastAsia="Times New Roman" w:hAnsi="Arial" w:cs="Times New Roman"/>
      <w:sz w:val="24"/>
      <w:szCs w:val="20"/>
      <w:lang w:val="mt-MT"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mt-MT"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mt-MT"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mt-MT"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mt-MT"/>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mt-M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mt-MT" w:eastAsia="en-GB"/>
    </w:rPr>
  </w:style>
  <w:style w:type="character" w:customStyle="1" w:styleId="Normal6Char">
    <w:name w:val="Normal6 Char"/>
    <w:link w:val="Normal6"/>
    <w:rPr>
      <w:rFonts w:ascii="Times New Roman" w:eastAsia="Times New Roman" w:hAnsi="Times New Roman" w:cs="Times New Roman"/>
      <w:sz w:val="24"/>
      <w:szCs w:val="20"/>
      <w:lang w:val="mt-MT"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mt-MT"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mt-MT"/>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mt-MT"/>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mt-MT"/>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mt-MT"/>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mt-MT"/>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mt-MT"/>
    </w:rPr>
  </w:style>
  <w:style w:type="character" w:customStyle="1" w:styleId="HeaderCouncilLargeChar">
    <w:name w:val="Header Council Large Char"/>
    <w:basedOn w:val="TechnicalBlockChar"/>
    <w:link w:val="HeaderCouncilLarge"/>
    <w:rPr>
      <w:rFonts w:ascii="Times New Roman" w:hAnsi="Times New Roman" w:cs="Times New Roman"/>
      <w:sz w:val="2"/>
      <w:lang w:val="mt-MT"/>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mt-MT"/>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mt-MT"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mt-MT"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mt-MT"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mt-MT"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mt-MT" w:eastAsia="en-GB"/>
    </w:rPr>
  </w:style>
  <w:style w:type="character" w:customStyle="1" w:styleId="Heading7Char">
    <w:name w:val="Heading 7 Char"/>
    <w:basedOn w:val="DefaultParagraphFont"/>
    <w:link w:val="Heading7"/>
    <w:rPr>
      <w:rFonts w:ascii="Arial" w:eastAsia="Times New Roman" w:hAnsi="Arial" w:cs="Times New Roman"/>
      <w:sz w:val="24"/>
      <w:szCs w:val="20"/>
      <w:lang w:val="mt-MT"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mt-MT"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mt-MT"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mt-MT"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mt-MT"/>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mt-M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mt-MT" w:eastAsia="en-GB"/>
    </w:rPr>
  </w:style>
  <w:style w:type="character" w:customStyle="1" w:styleId="Normal6Char">
    <w:name w:val="Normal6 Char"/>
    <w:link w:val="Normal6"/>
    <w:rPr>
      <w:rFonts w:ascii="Times New Roman" w:eastAsia="Times New Roman" w:hAnsi="Times New Roman" w:cs="Times New Roman"/>
      <w:sz w:val="24"/>
      <w:szCs w:val="20"/>
      <w:lang w:val="mt-MT"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mt-MT"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mt-MT"/>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mt-MT"/>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F461-3F0F-49D7-8C3E-702CCA9A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Words>
  <Characters>550</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WES PDFC Administrator</cp:lastModifiedBy>
  <cp:revision>16</cp:revision>
  <cp:lastPrinted>2020-02-28T16:55:00Z</cp:lastPrinted>
  <dcterms:created xsi:type="dcterms:W3CDTF">2020-05-26T15:13:00Z</dcterms:created>
  <dcterms:modified xsi:type="dcterms:W3CDTF">2020-06-02T14:12:00Z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 Build 20190717</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