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56F74B4-7414-40AE-88F2-4B168BBBD739" style="width:450.4pt;height:379.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pgMar w:top="1134" w:right="1417" w:bottom="1134" w:left="1417" w:header="709" w:footer="709" w:gutter="0"/>
          <w:pgNumType w:start="1"/>
          <w:cols w:space="720"/>
          <w:docGrid w:linePitch="360"/>
        </w:sectPr>
      </w:pPr>
    </w:p>
    <w:p>
      <w:pPr>
        <w:pStyle w:val="Annexetitre"/>
        <w:rPr>
          <w:noProof/>
        </w:rPr>
      </w:pPr>
      <w:bookmarkStart w:id="1" w:name="_GoBack"/>
      <w:bookmarkEnd w:id="1"/>
      <w:r>
        <w:rPr>
          <w:noProof/>
        </w:rPr>
        <w:lastRenderedPageBreak/>
        <w:t>ANHANG I</w:t>
      </w:r>
      <w:r>
        <w:rPr>
          <w:noProof/>
        </w:rPr>
        <w:br/>
        <w:t>Beträge der EU-Garantie nach spezifischem Ziel</w:t>
      </w:r>
    </w:p>
    <w:p>
      <w:pPr>
        <w:jc w:val="both"/>
        <w:rPr>
          <w:noProof/>
          <w:szCs w:val="24"/>
        </w:rPr>
      </w:pPr>
      <w:r>
        <w:rPr>
          <w:noProof/>
        </w:rPr>
        <w:t>Für Finanzierungen und Investitionen gilt die folgende indikative Aufteilung nach Artikel 4 Absatz 2 fünfter Unterabsatz:</w:t>
      </w:r>
    </w:p>
    <w:p>
      <w:pPr>
        <w:outlineLvl w:val="0"/>
        <w:rPr>
          <w:rFonts w:eastAsia="Times New Roman"/>
          <w:noProof/>
          <w:szCs w:val="24"/>
        </w:rPr>
      </w:pPr>
      <w:r>
        <w:rPr>
          <w:noProof/>
        </w:rPr>
        <w:t>a)</w:t>
      </w:r>
      <w:r>
        <w:rPr>
          <w:noProof/>
        </w:rPr>
        <w:tab/>
        <w:t>bis 20 051 970 000 EUR</w:t>
      </w:r>
      <w:r>
        <w:rPr>
          <w:b/>
          <w:noProof/>
        </w:rPr>
        <w:t xml:space="preserve"> </w:t>
      </w:r>
      <w:r>
        <w:rPr>
          <w:noProof/>
        </w:rPr>
        <w:t xml:space="preserve"> für die in Artikel 3 Absatz 2 Buchstabe a genannten Ziele;</w:t>
      </w:r>
    </w:p>
    <w:p>
      <w:pPr>
        <w:outlineLvl w:val="0"/>
        <w:rPr>
          <w:rFonts w:eastAsia="Times New Roman"/>
          <w:noProof/>
          <w:szCs w:val="24"/>
        </w:rPr>
      </w:pPr>
      <w:r>
        <w:rPr>
          <w:noProof/>
        </w:rPr>
        <w:t>b)</w:t>
      </w:r>
      <w:r>
        <w:rPr>
          <w:noProof/>
        </w:rPr>
        <w:tab/>
        <w:t>bis 10 166 620 000 EUR</w:t>
      </w:r>
      <w:r>
        <w:rPr>
          <w:b/>
          <w:noProof/>
        </w:rPr>
        <w:t xml:space="preserve"> </w:t>
      </w:r>
      <w:r>
        <w:rPr>
          <w:noProof/>
        </w:rPr>
        <w:t xml:space="preserve"> für die in Artikel 3 Absatz 2 Buchstabe b genannten Ziele;</w:t>
      </w:r>
    </w:p>
    <w:p>
      <w:pPr>
        <w:outlineLvl w:val="0"/>
        <w:rPr>
          <w:rFonts w:eastAsia="Times New Roman"/>
          <w:noProof/>
          <w:szCs w:val="24"/>
        </w:rPr>
      </w:pPr>
      <w:r>
        <w:rPr>
          <w:noProof/>
        </w:rPr>
        <w:t>c)</w:t>
      </w:r>
      <w:r>
        <w:rPr>
          <w:noProof/>
        </w:rPr>
        <w:tab/>
        <w:t>bis 10 166 620 000 EUR</w:t>
      </w:r>
      <w:r>
        <w:rPr>
          <w:b/>
          <w:noProof/>
        </w:rPr>
        <w:t xml:space="preserve"> </w:t>
      </w:r>
      <w:r>
        <w:rPr>
          <w:noProof/>
        </w:rPr>
        <w:t xml:space="preserve"> für die in Artikel 3 Absatz 2 Buchstabe c genannten Ziele;</w:t>
      </w:r>
    </w:p>
    <w:p>
      <w:pPr>
        <w:jc w:val="both"/>
        <w:rPr>
          <w:rFonts w:eastAsia="Times New Roman"/>
          <w:noProof/>
          <w:szCs w:val="24"/>
        </w:rPr>
      </w:pPr>
      <w:r>
        <w:rPr>
          <w:noProof/>
        </w:rPr>
        <w:t>d)</w:t>
      </w:r>
      <w:r>
        <w:rPr>
          <w:noProof/>
        </w:rPr>
        <w:tab/>
        <w:t>bis 3 614 800 000 EUR</w:t>
      </w:r>
      <w:r>
        <w:rPr>
          <w:b/>
          <w:noProof/>
        </w:rPr>
        <w:t xml:space="preserve"> </w:t>
      </w:r>
      <w:r>
        <w:rPr>
          <w:noProof/>
        </w:rPr>
        <w:t xml:space="preserve"> für die in Artikel 3 Absatz 2 Buchstabe d genannten Ziele;</w:t>
      </w:r>
    </w:p>
    <w:p>
      <w:pPr>
        <w:jc w:val="both"/>
        <w:rPr>
          <w:rFonts w:eastAsia="Times New Roman"/>
          <w:noProof/>
          <w:szCs w:val="24"/>
        </w:rPr>
      </w:pPr>
      <w:r>
        <w:rPr>
          <w:noProof/>
        </w:rPr>
        <w:t>e)</w:t>
      </w:r>
      <w:r>
        <w:rPr>
          <w:noProof/>
        </w:rPr>
        <w:tab/>
        <w:t>bis 31 153 850 000 EUR für die in Artikel 3 Absatz 2 Buchstabe e genannten Ziele.</w:t>
      </w:r>
    </w:p>
    <w:p>
      <w:pPr>
        <w:jc w:val="both"/>
        <w:rPr>
          <w:rFonts w:eastAsia="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trPr>
        <w:jc w:val="center"/>
      </w:trPr>
      <w:tc>
        <w:tcPr>
          <w:tcW w:w="5000" w:type="pct"/>
          <w:gridSpan w:val="7"/>
          <w:shd w:val="clear" w:color="auto" w:fill="auto"/>
          <w:tcMar>
            <w:top w:w="57" w:type="dxa"/>
          </w:tcMar>
        </w:tcPr>
        <w:p>
          <w:pPr>
            <w:pStyle w:val="FooterText"/>
            <w:pBdr>
              <w:top w:val="single" w:sz="4" w:space="1" w:color="auto"/>
            </w:pBdr>
            <w:spacing w:before="200"/>
            <w:rPr>
              <w:sz w:val="2"/>
              <w:szCs w:val="2"/>
            </w:rPr>
          </w:pPr>
        </w:p>
      </w:tc>
    </w:tr>
    <w:tr>
      <w:trPr>
        <w:jc w:val="center"/>
      </w:trPr>
      <w:tc>
        <w:tcPr>
          <w:tcW w:w="2500" w:type="pct"/>
          <w:gridSpan w:val="2"/>
          <w:shd w:val="clear" w:color="auto" w:fill="auto"/>
          <w:tcMar>
            <w:top w:w="0" w:type="dxa"/>
          </w:tcMar>
        </w:tcPr>
        <w:p>
          <w:pPr>
            <w:pStyle w:val="FooterText"/>
          </w:pPr>
          <w:r>
            <w:t xml:space="preserve">8661/19 </w:t>
          </w:r>
        </w:p>
      </w:tc>
      <w:tc>
        <w:tcPr>
          <w:tcW w:w="625" w:type="pct"/>
          <w:shd w:val="clear" w:color="auto" w:fill="auto"/>
          <w:tcMar>
            <w:top w:w="0" w:type="dxa"/>
          </w:tcMar>
        </w:tcPr>
        <w:p>
          <w:pPr>
            <w:pStyle w:val="FooterText"/>
            <w:jc w:val="center"/>
          </w:pPr>
        </w:p>
      </w:tc>
      <w:tc>
        <w:tcPr>
          <w:tcW w:w="1286" w:type="pct"/>
          <w:gridSpan w:val="3"/>
          <w:shd w:val="clear" w:color="auto" w:fill="auto"/>
          <w:tcMar>
            <w:top w:w="0" w:type="dxa"/>
          </w:tcMar>
        </w:tcPr>
        <w:p>
          <w:pPr>
            <w:pStyle w:val="FooterText"/>
            <w:jc w:val="center"/>
          </w:pPr>
          <w:r>
            <w:t>GC/mv</w:t>
          </w:r>
        </w:p>
      </w:tc>
      <w:tc>
        <w:tcPr>
          <w:tcW w:w="589" w:type="pct"/>
          <w:shd w:val="clear" w:color="auto" w:fill="auto"/>
          <w:tcMar>
            <w:top w:w="0" w:type="dxa"/>
          </w:tcMar>
        </w:tcPr>
        <w:p>
          <w:pPr>
            <w:pStyle w:val="FooterText"/>
            <w:jc w:val="right"/>
          </w:pPr>
          <w:r>
            <w:fldChar w:fldCharType="begin"/>
          </w:r>
          <w:r>
            <w:instrText xml:space="preserve"> PAGE  \* MERGEFORMAT </w:instrText>
          </w:r>
          <w:r>
            <w:fldChar w:fldCharType="separate"/>
          </w:r>
          <w:r>
            <w:t>2</w:t>
          </w:r>
          <w:r>
            <w:fldChar w:fldCharType="end"/>
          </w:r>
        </w:p>
      </w:tc>
    </w:tr>
    <w:tr>
      <w:trPr>
        <w:jc w:val="center"/>
      </w:trPr>
      <w:tc>
        <w:tcPr>
          <w:tcW w:w="1774" w:type="pct"/>
          <w:shd w:val="clear" w:color="auto" w:fill="auto"/>
        </w:tcPr>
        <w:p>
          <w:pPr>
            <w:pStyle w:val="FooterText"/>
            <w:spacing w:before="40"/>
          </w:pPr>
        </w:p>
      </w:tc>
      <w:tc>
        <w:tcPr>
          <w:tcW w:w="1455" w:type="pct"/>
          <w:gridSpan w:val="3"/>
          <w:shd w:val="clear" w:color="auto" w:fill="auto"/>
        </w:tcPr>
        <w:p>
          <w:pPr>
            <w:pStyle w:val="FooterText"/>
            <w:spacing w:before="40"/>
            <w:jc w:val="center"/>
          </w:pPr>
          <w:r>
            <w:t>GIP.2</w:t>
          </w:r>
        </w:p>
      </w:tc>
      <w:tc>
        <w:tcPr>
          <w:tcW w:w="742" w:type="pct"/>
          <w:shd w:val="clear" w:color="auto" w:fill="auto"/>
        </w:tcPr>
        <w:p>
          <w:pPr>
            <w:pStyle w:val="FooterText"/>
            <w:jc w:val="center"/>
            <w:rPr>
              <w:b/>
              <w:position w:val="-4"/>
              <w:sz w:val="36"/>
            </w:rPr>
          </w:pPr>
        </w:p>
      </w:tc>
      <w:tc>
        <w:tcPr>
          <w:tcW w:w="1029" w:type="pct"/>
          <w:gridSpan w:val="2"/>
          <w:shd w:val="clear" w:color="auto" w:fill="auto"/>
        </w:tcPr>
        <w:p>
          <w:pPr>
            <w:pStyle w:val="FooterText"/>
            <w:jc w:val="right"/>
            <w:rPr>
              <w:spacing w:val="-20"/>
              <w:sz w:val="16"/>
            </w:rPr>
          </w:pPr>
          <w:r>
            <w:rPr>
              <w:b/>
              <w:sz w:val="36"/>
            </w:rPr>
            <w:t>DE</w:t>
          </w:r>
        </w:p>
      </w:tc>
    </w:tr>
  </w:tbl>
  <w:p>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rPr>
        <w:rFonts w:ascii="Arial" w:hAnsi="Arial" w:cs="Arial"/>
        <w:b/>
        <w:sz w:val="48"/>
      </w:rPr>
    </w:pPr>
    <w:r>
      <w:rPr>
        <w:rFonts w:ascii="Arial" w:hAnsi="Arial"/>
        <w:b/>
        <w:sz w:val="48"/>
      </w:rPr>
      <w:t>DE</w:t>
    </w:r>
    <w:r>
      <w:rPr>
        <w:rFonts w:ascii="Arial" w:hAnsi="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DE</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Large"/>
    </w:pP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styleLink w:val="Style5import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Text w:val="(%1)"/>
      <w:lvlJc w:val="left"/>
      <w:pPr>
        <w:tabs>
          <w:tab w:val="num" w:pos="1560"/>
        </w:tabs>
        <w:ind w:left="1560" w:hanging="709"/>
      </w:pPr>
    </w:lvl>
    <w:lvl w:ilvl="1">
      <w:start w:val="1"/>
      <w:numFmt w:val="lowerLetter"/>
      <w:lvlText w:val="(%2)"/>
      <w:lvlJc w:val="left"/>
      <w:pPr>
        <w:tabs>
          <w:tab w:val="num" w:pos="2508"/>
        </w:tabs>
        <w:ind w:left="250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nsid w:val="7AC643A9"/>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1"/>
  </w:num>
  <w:num w:numId="2">
    <w:abstractNumId w:val="3"/>
  </w:num>
  <w:num w:numId="3">
    <w:abstractNumId w:val="42"/>
  </w:num>
  <w:num w:numId="4">
    <w:abstractNumId w:val="36"/>
  </w:num>
  <w:num w:numId="5">
    <w:abstractNumId w:val="5"/>
  </w:num>
  <w:num w:numId="6">
    <w:abstractNumId w:val="45"/>
  </w:num>
  <w:num w:numId="7">
    <w:abstractNumId w:val="48"/>
  </w:num>
  <w:num w:numId="8">
    <w:abstractNumId w:val="29"/>
  </w:num>
  <w:num w:numId="9">
    <w:abstractNumId w:val="44"/>
  </w:num>
  <w:num w:numId="10">
    <w:abstractNumId w:val="38"/>
  </w:num>
  <w:num w:numId="11">
    <w:abstractNumId w:val="23"/>
  </w:num>
  <w:num w:numId="12">
    <w:abstractNumId w:val="11"/>
  </w:num>
  <w:num w:numId="13">
    <w:abstractNumId w:val="8"/>
  </w:num>
  <w:num w:numId="14">
    <w:abstractNumId w:val="40"/>
  </w:num>
  <w:num w:numId="15">
    <w:abstractNumId w:val="46"/>
  </w:num>
  <w:num w:numId="16">
    <w:abstractNumId w:val="2"/>
  </w:num>
  <w:num w:numId="17">
    <w:abstractNumId w:val="15"/>
  </w:num>
  <w:num w:numId="18">
    <w:abstractNumId w:val="7"/>
  </w:num>
  <w:num w:numId="19">
    <w:abstractNumId w:val="16"/>
  </w:num>
  <w:num w:numId="20">
    <w:abstractNumId w:val="30"/>
  </w:num>
  <w:num w:numId="21">
    <w:abstractNumId w:val="47"/>
  </w:num>
  <w:num w:numId="22">
    <w:abstractNumId w:val="4"/>
  </w:num>
  <w:num w:numId="23">
    <w:abstractNumId w:val="20"/>
  </w:num>
  <w:num w:numId="24">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0"/>
  </w:num>
  <w:num w:numId="30">
    <w:abstractNumId w:val="1"/>
  </w:num>
  <w:num w:numId="31">
    <w:abstractNumId w:val="26"/>
  </w:num>
  <w:num w:numId="32">
    <w:abstractNumId w:val="25"/>
  </w:num>
  <w:num w:numId="33">
    <w:abstractNumId w:val="37"/>
  </w:num>
  <w:num w:numId="34">
    <w:abstractNumId w:val="9"/>
  </w:num>
  <w:num w:numId="35">
    <w:abstractNumId w:val="6"/>
  </w:num>
  <w:num w:numId="36">
    <w:abstractNumId w:val="14"/>
  </w:num>
  <w:num w:numId="37">
    <w:abstractNumId w:val="19"/>
  </w:num>
  <w:num w:numId="38">
    <w:abstractNumId w:val="35"/>
  </w:num>
  <w:num w:numId="39">
    <w:abstractNumId w:val="39"/>
  </w:num>
  <w:num w:numId="40">
    <w:abstractNumId w:val="18"/>
  </w:num>
  <w:num w:numId="41">
    <w:abstractNumId w:val="22"/>
  </w:num>
  <w:num w:numId="42">
    <w:abstractNumId w:val="49"/>
  </w:num>
  <w:num w:numId="43">
    <w:abstractNumId w:val="31"/>
  </w:num>
  <w:num w:numId="44">
    <w:abstractNumId w:val="10"/>
  </w:num>
  <w:num w:numId="4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567"/>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Status" w:val="Green"/>
    <w:docVar w:name="DocuWriteMetaData" w:val="&lt;metadataset docuwriteversion=&quot;4.2.11&quot; technicalblockguid=&quot;46509645469572473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5&quot; text=&quot;INFORMATION NOTE&quot; /&gt;_x000d__x000a_    &lt;/basicdatatype&gt;_x000d__x000a_  &lt;/metadata&gt;_x000d__x000a_  &lt;metadata key=&quot;md_HeadingText&quot;&gt;_x000d__x000a_    &lt;headingtext text=&quot;INFORMATION NOTE&quot;&gt;_x000d__x000a_      &lt;formattedtext&gt;_x000d__x000a_        &lt;xaml text=&quot;INFORMATION NOTE&quot;&gt;&amp;lt;FlowDocument xmlns=&quot;http://schemas.microsoft.com/winfx/2006/xaml/presentation&quot;&amp;gt;&amp;lt;Paragraph&amp;gt;INFORMATION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5-24&lt;/text&gt;_x000d__x000a_  &lt;/metadata&gt;_x000d__x000a_  &lt;metadata key=&quot;md_Prefix&quot;&gt;_x000d__x000a_    &lt;text&gt;&lt;/text&gt;_x000d__x000a_  &lt;/metadata&gt;_x000d__x000a_  &lt;metadata key=&quot;md_DocumentNumber&quot;&gt;_x000d__x000a_    &lt;text&gt;866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 974&lt;/text&gt;_x000d__x000a_      &lt;text&gt;ECOFIN 427&lt;/text&gt;_x000d__x000a_      &lt;text&gt;CADREFIN 218&lt;/text&gt;_x000d__x000a_      &lt;text&gt;COMPET 353&lt;/text&gt;_x000d__x000a_      &lt;text&gt;RECH 229&lt;/text&gt;_x000d__x000a_      &lt;text&gt;ENER 244&lt;/text&gt;_x000d__x000a_      &lt;text&gt;TRANS 292&lt;/text&gt;_x000d__x000a_      &lt;text&gt;ENV 434&lt;/text&gt;_x000d__x000a_      &lt;text&gt;EF 168&lt;/text&gt;_x000d__x000a_      &lt;text&gt;TELECOM 194&lt;/text&gt;_x000d__x000a_      &lt;text&gt;IA 138&lt;/text&gt;_x000d__x000a_      &lt;text&gt;FSTR 63&lt;/text&gt;_x000d__x000a_      &lt;text&gt;EDUC 216&lt;/text&gt;_x000d__x000a_      &lt;text&gt;CULT 74&lt;/text&gt;_x000d__x000a_      &lt;text&gt;AUDIO 66&lt;/text&gt;_x000d__x000a_      &lt;text&gt;PE 2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vestEU Programme - Outcome of the European Parliament's first reading (Strasbourg, 15 to 18 April 2019)&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lang=&quot;fr-be&quot;&amp;gt;Proposal for a REGULATION OF THE EUROPEAN PARLIAMENT AND OF THE COUNCIL establishing the InvestEU Programme&amp;lt;/Run&amp;gt;&amp;lt;/Paragraph&amp;gt;&amp;lt;Paragraph LineHeight=&quot;Auto&quot; FontFamily=&quot;Georgia&quot; FontSize=&quot;16&quot;&amp;gt;&amp;lt;Run FontFamily=&quot;Arial Unicode MS&quot; FontSize=&quot;12&quot; xml:lang=&quot;fr-be&quot;&amp;gt;- Outcome of the European Parliament's first reading&amp;lt;/Run&amp;gt;&amp;lt;/Paragraph&amp;gt;&amp;lt;Paragraph LineHeight=&quot;Auto&quot; FontFamily=&quot;Georgia&quot; FontSize=&quot;16&quot;&amp;gt;&amp;lt;Run FontFamily=&quot;Arial Unicode MS&quot; FontSize=&quot;12&quot; xml:lang=&quot;fr-be&quot; xml:space=&quot;preserve&quot;&amp;gt;(Strasbourg, &amp;lt;/Run&amp;gt;&amp;lt;Run FontFamily=&quot;Arial Unicode MS&quot; FontSize=&quot;12&quot; xml:lang=&quot;en-gb&quot;&amp;gt;15 to 18 April 2019&amp;lt;/Run&amp;gt;&amp;lt;Run FontFamily=&quot;Arial Unicode MS&quot; FontSize=&quot;12&quot; xml:lang=&quot;fr-be&quot;&amp;gt;)&amp;lt;/Run&amp;gt;&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GC/m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LW_ACCOMPAGNANT.CP" w:val="des"/>
    <w:docVar w:name="LW_ANNEX_NBR_FIRST" w:val="1"/>
    <w:docVar w:name="LW_ANNEX_NBR_LAST" w:val="1"/>
    <w:docVar w:name="LW_ANNEX_UNIQUE" w:val="0"/>
    <w:docVar w:name="LW_CORRIGENDUM" w:val="&lt;UNUSED&gt;"/>
    <w:docVar w:name="LW_COVERPAGE_EXISTS" w:val="True"/>
    <w:docVar w:name="LW_COVERPAGE_GUID" w:val="256F74B4-7414-40AE-88F2-4B168BBBD739"/>
    <w:docVar w:name="LW_COVERPAGE_TYPE" w:val="1"/>
    <w:docVar w:name="LW_CROSSREFERENCE" w:val="&lt;UNUSED&gt;"/>
    <w:docVar w:name="LW_DocType" w:val="DW_COUNCIL"/>
    <w:docVar w:name="LW_EMISSION" w:val="29.5.2020"/>
    <w:docVar w:name="LW_EMISSION_ISODATE" w:val="2020-05-29"/>
    <w:docVar w:name="LW_EMISSION_LOCATION" w:val="BRX"/>
    <w:docVar w:name="LW_EMISSION_PREFIX" w:val="Brüssel, den "/>
    <w:docVar w:name="LW_EMISSION_SUFFIX" w:val=" "/>
    <w:docVar w:name="LW_ID_DOCTYPE_NONLW" w:val="CP-036"/>
    <w:docVar w:name="LW_LANGUE" w:val="DE"/>
    <w:docVar w:name="LW_LEVEL_OF_SENSITIVITY" w:val="Standard treatment"/>
    <w:docVar w:name="LW_NOM.INST" w:val="EUROPÄISCHE KOMMISSION"/>
    <w:docVar w:name="LW_NOM.INST_JOINTDOC" w:val="&lt;EMPTY&gt;"/>
    <w:docVar w:name="LW_OBJETACTEPRINCIPAL.CP" w:val="zur Aufstellung des Programms \u8222?InvestEU\u8220?"/>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ANG_x000b_"/>
    <w:docVar w:name="LW_TYPEACTEPRINCIPAL.CP" w:val="Vorschlags für eine VERORDNUNG DES EUROPÄISCHEN PARLAMENTS UND DES RATES"/>
    <w:docVar w:name="VSSDB_IniPath" w:val="\\at100\user\wovo\SEILEG\vss\srcsafe.ini"/>
    <w:docVar w:name="VSSDB_ProjectPath" w:val="$/DocuWrite/DOT/DW_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de-DE"/>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de-DE"/>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de-DE"/>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de-DE"/>
    </w:rPr>
  </w:style>
  <w:style w:type="character" w:customStyle="1" w:styleId="HeaderCouncilLargeChar">
    <w:name w:val="Header Council Large Char"/>
    <w:basedOn w:val="TechnicalBlockChar"/>
    <w:link w:val="HeaderCouncilLarge"/>
    <w:rPr>
      <w:rFonts w:ascii="Times New Roman" w:hAnsi="Times New Roman" w:cs="Times New Roman"/>
      <w:sz w:val="2"/>
      <w:lang w:val="de-DE"/>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e-DE"/>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de-DE"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de-DE"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de-DE"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de-DE"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de-DE" w:eastAsia="en-GB"/>
    </w:rPr>
  </w:style>
  <w:style w:type="character" w:customStyle="1" w:styleId="Heading7Char">
    <w:name w:val="Heading 7 Char"/>
    <w:basedOn w:val="DefaultParagraphFont"/>
    <w:link w:val="Heading7"/>
    <w:rPr>
      <w:rFonts w:ascii="Arial" w:eastAsia="Times New Roman" w:hAnsi="Arial" w:cs="Times New Roman"/>
      <w:sz w:val="24"/>
      <w:szCs w:val="20"/>
      <w:lang w:val="de-DE"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de-DE"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de-DE"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de-DE"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de-DE"/>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character" w:customStyle="1" w:styleId="Normal6Char">
    <w:name w:val="Normal6 Char"/>
    <w:link w:val="Normal6"/>
    <w:rPr>
      <w:rFonts w:ascii="Times New Roman" w:eastAsia="Times New Roman" w:hAnsi="Times New Roman" w:cs="Times New Roman"/>
      <w:sz w:val="24"/>
      <w:szCs w:val="20"/>
      <w:lang w:val="de-DE"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de-DE"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de-DE"/>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de-DE"/>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de-DE"/>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de-DE"/>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de-DE"/>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de-DE"/>
    </w:rPr>
  </w:style>
  <w:style w:type="character" w:customStyle="1" w:styleId="HeaderCouncilLargeChar">
    <w:name w:val="Header Council Large Char"/>
    <w:basedOn w:val="TechnicalBlockChar"/>
    <w:link w:val="HeaderCouncilLarge"/>
    <w:rPr>
      <w:rFonts w:ascii="Times New Roman" w:hAnsi="Times New Roman" w:cs="Times New Roman"/>
      <w:sz w:val="2"/>
      <w:lang w:val="de-DE"/>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e-DE"/>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de-DE"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de-DE"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de-DE"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de-DE"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de-DE" w:eastAsia="en-GB"/>
    </w:rPr>
  </w:style>
  <w:style w:type="character" w:customStyle="1" w:styleId="Heading7Char">
    <w:name w:val="Heading 7 Char"/>
    <w:basedOn w:val="DefaultParagraphFont"/>
    <w:link w:val="Heading7"/>
    <w:rPr>
      <w:rFonts w:ascii="Arial" w:eastAsia="Times New Roman" w:hAnsi="Arial" w:cs="Times New Roman"/>
      <w:sz w:val="24"/>
      <w:szCs w:val="20"/>
      <w:lang w:val="de-DE"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de-DE"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de-DE"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de-DE"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de-DE"/>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en-GB"/>
    </w:rPr>
  </w:style>
  <w:style w:type="character" w:customStyle="1" w:styleId="Normal6Char">
    <w:name w:val="Normal6 Char"/>
    <w:link w:val="Normal6"/>
    <w:rPr>
      <w:rFonts w:ascii="Times New Roman" w:eastAsia="Times New Roman" w:hAnsi="Times New Roman" w:cs="Times New Roman"/>
      <w:sz w:val="24"/>
      <w:szCs w:val="20"/>
      <w:lang w:val="de-DE"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de-DE"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de-DE"/>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de-DE"/>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01">
      <w:bodyDiv w:val="1"/>
      <w:marLeft w:val="0"/>
      <w:marRight w:val="0"/>
      <w:marTop w:val="0"/>
      <w:marBottom w:val="0"/>
      <w:divBdr>
        <w:top w:val="none" w:sz="0" w:space="0" w:color="auto"/>
        <w:left w:val="none" w:sz="0" w:space="0" w:color="auto"/>
        <w:bottom w:val="none" w:sz="0" w:space="0" w:color="auto"/>
        <w:right w:val="none" w:sz="0" w:space="0" w:color="auto"/>
      </w:divBdr>
    </w:div>
    <w:div w:id="312755545">
      <w:bodyDiv w:val="1"/>
      <w:marLeft w:val="0"/>
      <w:marRight w:val="0"/>
      <w:marTop w:val="0"/>
      <w:marBottom w:val="0"/>
      <w:divBdr>
        <w:top w:val="none" w:sz="0" w:space="0" w:color="auto"/>
        <w:left w:val="none" w:sz="0" w:space="0" w:color="auto"/>
        <w:bottom w:val="none" w:sz="0" w:space="0" w:color="auto"/>
        <w:right w:val="none" w:sz="0" w:space="0" w:color="auto"/>
      </w:divBdr>
    </w:div>
    <w:div w:id="1149402101">
      <w:bodyDiv w:val="1"/>
      <w:marLeft w:val="0"/>
      <w:marRight w:val="0"/>
      <w:marTop w:val="0"/>
      <w:marBottom w:val="0"/>
      <w:divBdr>
        <w:top w:val="none" w:sz="0" w:space="0" w:color="auto"/>
        <w:left w:val="none" w:sz="0" w:space="0" w:color="auto"/>
        <w:bottom w:val="none" w:sz="0" w:space="0" w:color="auto"/>
        <w:right w:val="none" w:sz="0" w:space="0" w:color="auto"/>
      </w:divBdr>
    </w:div>
    <w:div w:id="1268078964">
      <w:bodyDiv w:val="1"/>
      <w:marLeft w:val="0"/>
      <w:marRight w:val="0"/>
      <w:marTop w:val="0"/>
      <w:marBottom w:val="0"/>
      <w:divBdr>
        <w:top w:val="none" w:sz="0" w:space="0" w:color="auto"/>
        <w:left w:val="none" w:sz="0" w:space="0" w:color="auto"/>
        <w:bottom w:val="none" w:sz="0" w:space="0" w:color="auto"/>
        <w:right w:val="none" w:sz="0" w:space="0" w:color="auto"/>
      </w:divBdr>
    </w:div>
    <w:div w:id="1359550653">
      <w:bodyDiv w:val="1"/>
      <w:marLeft w:val="0"/>
      <w:marRight w:val="0"/>
      <w:marTop w:val="0"/>
      <w:marBottom w:val="0"/>
      <w:divBdr>
        <w:top w:val="none" w:sz="0" w:space="0" w:color="auto"/>
        <w:left w:val="none" w:sz="0" w:space="0" w:color="auto"/>
        <w:bottom w:val="none" w:sz="0" w:space="0" w:color="auto"/>
        <w:right w:val="none" w:sz="0" w:space="0" w:color="auto"/>
      </w:divBdr>
    </w:div>
    <w:div w:id="1868329858">
      <w:bodyDiv w:val="1"/>
      <w:marLeft w:val="0"/>
      <w:marRight w:val="0"/>
      <w:marTop w:val="0"/>
      <w:marBottom w:val="0"/>
      <w:divBdr>
        <w:top w:val="none" w:sz="0" w:space="0" w:color="auto"/>
        <w:left w:val="none" w:sz="0" w:space="0" w:color="auto"/>
        <w:bottom w:val="none" w:sz="0" w:space="0" w:color="auto"/>
        <w:right w:val="none" w:sz="0" w:space="0" w:color="auto"/>
      </w:divBdr>
    </w:div>
    <w:div w:id="187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6859-1954-4E7F-9440-1F456050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495</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Evelyne</dc:creator>
  <cp:keywords/>
  <dc:description/>
  <cp:lastModifiedBy>WES PDFC Administrator</cp:lastModifiedBy>
  <cp:revision>15</cp:revision>
  <cp:lastPrinted>2020-02-28T16:55:00Z</cp:lastPrinted>
  <dcterms:created xsi:type="dcterms:W3CDTF">2020-05-26T15:13:00Z</dcterms:created>
  <dcterms:modified xsi:type="dcterms:W3CDTF">2020-06-02T14:11:00Z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LW 7.0, Build 20190717</vt:lpwstr>
  </property>
  <property fmtid="{D5CDD505-2E9C-101B-9397-08002B2CF9AE}" pid="4" name="Last edited using">
    <vt:lpwstr>LW 7.0, Build 20190717</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DocStatus">
    <vt:lpwstr>Green</vt:lpwstr>
  </property>
  <property fmtid="{D5CDD505-2E9C-101B-9397-08002B2CF9AE}" pid="12" name="CPTemplateID">
    <vt:lpwstr>CP-036</vt:lpwstr>
  </property>
</Properties>
</file>