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65DE658F-3A7C-4BCA-94A2-2A38861D4F37" style="width:450.7pt;height:460.9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before="60"/>
        <w:jc w:val="center"/>
        <w:rPr>
          <w:b/>
          <w:noProof/>
          <w:szCs w:val="24"/>
          <w:u w:val="single"/>
        </w:rPr>
      </w:pPr>
      <w:bookmarkStart w:id="1" w:name="_GoBack"/>
      <w:bookmarkEnd w:id="1"/>
      <w:r>
        <w:rPr>
          <w:b/>
          <w:noProof/>
          <w:szCs w:val="24"/>
          <w:u w:val="single"/>
        </w:rPr>
        <w:lastRenderedPageBreak/>
        <w:t>LISA</w:t>
      </w:r>
    </w:p>
    <w:p>
      <w:pPr>
        <w:spacing w:before="60"/>
        <w:rPr>
          <w:noProof/>
          <w:szCs w:val="24"/>
        </w:rPr>
      </w:pPr>
      <w:r>
        <w:rPr>
          <w:noProof/>
        </w:rPr>
        <w:t>Lisatakse uus VIIa lisa.</w:t>
      </w:r>
    </w:p>
    <w:p>
      <w:pPr>
        <w:spacing w:before="60"/>
        <w:jc w:val="center"/>
        <w:rPr>
          <w:b/>
          <w:noProof/>
          <w:szCs w:val="24"/>
          <w:u w:val="single"/>
        </w:rPr>
      </w:pPr>
      <w:r>
        <w:rPr>
          <w:b/>
          <w:noProof/>
          <w:szCs w:val="24"/>
          <w:u w:val="single"/>
        </w:rPr>
        <w:t>„VIIa LISA</w:t>
      </w:r>
    </w:p>
    <w:p>
      <w:pPr>
        <w:spacing w:before="60"/>
        <w:jc w:val="center"/>
        <w:rPr>
          <w:b/>
          <w:noProof/>
          <w:szCs w:val="24"/>
        </w:rPr>
      </w:pPr>
      <w:r>
        <w:rPr>
          <w:b/>
          <w:noProof/>
        </w:rPr>
        <w:t>Liikmesriikide kaupa erakorraliste lisavahendite eraldamise metoodika majanduskasvu ja tööhõivesse investeerimise eesmärgi raames, et toetada COVID-19 pandeemiaga seotud kriisi tagajärgede kõrvaldamist ning ettevalmistuste tegemist majanduse taastamiseks rohelisel, digitaalsel ja vastupidaval viisil (Artikli 92b lõige 4)</w:t>
      </w:r>
    </w:p>
    <w:p>
      <w:pPr>
        <w:spacing w:before="240"/>
        <w:rPr>
          <w:b/>
          <w:noProof/>
        </w:rPr>
      </w:pPr>
      <w:r>
        <w:rPr>
          <w:b/>
          <w:noProof/>
        </w:rPr>
        <w:t>Erakorraliste lisavahendite eraldamise meetod</w:t>
      </w:r>
    </w:p>
    <w:p>
      <w:pPr>
        <w:rPr>
          <w:noProof/>
          <w:szCs w:val="24"/>
        </w:rPr>
      </w:pPr>
      <w:r>
        <w:rPr>
          <w:noProof/>
        </w:rPr>
        <w:t>Erakorralised lisavahendid jaotatakse liikmesriikide vahel vastavalt järgmisele metoodikale:</w:t>
      </w:r>
    </w:p>
    <w:p>
      <w:pPr>
        <w:pStyle w:val="ListParagraph"/>
        <w:numPr>
          <w:ilvl w:val="0"/>
          <w:numId w:val="2"/>
        </w:numPr>
        <w:spacing w:before="0"/>
        <w:contextualSpacing w:val="0"/>
        <w:rPr>
          <w:noProof/>
        </w:rPr>
      </w:pPr>
      <w:r>
        <w:rPr>
          <w:noProof/>
        </w:rPr>
        <w:t>Iga liikmesriigi esialgne osa lisavahenditest määratakse kindlaks järgmiste kriteeriumide alusel kindlaksmääratud osade kaalutud summana vastavalt esitatud kaalule:</w:t>
      </w:r>
    </w:p>
    <w:p>
      <w:pPr>
        <w:pStyle w:val="ListParagraph"/>
        <w:numPr>
          <w:ilvl w:val="1"/>
          <w:numId w:val="2"/>
        </w:numPr>
        <w:spacing w:before="0"/>
        <w:contextualSpacing w:val="0"/>
        <w:rPr>
          <w:noProof/>
          <w:szCs w:val="24"/>
        </w:rPr>
      </w:pPr>
      <w:r>
        <w:rPr>
          <w:noProof/>
        </w:rPr>
        <w:t>SKP tegur (kaal 2/3), saadakse järgmiste alapunktide rakendamise abil:</w:t>
      </w:r>
    </w:p>
    <w:p>
      <w:pPr>
        <w:pStyle w:val="ListParagraph"/>
        <w:numPr>
          <w:ilvl w:val="2"/>
          <w:numId w:val="2"/>
        </w:numPr>
        <w:spacing w:before="0"/>
        <w:contextualSpacing w:val="0"/>
        <w:rPr>
          <w:noProof/>
          <w:szCs w:val="24"/>
        </w:rPr>
      </w:pPr>
      <w:r>
        <w:rPr>
          <w:noProof/>
        </w:rPr>
        <w:t>iga liikmesriigi osa hooajaliselt korrigeeritud reaalsest SKP kogukahjust eurodes ajavahemikul 2019. aasta esimesest poolaastast kuni kohaldatava võrdlusperioodi lõpuni kõigi asjaomaste liikmesriikide puhul;</w:t>
      </w:r>
    </w:p>
    <w:p>
      <w:pPr>
        <w:pStyle w:val="ListParagraph"/>
        <w:numPr>
          <w:ilvl w:val="2"/>
          <w:numId w:val="2"/>
        </w:numPr>
        <w:spacing w:before="0"/>
        <w:contextualSpacing w:val="0"/>
        <w:rPr>
          <w:noProof/>
          <w:szCs w:val="24"/>
        </w:rPr>
      </w:pPr>
      <w:r>
        <w:rPr>
          <w:noProof/>
        </w:rPr>
        <w:t>sel viisil saadud osade korrigeerimine, jagades need liikmesriigi kogurahvatuluga elaniku kohta, väljendatuna protsendimäärana 27-liikmelise ELi keskmisest kogurahvatulust elaniku kohta (keskmine vastab 100 %-le).</w:t>
      </w:r>
    </w:p>
    <w:p>
      <w:pPr>
        <w:pStyle w:val="ListParagraph"/>
        <w:numPr>
          <w:ilvl w:val="1"/>
          <w:numId w:val="2"/>
        </w:numPr>
        <w:spacing w:before="0"/>
        <w:contextualSpacing w:val="0"/>
        <w:rPr>
          <w:noProof/>
          <w:szCs w:val="24"/>
        </w:rPr>
      </w:pPr>
      <w:r>
        <w:rPr>
          <w:noProof/>
        </w:rPr>
        <w:t>Töötuse tegur (kaal 2/9) väljendatuna järgmiste näitajate kaalutud keskmisena:</w:t>
      </w:r>
    </w:p>
    <w:p>
      <w:pPr>
        <w:pStyle w:val="ListParagraph"/>
        <w:numPr>
          <w:ilvl w:val="2"/>
          <w:numId w:val="2"/>
        </w:numPr>
        <w:spacing w:before="0"/>
        <w:contextualSpacing w:val="0"/>
        <w:rPr>
          <w:noProof/>
          <w:szCs w:val="24"/>
        </w:rPr>
      </w:pPr>
      <w:r>
        <w:rPr>
          <w:noProof/>
        </w:rPr>
        <w:t>liikmesriigi osa töötute koguarvust (kaal 3/4) kõigi 2020. aasta jaanuaris asjaomaste liikmesriikide puhul ning</w:t>
      </w:r>
    </w:p>
    <w:p>
      <w:pPr>
        <w:pStyle w:val="ListParagraph"/>
        <w:numPr>
          <w:ilvl w:val="2"/>
          <w:numId w:val="2"/>
        </w:numPr>
        <w:spacing w:before="0"/>
        <w:contextualSpacing w:val="0"/>
        <w:rPr>
          <w:noProof/>
          <w:szCs w:val="24"/>
        </w:rPr>
      </w:pPr>
      <w:r>
        <w:rPr>
          <w:noProof/>
        </w:rPr>
        <w:t>liikmesriigi osa töötute (kaal 1/4) arvu suurenemises 2020. aasta jaanuarist kuni kohaldatava võrdlusperioodi lõpuni kõigi asjaomaste liikmesriikide puhul.</w:t>
      </w:r>
    </w:p>
    <w:p>
      <w:pPr>
        <w:pStyle w:val="ListParagraph"/>
        <w:numPr>
          <w:ilvl w:val="1"/>
          <w:numId w:val="2"/>
        </w:numPr>
        <w:spacing w:before="0"/>
        <w:contextualSpacing w:val="0"/>
        <w:rPr>
          <w:noProof/>
          <w:szCs w:val="24"/>
        </w:rPr>
      </w:pPr>
      <w:r>
        <w:rPr>
          <w:noProof/>
        </w:rPr>
        <w:t>Noorte töötuse tegur (kaal 1/9) väljendatuna järgmiste näitajate keskmisena:</w:t>
      </w:r>
    </w:p>
    <w:p>
      <w:pPr>
        <w:pStyle w:val="ListParagraph"/>
        <w:numPr>
          <w:ilvl w:val="2"/>
          <w:numId w:val="2"/>
        </w:numPr>
        <w:spacing w:before="0"/>
        <w:contextualSpacing w:val="0"/>
        <w:rPr>
          <w:noProof/>
          <w:szCs w:val="24"/>
        </w:rPr>
      </w:pPr>
      <w:r>
        <w:rPr>
          <w:noProof/>
        </w:rPr>
        <w:t>liikmesriigi osa töötute noorte koguarvust (kaal 3/4) 2020. aasta jaanuaris kõigi asjaomaste liikmesriikide puhul ning</w:t>
      </w:r>
    </w:p>
    <w:p>
      <w:pPr>
        <w:pStyle w:val="ListParagraph"/>
        <w:numPr>
          <w:ilvl w:val="2"/>
          <w:numId w:val="2"/>
        </w:numPr>
        <w:spacing w:before="0"/>
        <w:contextualSpacing w:val="0"/>
        <w:rPr>
          <w:noProof/>
          <w:szCs w:val="24"/>
        </w:rPr>
      </w:pPr>
      <w:r>
        <w:rPr>
          <w:noProof/>
        </w:rPr>
        <w:t>liikmesriigi osa töötute noorte (kaal 1/4) arvu suurenemises 2020. aasta jaanuari ja kohaldatava võrdlusperioodi vahel kõigi asjaomaste liikmesriikide puhul.</w:t>
      </w:r>
    </w:p>
    <w:p>
      <w:pPr>
        <w:spacing w:before="0"/>
        <w:ind w:left="720"/>
        <w:rPr>
          <w:noProof/>
          <w:szCs w:val="24"/>
        </w:rPr>
      </w:pPr>
      <w:r>
        <w:rPr>
          <w:noProof/>
        </w:rPr>
        <w:t>Kui liikmesriigi hooajaliselt korrigeeritud reaalne SKP, mida väljendatakse eurodes, on kohaldataval võrdlusperioodil suurem kui 2019. aasta esimesel poolaastal, jäetakse selle liikmesriigi andmed punkti a alapunkti i kohastest arvutustest välja.</w:t>
      </w:r>
    </w:p>
    <w:p>
      <w:pPr>
        <w:spacing w:before="0"/>
        <w:ind w:left="720"/>
        <w:rPr>
          <w:noProof/>
          <w:szCs w:val="24"/>
        </w:rPr>
      </w:pPr>
      <w:r>
        <w:rPr>
          <w:noProof/>
        </w:rPr>
        <w:t>Kui liikmesriigis on kohaldatava võrdlusperioodi jooksul töötute (vanuserühm 15–74) või töötute noorte (vanuserühm 15–24) arv väiksem kui 2020. aasta jaanuaris, jäetakse selle liikmesriigi andmed punkti b taandes i ja punkti c taandes i esitatud arvutustest välja.</w:t>
      </w:r>
    </w:p>
    <w:p>
      <w:pPr>
        <w:pStyle w:val="ListParagraph"/>
        <w:numPr>
          <w:ilvl w:val="0"/>
          <w:numId w:val="2"/>
        </w:numPr>
        <w:spacing w:before="0"/>
        <w:contextualSpacing w:val="0"/>
        <w:rPr>
          <w:noProof/>
          <w:szCs w:val="24"/>
        </w:rPr>
      </w:pPr>
      <w:r>
        <w:rPr>
          <w:noProof/>
        </w:rPr>
        <w:t>Lõikes 1 kirjeldatud eeskirjade kohaselt ei tohi eraldised liikmesriigi kohta kogu ajavahemikuks 2020–2022 olla suuremad kui:</w:t>
      </w:r>
    </w:p>
    <w:p>
      <w:pPr>
        <w:pStyle w:val="ListParagraph"/>
        <w:numPr>
          <w:ilvl w:val="1"/>
          <w:numId w:val="2"/>
        </w:numPr>
        <w:spacing w:before="0"/>
        <w:contextualSpacing w:val="0"/>
        <w:rPr>
          <w:noProof/>
          <w:szCs w:val="24"/>
        </w:rPr>
      </w:pPr>
      <w:r>
        <w:rPr>
          <w:noProof/>
        </w:rPr>
        <w:t>liikmesriikide puhul, kelle keskmine kogurahvatulu elaniku kohta (ostujõu pariteetides) ajavahemikul 2015–2017 on üle 109 % 27-liikmelise ELi keskmisest: 0,07 % nende 2019. aasta reaalsest SKPst;</w:t>
      </w:r>
    </w:p>
    <w:p>
      <w:pPr>
        <w:pStyle w:val="ListParagraph"/>
        <w:numPr>
          <w:ilvl w:val="1"/>
          <w:numId w:val="2"/>
        </w:numPr>
        <w:spacing w:before="0"/>
        <w:contextualSpacing w:val="0"/>
        <w:rPr>
          <w:noProof/>
          <w:szCs w:val="24"/>
        </w:rPr>
      </w:pPr>
      <w:r>
        <w:rPr>
          <w:noProof/>
        </w:rPr>
        <w:t>liikmesriikide puhul, kelle keskmine kogurahvatulu elaniku kohta (ostujõu pariteetides) ajavahemikul 2015–2017 on 90 % 27-liikmelise ELi keskmisest või alla selle: 2,60 % nende 2019. aasta reaalsest SKPst;</w:t>
      </w:r>
    </w:p>
    <w:p>
      <w:pPr>
        <w:pStyle w:val="ListParagraph"/>
        <w:numPr>
          <w:ilvl w:val="1"/>
          <w:numId w:val="2"/>
        </w:numPr>
        <w:spacing w:before="0"/>
        <w:contextualSpacing w:val="0"/>
        <w:rPr>
          <w:noProof/>
        </w:rPr>
      </w:pPr>
      <w:r>
        <w:rPr>
          <w:noProof/>
        </w:rPr>
        <w:t>liikmesriikide puhul, kelle keskmine kogurahvatulu elaniku kohta (ostujõu pariteetides) ajavahemikul 2015–2017 on üle 90 % ning võrdne 109 %-ga EL 27 keskmisest või on alla selle: saadakse protsendimäär lineaarse interpoleerimise teel 0,07 % ja 2,60 % vahel nende reaalsest SKPst 2019. aastal ning selle tulemusel vähendatakse proportsionaalselt ülemmäära protsenti vastavalt jõukuse kasvule.</w:t>
      </w:r>
    </w:p>
    <w:p>
      <w:pPr>
        <w:spacing w:before="0"/>
        <w:ind w:left="360"/>
        <w:rPr>
          <w:i/>
          <w:noProof/>
          <w:szCs w:val="24"/>
        </w:rPr>
      </w:pPr>
      <w:r>
        <w:rPr>
          <w:noProof/>
        </w:rPr>
        <w:t>Summad, mis ületavad punktides a–c sätestatud taset liikmesriigi kohta, jaotatakse ümber proportsionaalselt kõigi teiste selliste liikmesriikide eraldistega, kelle keskmine kogurahvatulu elaniku kohta (ostujõu pariteetides) on alla 100 % EL 27 keskmisest. Kogurahvatulu elaniku kohta (ostujõu pariteetides) ajavahemikul 2015–2017 kasutatakse ühtekuuluvuspoliitikas mitmeaastase finantsraamistiku (2021–2027) läbirääkimistel.</w:t>
      </w:r>
    </w:p>
    <w:p>
      <w:pPr>
        <w:pStyle w:val="ListParagraph"/>
        <w:numPr>
          <w:ilvl w:val="0"/>
          <w:numId w:val="2"/>
        </w:numPr>
        <w:spacing w:before="0"/>
        <w:contextualSpacing w:val="0"/>
        <w:rPr>
          <w:noProof/>
        </w:rPr>
      </w:pPr>
      <w:r>
        <w:rPr>
          <w:noProof/>
        </w:rPr>
        <w:t>2020. ja 2021. aasta erakorraliste lisavahendite jaotuse arvutamisel:</w:t>
      </w:r>
    </w:p>
    <w:p>
      <w:pPr>
        <w:pStyle w:val="ListParagraph"/>
        <w:numPr>
          <w:ilvl w:val="1"/>
          <w:numId w:val="2"/>
        </w:numPr>
        <w:spacing w:before="0"/>
        <w:contextualSpacing w:val="0"/>
        <w:rPr>
          <w:noProof/>
        </w:rPr>
      </w:pPr>
      <w:r>
        <w:rPr>
          <w:noProof/>
        </w:rPr>
        <w:t>SKP puhul on võrdlusperiood: 2020. aasta esimene poolaasta;</w:t>
      </w:r>
    </w:p>
    <w:p>
      <w:pPr>
        <w:pStyle w:val="ListParagraph"/>
        <w:numPr>
          <w:ilvl w:val="1"/>
          <w:numId w:val="2"/>
        </w:numPr>
        <w:spacing w:before="0"/>
        <w:contextualSpacing w:val="0"/>
        <w:rPr>
          <w:noProof/>
        </w:rPr>
      </w:pPr>
      <w:r>
        <w:rPr>
          <w:noProof/>
        </w:rPr>
        <w:t>töötute ja töötute noorte arvu puhul on võrdlusperiood: keskmine 2020. aasta juunist augustini.</w:t>
      </w:r>
    </w:p>
    <w:p>
      <w:pPr>
        <w:pStyle w:val="ListParagraph"/>
        <w:numPr>
          <w:ilvl w:val="1"/>
          <w:numId w:val="2"/>
        </w:numPr>
        <w:spacing w:before="0"/>
        <w:contextualSpacing w:val="0"/>
        <w:rPr>
          <w:noProof/>
        </w:rPr>
      </w:pPr>
      <w:r>
        <w:rPr>
          <w:noProof/>
        </w:rPr>
        <w:t xml:space="preserve">Lõike 2 kohaldamisest tulenev maksimaalne eraldis korrutatakse 2020. ja 2021. aasta lisavahendite osaga 2020., 2021. ja 2022. aasta lisavahendite kogusummast. </w:t>
      </w:r>
    </w:p>
    <w:p>
      <w:pPr>
        <w:spacing w:before="0"/>
        <w:ind w:left="360"/>
        <w:rPr>
          <w:noProof/>
        </w:rPr>
      </w:pPr>
      <w:r>
        <w:rPr>
          <w:noProof/>
        </w:rPr>
        <w:t>Enne lõigetes 1 ja 2 seoses 2020. aasta lisavahenditega kirjeldatud meetodi kohaldamist eraldatakse äärepoolseimatele NUTS 2. tasandi piirkondadele eraldisest summa, mis vastab abi osatähtsusele 30 eurot elaniku kohta. See eraldis jaotatakse piirkonna ja liikmesriigi kohta proportsionaalselt nende piirkondade kogurahvastikuga. 2020. aasta ülejäänud summa jaotatakse liikmesriikide vahel vastavalt lõigetes 1 ja 2 kirjeldatud meetodile.</w:t>
      </w:r>
    </w:p>
    <w:p>
      <w:pPr>
        <w:pStyle w:val="ListParagraph"/>
        <w:numPr>
          <w:ilvl w:val="0"/>
          <w:numId w:val="2"/>
        </w:numPr>
        <w:spacing w:before="0"/>
        <w:contextualSpacing w:val="0"/>
        <w:rPr>
          <w:noProof/>
        </w:rPr>
      </w:pPr>
      <w:r>
        <w:rPr>
          <w:noProof/>
        </w:rPr>
        <w:t>2022. aasta erakorraliste lisavahendite jaotuse arvutamisel:</w:t>
      </w:r>
    </w:p>
    <w:p>
      <w:pPr>
        <w:pStyle w:val="ListParagraph"/>
        <w:numPr>
          <w:ilvl w:val="1"/>
          <w:numId w:val="2"/>
        </w:numPr>
        <w:spacing w:before="0"/>
        <w:contextualSpacing w:val="0"/>
        <w:rPr>
          <w:noProof/>
        </w:rPr>
      </w:pPr>
      <w:r>
        <w:rPr>
          <w:noProof/>
        </w:rPr>
        <w:t>SKP puhul on võrdlusperiood: 2021. aasta esimene poolaasta;</w:t>
      </w:r>
    </w:p>
    <w:p>
      <w:pPr>
        <w:pStyle w:val="ListParagraph"/>
        <w:numPr>
          <w:ilvl w:val="1"/>
          <w:numId w:val="2"/>
        </w:numPr>
        <w:spacing w:before="0"/>
        <w:contextualSpacing w:val="0"/>
        <w:rPr>
          <w:noProof/>
        </w:rPr>
      </w:pPr>
      <w:r>
        <w:rPr>
          <w:noProof/>
        </w:rPr>
        <w:t>töötute ja töötute noorte arvu puhul on võrdlusperiood: keskmine 2021. aasta juunist augustini.</w:t>
      </w:r>
    </w:p>
    <w:p>
      <w:pPr>
        <w:pStyle w:val="ListParagraph"/>
        <w:numPr>
          <w:ilvl w:val="1"/>
          <w:numId w:val="2"/>
        </w:numPr>
        <w:spacing w:before="0"/>
        <w:contextualSpacing w:val="0"/>
        <w:rPr>
          <w:noProof/>
        </w:rPr>
      </w:pPr>
      <w:r>
        <w:rPr>
          <w:noProof/>
        </w:rPr>
        <w:t>Lõike 2 kohaldamisest tulenev maksimaalne eraldis korrutatakse 2022. aasta lisavahendite osaga 2020., 2021. ja 2022. aasta lisavahendite kogusummast.“</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24382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1AA1"/>
    <w:multiLevelType w:val="hybridMultilevel"/>
    <w:tmpl w:val="4ECEB890"/>
    <w:lvl w:ilvl="0" w:tplc="180845A4">
      <w:start w:val="1"/>
      <w:numFmt w:val="decimal"/>
      <w:lvlText w:val="%1."/>
      <w:lvlJc w:val="left"/>
      <w:pPr>
        <w:ind w:left="360" w:hanging="360"/>
      </w:pPr>
      <w:rPr>
        <w:rFonts w:ascii="Times New Roman" w:eastAsia="Calibri" w:hAnsi="Times New Roman" w:cs="Times New Roman"/>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6DB387A"/>
    <w:multiLevelType w:val="hybridMultilevel"/>
    <w:tmpl w:val="ACAE42EE"/>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535318"/>
    <w:multiLevelType w:val="hybridMultilevel"/>
    <w:tmpl w:val="F134F2CE"/>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33465C"/>
    <w:multiLevelType w:val="hybridMultilevel"/>
    <w:tmpl w:val="0C849920"/>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56C0D52"/>
    <w:multiLevelType w:val="hybridMultilevel"/>
    <w:tmpl w:val="5E58C08A"/>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D26E0A"/>
    <w:multiLevelType w:val="hybridMultilevel"/>
    <w:tmpl w:val="824C45F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7B46D26"/>
    <w:multiLevelType w:val="hybridMultilevel"/>
    <w:tmpl w:val="B366070A"/>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B6AEE514">
      <w:start w:val="1"/>
      <w:numFmt w:val="lowerRoman"/>
      <w:lvlText w:val="(%3)"/>
      <w:lvlJc w:val="right"/>
      <w:pPr>
        <w:ind w:left="1800" w:hanging="180"/>
      </w:pPr>
      <w:rPr>
        <w:rFonts w:hint="default"/>
      </w:rPr>
    </w:lvl>
    <w:lvl w:ilvl="3" w:tplc="75CC8E88">
      <w:start w:val="1"/>
      <w:numFmt w:val="bullet"/>
      <w:lvlText w:val=""/>
      <w:lvlJc w:val="left"/>
      <w:pPr>
        <w:ind w:left="2520" w:hanging="360"/>
      </w:pPr>
      <w:rPr>
        <w:rFonts w:ascii="Symbol" w:hAnsi="Symbo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4C52513"/>
    <w:multiLevelType w:val="hybridMultilevel"/>
    <w:tmpl w:val="1B84146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50C3DB4"/>
    <w:multiLevelType w:val="hybridMultilevel"/>
    <w:tmpl w:val="6860A11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8"/>
  </w:num>
  <w:num w:numId="5">
    <w:abstractNumId w:val="4"/>
  </w:num>
  <w:num w:numId="6">
    <w:abstractNumId w:val="1"/>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revisionView w:markup="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järgmise dokumendi juurde:"/>
    <w:docVar w:name="LW_ANNEX_NBR_FIRST" w:val="1"/>
    <w:docVar w:name="LW_ANNEX_NBR_LAST" w:val="1"/>
    <w:docVar w:name="LW_ANNEX_UNIQUE" w:val="1"/>
    <w:docVar w:name="LW_CORRIGENDUM" w:val="&lt;UNUSED&gt;"/>
    <w:docVar w:name="LW_COVERPAGE_EXISTS" w:val="True"/>
    <w:docVar w:name="LW_COVERPAGE_GUID" w:val="65DE658F-3A7C-4BCA-94A2-2A38861D4F37"/>
    <w:docVar w:name="LW_COVERPAGE_TYPE" w:val="1"/>
    <w:docVar w:name="LW_CROSSREFERENCE" w:val="&lt;UNUSED&gt;"/>
    <w:docVar w:name="LW_DocType" w:val="NORMAL"/>
    <w:docVar w:name="LW_EMISSION" w:val="28.5.2020"/>
    <w:docVar w:name="LW_EMISSION_ISODATE" w:val="2020-05-28"/>
    <w:docVar w:name="LW_EMISSION_LOCATION" w:val="BRX"/>
    <w:docVar w:name="LW_EMISSION_PREFIX" w:val="Brüssel,"/>
    <w:docVar w:name="LW_EMISSION_SUFFIX" w:val=" "/>
    <w:docVar w:name="LW_ID_DOCTYPE_NONLW" w:val="CP-036"/>
    <w:docVar w:name="LW_LANGUE" w:val="ET"/>
    <w:docVar w:name="LW_LEVEL_OF_SENSITIVITY" w:val="Standard treatment"/>
    <w:docVar w:name="LW_NOM.INST" w:val="EUROOPA KOMISJON"/>
    <w:docVar w:name="LW_NOM.INST_JOINTDOC" w:val="&lt;EMPTY&gt;"/>
    <w:docVar w:name="LW_OBJETACTEPRINCIPAL.CP" w:val="&lt;FMT:Bold&gt;millega muudetakse määrust (EL) nr 1303/2013 seoses majanduskasvu ja tööhõivesse investeerimise eesmärgi raames ettenähtavate erakorraliste lisavahendite ja rakenduskorraga, et toetada COVID-19 pandeemiaga seotud kriisi tagajärgede kõrvaldamist ning ettevalmistuste tegemist majanduse taastamiseks rohelisel, digitaalsel ja vastupidaval viisil (REACT-EU)&lt;/FMT&gt;_x000d__x000b_"/>
    <w:docVar w:name="LW_PART_NBR" w:val="1"/>
    <w:docVar w:name="LW_PART_NBR_TOTAL" w:val="1"/>
    <w:docVar w:name="LW_REF.INST.NEW" w:val="COM"/>
    <w:docVar w:name="LW_REF.INST.NEW_ADOPTED" w:val="final"/>
    <w:docVar w:name="LW_REF.INST.NEW_TEXT" w:val="(2020) 45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LISA_x000b_"/>
    <w:docVar w:name="LW_TYPEACTEPRINCIPAL.CP" w:val="Ettepanek:_x000b__x000b_EUROOPA PARLAMENDI JA NÕUKOGU MÄÄRU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pPr>
    <w:rPr>
      <w:rFonts w:ascii="Times New Roman" w:eastAsia="Calibri" w:hAnsi="Times New Roman"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pPr>
      <w:ind w:left="720"/>
      <w:contextualSpacing/>
    </w:p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Pr>
      <w:rFonts w:ascii="Times New Roman" w:eastAsia="Calibri" w:hAnsi="Times New Roman" w:cs="Times New Roman"/>
      <w:sz w:val="24"/>
      <w:szCs w:val="20"/>
      <w:lang w:eastAsia="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rPr>
      <w:rFonts w:eastAsiaTheme="minorHAnsi"/>
      <w:szCs w:val="22"/>
      <w:lang w:eastAsia="en-US"/>
    </w:rPr>
  </w:style>
  <w:style w:type="paragraph" w:styleId="Header">
    <w:name w:val="header"/>
    <w:basedOn w:val="Normal"/>
    <w:link w:val="HeaderChar"/>
    <w:uiPriority w:val="99"/>
    <w:unhideWhenUsed/>
    <w:pPr>
      <w:tabs>
        <w:tab w:val="center" w:pos="4513"/>
        <w:tab w:val="right" w:pos="9026"/>
      </w:tabs>
      <w:spacing w:before="0" w:after="0"/>
    </w:pPr>
  </w:style>
  <w:style w:type="character" w:customStyle="1" w:styleId="HeaderChar">
    <w:name w:val="Header Char"/>
    <w:basedOn w:val="DefaultParagraphFont"/>
    <w:link w:val="Header"/>
    <w:uiPriority w:val="99"/>
    <w:rPr>
      <w:rFonts w:ascii="Times New Roman" w:eastAsia="Calibri" w:hAnsi="Times New Roman" w:cs="Times New Roman"/>
      <w:sz w:val="24"/>
      <w:szCs w:val="20"/>
      <w:lang w:eastAsia="en-GB"/>
    </w:rPr>
  </w:style>
  <w:style w:type="paragraph" w:styleId="Footer">
    <w:name w:val="footer"/>
    <w:basedOn w:val="Normal"/>
    <w:link w:val="FooterChar"/>
    <w:uiPriority w:val="99"/>
    <w:unhideWhenUsed/>
    <w:pPr>
      <w:tabs>
        <w:tab w:val="center" w:pos="4513"/>
        <w:tab w:val="right" w:pos="9026"/>
      </w:tabs>
      <w:spacing w:before="0" w:after="0"/>
    </w:pPr>
  </w:style>
  <w:style w:type="character" w:customStyle="1" w:styleId="FooterChar">
    <w:name w:val="Footer Char"/>
    <w:basedOn w:val="DefaultParagraphFont"/>
    <w:link w:val="Footer"/>
    <w:uiPriority w:val="99"/>
    <w:rPr>
      <w:rFonts w:ascii="Times New Roman" w:eastAsia="Calibri" w:hAnsi="Times New Roman" w:cs="Times New Roman"/>
      <w:sz w:val="24"/>
      <w:szCs w:val="20"/>
      <w:lang w:eastAsia="en-GB"/>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Calibri" w:hAnsi="Times New Roman" w:cs="Times New Roman"/>
      <w:sz w:val="24"/>
      <w:szCs w:val="20"/>
      <w:lang w:eastAsia="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Calibri" w:hAnsi="Times New Roman" w:cs="Times New Roman"/>
      <w:b/>
      <w:sz w:val="32"/>
      <w:szCs w:val="20"/>
      <w:lang w:eastAsia="en-GB"/>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eastAsia="Calibri" w:hAnsi="Times New Roman" w:cs="Times New Roman"/>
      <w:sz w:val="24"/>
      <w:szCs w:val="20"/>
      <w:lang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Calibri" w:hAnsi="Times New Roman" w:cs="Times New Roman"/>
      <w:b/>
      <w:sz w:val="32"/>
      <w:szCs w:val="20"/>
      <w:lang w:eastAsia="en-GB"/>
    </w:rPr>
  </w:style>
  <w:style w:type="paragraph" w:customStyle="1" w:styleId="HeaderSensitivityRight">
    <w:name w:val="Header Sensitivity Right"/>
    <w:basedOn w:val="Normal"/>
    <w:link w:val="HeaderSensitivityRightChar"/>
    <w:pPr>
      <w:spacing w:before="0"/>
      <w:jc w:val="right"/>
    </w:pPr>
    <w:rPr>
      <w:sz w:val="28"/>
    </w:rPr>
  </w:style>
  <w:style w:type="character" w:customStyle="1" w:styleId="HeaderSensitivityRightChar">
    <w:name w:val="Header Sensitivity Right Char"/>
    <w:basedOn w:val="DefaultParagraphFont"/>
    <w:link w:val="HeaderSensitivityRight"/>
    <w:rPr>
      <w:rFonts w:ascii="Times New Roman" w:eastAsia="Calibri" w:hAnsi="Times New Roman" w:cs="Times New Roman"/>
      <w:sz w:val="28"/>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pPr>
    <w:rPr>
      <w:rFonts w:ascii="Times New Roman" w:eastAsia="Calibri" w:hAnsi="Times New Roman"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pPr>
      <w:ind w:left="720"/>
      <w:contextualSpacing/>
    </w:p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Pr>
      <w:rFonts w:ascii="Times New Roman" w:eastAsia="Calibri" w:hAnsi="Times New Roman" w:cs="Times New Roman"/>
      <w:sz w:val="24"/>
      <w:szCs w:val="20"/>
      <w:lang w:eastAsia="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rPr>
      <w:rFonts w:eastAsiaTheme="minorHAnsi"/>
      <w:szCs w:val="22"/>
      <w:lang w:eastAsia="en-US"/>
    </w:rPr>
  </w:style>
  <w:style w:type="paragraph" w:styleId="Header">
    <w:name w:val="header"/>
    <w:basedOn w:val="Normal"/>
    <w:link w:val="HeaderChar"/>
    <w:uiPriority w:val="99"/>
    <w:unhideWhenUsed/>
    <w:pPr>
      <w:tabs>
        <w:tab w:val="center" w:pos="4513"/>
        <w:tab w:val="right" w:pos="9026"/>
      </w:tabs>
      <w:spacing w:before="0" w:after="0"/>
    </w:pPr>
  </w:style>
  <w:style w:type="character" w:customStyle="1" w:styleId="HeaderChar">
    <w:name w:val="Header Char"/>
    <w:basedOn w:val="DefaultParagraphFont"/>
    <w:link w:val="Header"/>
    <w:uiPriority w:val="99"/>
    <w:rPr>
      <w:rFonts w:ascii="Times New Roman" w:eastAsia="Calibri" w:hAnsi="Times New Roman" w:cs="Times New Roman"/>
      <w:sz w:val="24"/>
      <w:szCs w:val="20"/>
      <w:lang w:eastAsia="en-GB"/>
    </w:rPr>
  </w:style>
  <w:style w:type="paragraph" w:styleId="Footer">
    <w:name w:val="footer"/>
    <w:basedOn w:val="Normal"/>
    <w:link w:val="FooterChar"/>
    <w:uiPriority w:val="99"/>
    <w:unhideWhenUsed/>
    <w:pPr>
      <w:tabs>
        <w:tab w:val="center" w:pos="4513"/>
        <w:tab w:val="right" w:pos="9026"/>
      </w:tabs>
      <w:spacing w:before="0" w:after="0"/>
    </w:pPr>
  </w:style>
  <w:style w:type="character" w:customStyle="1" w:styleId="FooterChar">
    <w:name w:val="Footer Char"/>
    <w:basedOn w:val="DefaultParagraphFont"/>
    <w:link w:val="Footer"/>
    <w:uiPriority w:val="99"/>
    <w:rPr>
      <w:rFonts w:ascii="Times New Roman" w:eastAsia="Calibri" w:hAnsi="Times New Roman" w:cs="Times New Roman"/>
      <w:sz w:val="24"/>
      <w:szCs w:val="20"/>
      <w:lang w:eastAsia="en-GB"/>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Calibri" w:hAnsi="Times New Roman" w:cs="Times New Roman"/>
      <w:sz w:val="24"/>
      <w:szCs w:val="20"/>
      <w:lang w:eastAsia="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Calibri" w:hAnsi="Times New Roman" w:cs="Times New Roman"/>
      <w:b/>
      <w:sz w:val="32"/>
      <w:szCs w:val="20"/>
      <w:lang w:eastAsia="en-GB"/>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eastAsia="Calibri" w:hAnsi="Times New Roman" w:cs="Times New Roman"/>
      <w:sz w:val="24"/>
      <w:szCs w:val="20"/>
      <w:lang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Calibri" w:hAnsi="Times New Roman" w:cs="Times New Roman"/>
      <w:b/>
      <w:sz w:val="32"/>
      <w:szCs w:val="20"/>
      <w:lang w:eastAsia="en-GB"/>
    </w:rPr>
  </w:style>
  <w:style w:type="paragraph" w:customStyle="1" w:styleId="HeaderSensitivityRight">
    <w:name w:val="Header Sensitivity Right"/>
    <w:basedOn w:val="Normal"/>
    <w:link w:val="HeaderSensitivityRightChar"/>
    <w:pPr>
      <w:spacing w:before="0"/>
      <w:jc w:val="right"/>
    </w:pPr>
    <w:rPr>
      <w:sz w:val="28"/>
    </w:rPr>
  </w:style>
  <w:style w:type="character" w:customStyle="1" w:styleId="HeaderSensitivityRightChar">
    <w:name w:val="Header Sensitivity Right Char"/>
    <w:basedOn w:val="DefaultParagraphFont"/>
    <w:link w:val="HeaderSensitivityRight"/>
    <w:rPr>
      <w:rFonts w:ascii="Times New Roman" w:eastAsia="Calibri" w:hAnsi="Times New Roman" w:cs="Times New Roman"/>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D847-0FAB-4A05-A853-FEDB8858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605</Words>
  <Characters>4310</Characters>
  <Application>Microsoft Office Word</Application>
  <DocSecurity>0</DocSecurity>
  <Lines>75</Lines>
  <Paragraphs>35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JUHASZ Tamas (REGIO)</dc:creator>
  <cp:keywords/>
  <dc:description/>
  <cp:lastModifiedBy>DIGIT/C6</cp:lastModifiedBy>
  <cp:revision>10</cp:revision>
  <dcterms:created xsi:type="dcterms:W3CDTF">2020-05-27T14:45:00Z</dcterms:created>
  <dcterms:modified xsi:type="dcterms:W3CDTF">2020-06-03T06:49:00Z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CP-036</vt:lpwstr>
  </property>
  <property fmtid="{D5CDD505-2E9C-101B-9397-08002B2CF9AE}" pid="10" name="Last edited using">
    <vt:lpwstr>LW 7.0, Build 20190717</vt:lpwstr>
  </property>
  <property fmtid="{D5CDD505-2E9C-101B-9397-08002B2CF9AE}" pid="11" name="Created using">
    <vt:lpwstr>LW 7.0.1, Build 20190916</vt:lpwstr>
  </property>
</Properties>
</file>