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3B6D6C0-2532-4079-8C85-749115241997" style="width:450.7pt;height:333.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RAPORT AL COMISIEI</w:t>
      </w:r>
    </w:p>
    <w:p>
      <w:pPr>
        <w:pStyle w:val="Titreobjet"/>
        <w:rPr>
          <w:noProof/>
        </w:rPr>
      </w:pPr>
      <w:r>
        <w:rPr>
          <w:noProof/>
        </w:rPr>
        <w:t>Austria</w:t>
      </w:r>
      <w:r>
        <w:rPr>
          <w:noProof/>
        </w:rPr>
        <w:br/>
      </w:r>
      <w:r>
        <w:rPr>
          <w:noProof/>
        </w:rPr>
        <w:br/>
        <w:t>Raport elaborat în conformitate cu articolul 126 alineatul (3) din Tratatul privind funcționarea Uniunii Europene</w:t>
      </w:r>
    </w:p>
    <w:p>
      <w:pPr>
        <w:pStyle w:val="Sous-titreobjet"/>
        <w:jc w:val="left"/>
        <w:rPr>
          <w:noProof/>
        </w:rPr>
      </w:pPr>
    </w:p>
    <w:p>
      <w:pPr>
        <w:pStyle w:val="Sous-titreobjet"/>
        <w:jc w:val="left"/>
        <w:rPr>
          <w:noProof/>
        </w:rPr>
      </w:pPr>
    </w:p>
    <w:p>
      <w:pPr>
        <w:pStyle w:val="Sous-titreobjet"/>
        <w:jc w:val="left"/>
        <w:rPr>
          <w:noProof/>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Introducere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La 20 martie 2020, Comisia a adoptat o comunicare privind activarea clauzei derogatorii generale a Pactului de stabilitate și de creștere. Clauza, astfel cum se prevede la articolul 5 alineatul (1), la articolul 6 alineatul (3), la articolul 9 alineatul (1) și la articolul 10 alineatul (3) din Regulamentul (CE) nr. 1466/97, precum și la articolul 3 alineatul (5) și la articolul 5 alineatul (2) din Regulamentul (CE) nr. 1467/97, facilitează coordonarea politicilor bugetare în perioade de recesiune economică gravă. În comunicarea sa, Comisia a împărtășit opinia Consiliului potrivit căreia condițiile actuale permit activarea clauzei, dată fiind recesiunea economică gravă preconizată ca urmare a pandemiei de COVID-19. La 23 martie 2020, miniștrii de finanțe ai statelor membre și-au exprimat acordul cu evaluarea Comisiei. Activarea clauzei derogatorii generale permite o deviere temporară de la traiectoria de ajustare în vederea atingerii obiectivului bugetar pe termen mediu, cu condiția ca acest lucru să nu pună în pericol sustenabilitatea bugetară pe termen mediu. În ceea ce privește componenta corectivă, Consiliul poate de asemenea decide, pe baza unei recomandări a Comisiei, să adopte o traiectorie bugetară revizuită. Clauza derogatorie generală nu suspendă procedurile Pactului de stabilitate și de creștere. Ea permite statelor membre să se abată de la cerințele bugetare care s-ar aplica în mod normal, permițând în același timp Comisiei și Consiliului să ia măsurile necesare de coordonare a politicilor în cadrul pactului.</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Datele notificate de autoritățile austriece la 31 martie 2020 și validate ulterior de Eurostat</w:t>
      </w:r>
      <w:r>
        <w:rPr>
          <w:rStyle w:val="FootnoteReference"/>
          <w:rFonts w:eastAsiaTheme="minorHAnsi"/>
          <w:noProof/>
          <w:sz w:val="24"/>
          <w:szCs w:val="24"/>
        </w:rPr>
        <w:footnoteReference w:id="2"/>
      </w:r>
      <w:r>
        <w:rPr>
          <w:rFonts w:ascii="Times New Roman" w:hAnsi="Times New Roman"/>
          <w:noProof/>
          <w:sz w:val="24"/>
          <w:szCs w:val="24"/>
        </w:rPr>
        <w:t xml:space="preserve"> indică faptul că soldul bugetului general al Austriei a atins 0,7 % din PIB în 2019, în timp ce datoria publică brută a reprezentat 70,4 % din PIB. Conform programului de stabilitate, Austria planifică un deficit de 8,0 % din PIB în 2020, în timp ce datoria este planificată să atingă 81,4 % din PIB.</w:t>
      </w:r>
      <w:r>
        <w:rPr>
          <w:rStyle w:val="FootnoteReference"/>
          <w:rFonts w:eastAsiaTheme="minorHAnsi"/>
          <w:noProof/>
          <w:sz w:val="24"/>
          <w:szCs w:val="24"/>
        </w:rPr>
        <w:footnoteReference w:id="3"/>
      </w:r>
      <w:r>
        <w:rPr>
          <w:rFonts w:ascii="Times New Roman" w:hAnsi="Times New Roman" w:cs="Times New Roman"/>
          <w:noProof/>
          <w:sz w:val="24"/>
        </w:rPr>
        <w:t>.</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Deficitul planificat pentru 2020 furnizează elemente de probă </w:t>
      </w:r>
      <w:r>
        <w:rPr>
          <w:rFonts w:ascii="Times New Roman" w:hAnsi="Times New Roman"/>
          <w:i/>
          <w:noProof/>
          <w:sz w:val="24"/>
          <w:szCs w:val="24"/>
        </w:rPr>
        <w:t>prima facie</w:t>
      </w:r>
      <w:r>
        <w:rPr>
          <w:rFonts w:ascii="Times New Roman" w:hAnsi="Times New Roman"/>
          <w:noProof/>
          <w:sz w:val="24"/>
          <w:szCs w:val="24"/>
        </w:rPr>
        <w:t xml:space="preserve"> privind existența unui deficit excesiv, așa cum este definit el în Pactul de stabilitate și de creștere.</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În acest context, Comisia a pregătit deci prezentul raport, care analizează respectarea de către Austria a criteriilor deficitului și datoriei, prevăzute de tratat. Raportul ține cont de toți </w:t>
      </w:r>
      <w:r>
        <w:rPr>
          <w:rFonts w:ascii="Times New Roman" w:hAnsi="Times New Roman"/>
          <w:noProof/>
          <w:sz w:val="24"/>
          <w:szCs w:val="24"/>
        </w:rPr>
        <w:lastRenderedPageBreak/>
        <w:t xml:space="preserve">factorii relevanți și ia în considerare, în mod corespunzător, șocul economic major legat de pandemia de COVID-19.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Tabelul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Deficitul public și datoria publică (% din PIB) </w:t>
      </w:r>
    </w:p>
    <w:tbl>
      <w:tblPr>
        <w:tblStyle w:val="TableGrid"/>
        <w:tblW w:w="0" w:type="auto"/>
        <w:jc w:val="center"/>
        <w:tblLook w:val="04A0" w:firstRow="1" w:lastRow="0" w:firstColumn="1" w:lastColumn="0" w:noHBand="0" w:noVBand="1"/>
      </w:tblPr>
      <w:tblGrid>
        <w:gridCol w:w="1154"/>
        <w:gridCol w:w="1172"/>
        <w:gridCol w:w="1152"/>
        <w:gridCol w:w="1152"/>
        <w:gridCol w:w="1152"/>
        <w:gridCol w:w="1152"/>
        <w:gridCol w:w="1154"/>
        <w:gridCol w:w="1154"/>
      </w:tblGrid>
      <w:tr>
        <w:trPr>
          <w:trHeight w:val="603"/>
          <w:jc w:val="center"/>
        </w:trPr>
        <w:tc>
          <w:tcPr>
            <w:tcW w:w="1154" w:type="dxa"/>
            <w:vAlign w:val="center"/>
          </w:tcPr>
          <w:p>
            <w:pPr>
              <w:keepNext/>
              <w:jc w:val="center"/>
              <w:rPr>
                <w:rFonts w:ascii="Times New Roman" w:eastAsia="Times New Roman" w:hAnsi="Times New Roman" w:cs="Calibri"/>
                <w:noProof/>
                <w:sz w:val="20"/>
                <w:szCs w:val="20"/>
                <w:lang w:eastAsia="en-GB"/>
              </w:rPr>
            </w:pPr>
          </w:p>
        </w:tc>
        <w:tc>
          <w:tcPr>
            <w:tcW w:w="1172" w:type="dxa"/>
            <w:vAlign w:val="center"/>
          </w:tcPr>
          <w:p>
            <w:pPr>
              <w:keepNext/>
              <w:jc w:val="center"/>
              <w:rPr>
                <w:rFonts w:ascii="Times New Roman" w:eastAsia="Times New Roman" w:hAnsi="Times New Roman" w:cs="Calibri"/>
                <w:noProof/>
                <w:sz w:val="20"/>
                <w:szCs w:val="20"/>
                <w:lang w:eastAsia="en-GB"/>
              </w:rPr>
            </w:pP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rPr>
          <w:jc w:val="center"/>
        </w:trPr>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Criteriul deficitului</w:t>
            </w:r>
          </w:p>
        </w:tc>
        <w:tc>
          <w:tcPr>
            <w:tcW w:w="117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 xml:space="preserve">Soldul bugetului general </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-1,5</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-6,1</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-1,9</w:t>
            </w:r>
          </w:p>
        </w:tc>
      </w:tr>
      <w:tr>
        <w:trPr>
          <w:jc w:val="center"/>
        </w:trPr>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Criteriul datoriei</w:t>
            </w:r>
          </w:p>
        </w:tc>
        <w:tc>
          <w:tcPr>
            <w:tcW w:w="117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Datoria publică brută</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82,9</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78,3</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74,0</w:t>
            </w:r>
          </w:p>
        </w:tc>
        <w:tc>
          <w:tcPr>
            <w:tcW w:w="1152"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70,4</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78,8</w:t>
            </w:r>
          </w:p>
        </w:tc>
        <w:tc>
          <w:tcPr>
            <w:tcW w:w="1154" w:type="dxa"/>
            <w:vAlign w:val="center"/>
          </w:tcPr>
          <w:p>
            <w:pPr>
              <w:keepNext/>
              <w:jc w:val="center"/>
              <w:rPr>
                <w:rFonts w:ascii="Times New Roman" w:eastAsia="Times New Roman" w:hAnsi="Times New Roman" w:cs="Calibri"/>
                <w:noProof/>
                <w:sz w:val="20"/>
                <w:szCs w:val="20"/>
              </w:rPr>
            </w:pPr>
            <w:r>
              <w:rPr>
                <w:rFonts w:ascii="Times New Roman" w:hAnsi="Times New Roman"/>
                <w:noProof/>
                <w:sz w:val="20"/>
                <w:szCs w:val="20"/>
              </w:rPr>
              <w:t>75,8</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Sursa: Eurostat, previziunile Comisiei din primăvara anului 2020.</w:t>
      </w:r>
    </w:p>
    <w:p>
      <w:pPr>
        <w:autoSpaceDE w:val="0"/>
        <w:autoSpaceDN w:val="0"/>
        <w:adjustRightInd w:val="0"/>
        <w:spacing w:before="120" w:after="0" w:line="240" w:lineRule="auto"/>
        <w:jc w:val="both"/>
        <w:rPr>
          <w:rFonts w:ascii="Times New Roman" w:eastAsia="Times New Roman" w:hAnsi="Times New Roman" w:cs="Calibri"/>
          <w:noProof/>
          <w:sz w:val="24"/>
          <w:szCs w:val="24"/>
          <w:lang w:eastAsia="en-GB"/>
        </w:rPr>
      </w:pPr>
    </w:p>
    <w:p>
      <w:pPr>
        <w:pStyle w:val="ManualHeading1"/>
        <w:rPr>
          <w:noProof/>
        </w:rPr>
      </w:pPr>
      <w:r>
        <w:rPr>
          <w:smallCaps w:val="0"/>
          <w:noProof/>
        </w:rPr>
        <w:t>2.</w:t>
      </w:r>
      <w:r>
        <w:rPr>
          <w:noProof/>
        </w:rPr>
        <w:tab/>
        <w:t xml:space="preserve">Criteriul deficitului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Pe baza actualizării tehnice a programului de stabilitate, deficitul public al Austriei este planificat să atingă 8,0 % din PIB în 2020, acesta depășind și nerămânând apropiat de valoarea de referință de 3 % din PIB, prevăzută în tratat.</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Depășirea planificată pentru 2020 a valorii de referință prevăzute de tratat este excepțională, deoarece rezultă dintr-o recesiune economică gravă. Ținând cont de impactul pandemiei de COVID-19, previziunile Comisiei din primăvara anului 2020 estimează o contracție de 5,5 % a PIB-ului real în 2020.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Depășirea planificată a valorii de referință prevăzute de tratat ar urma să fie temporară, pe baza previziunilor Comisiei din primăvara anului 2020, care estimează că deficitul public va scădea sub 3 % din PIB în 2021. Cu toate acestea, previziunile respective prezintă un grad de incertitudine excepțional de ridicat.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În concluzie, deficitul planificat pentru 2020 depășește și nu rămâne apropiat de valoarea de referință de 3 % din PIB, prevăzută de tratat. Depășirea planificată este considerată a fi excepțională, în conformitate cu definiția din Pactul de stabilitate și de creștere, în timp ce natura depășirii este considerată, în prezent, temporară. Prin urmare,</w:t>
      </w:r>
      <w:r>
        <w:rPr>
          <w:rFonts w:ascii="Times New Roman" w:hAnsi="Times New Roman"/>
          <w:bCs/>
          <w:noProof/>
          <w:sz w:val="24"/>
        </w:rPr>
        <w:t xml:space="preserve"> analiza sugerează, </w:t>
      </w:r>
      <w:r>
        <w:rPr>
          <w:rFonts w:ascii="Times New Roman" w:hAnsi="Times New Roman"/>
          <w:bCs/>
          <w:i/>
          <w:noProof/>
          <w:sz w:val="24"/>
        </w:rPr>
        <w:t>prima facie</w:t>
      </w:r>
      <w:r>
        <w:rPr>
          <w:rFonts w:ascii="Times New Roman" w:hAnsi="Times New Roman"/>
          <w:noProof/>
          <w:sz w:val="24"/>
          <w:szCs w:val="24"/>
        </w:rPr>
        <w:t>, că criteriul deficitului, astfel cum este definit în tratat și în Regulamentul (CE) nr. 1467/97, nu este îndeplinit.</w:t>
      </w:r>
    </w:p>
    <w:p>
      <w:pPr>
        <w:pStyle w:val="ManualHeading1"/>
        <w:rPr>
          <w:noProof/>
        </w:rPr>
      </w:pPr>
      <w:r>
        <w:rPr>
          <w:noProof/>
        </w:rPr>
        <w:t>3.</w:t>
      </w:r>
      <w:r>
        <w:rPr>
          <w:noProof/>
        </w:rPr>
        <w:tab/>
        <w:t xml:space="preserve">Criteriul datoriei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Ponderea datoriei publice în PIB a scăzut de la 74,0 % în 2018 la 70,4 % în 2019. Această scădere este determinată în principal de o îmbunătățire a soldului primar și este favorizată de ajustările stoc-flux rezultate din cesionarea activelor depreciate ale băncilor rele, incluse în conturile publice.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Datele notificate indică faptul că Austria a respectat criteriul de referință privind reducerea datoriei în 2019, întrucât decalajul față de acesta este de -6,1 % din PIB.</w:t>
      </w:r>
    </w:p>
    <w:p>
      <w:pPr>
        <w:pStyle w:val="ListDash"/>
        <w:numPr>
          <w:ilvl w:val="0"/>
          <w:numId w:val="0"/>
        </w:numPr>
        <w:rPr>
          <w:noProof/>
        </w:rPr>
      </w:pPr>
      <w:r>
        <w:rPr>
          <w:noProof/>
        </w:rPr>
        <w:t>Analiza sugerează, astfel, că criteriul datoriei este îndeplinit pe baza datelor din 2019 privind execuția bugetară.</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 xml:space="preserve">Factori relevanți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Articolul 126 alineatul (3) din tratat prevede că, în cazul în care un stat membru nu îndeplinește cerințele acestor criterii sau ale unuia dintre ele, Comisia trebuie să elaboreze un raport. De asemenea, raportul trebuie să examineze „dacă deficitul public depășește cheltuielile publice de investiții și ține seama de toți ceilalți factori relevanți, inclusiv de poziția economică și bugetară pe termen mediu a statului membru”.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Acești factori sunt clarificați mai amănunțit la articolul 2 alineatul (3) din Regulamentul (CE) nr. 1467/97, care prevede, de asemenea, că „orice alți factori care, în opinia statului membru în cauză, sunt relevanți pentru evaluarea globală a respectării criteriilor privind deficitul și datoria și pe care statul membru i-a prezentat Consiliului și Comisiei” trebuie să fie luați în considerare în mod adecvat.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szCs w:val="24"/>
        </w:rPr>
        <w:t>În conformitate</w:t>
      </w:r>
      <w:r>
        <w:rPr>
          <w:rFonts w:ascii="Times New Roman" w:hAnsi="Times New Roman"/>
          <w:noProof/>
          <w:sz w:val="24"/>
        </w:rPr>
        <w:t xml:space="preserve"> cu articolul 2 alineatul (4) din Regulamentul (CE) nr. 1467/97, în ceea ce privește respectarea criteriului privind deficitul în 2020, întrucât ponderea datoriei publice în PIB depășește valoarea de referință de 60 %, iar dubla condiție nu este îndeplinită – și anume aceea ca deficitul să rămână apropiat de valoarea de referință și ca depășirea valorii de referință să fie temporară – respectivii factori relevanți nu pot fi luați în considerare în etapele care conduc la adoptarea deciziei privind existența unui deficit excesiv pe baza criteriului deficitului pentru Austria.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În situația actuală, un factor suplimentar-cheie care trebuie luat în considerare în ceea ce privește anul 2020 este impactul economic al pandemiei de COVID-19, care afectează în mod substanțial situația bugetară și are drept rezultat o perspectivă foarte nesigură. Pandemia a condus, de asemenea, la activarea clauzei derogatorii generale.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4.1.</w:t>
      </w:r>
      <w:r>
        <w:rPr>
          <w:noProof/>
        </w:rPr>
        <w:tab/>
      </w:r>
      <w:r>
        <w:rPr>
          <w:noProof/>
        </w:rPr>
        <w:tab/>
      </w:r>
      <w:r>
        <w:rPr>
          <w:rFonts w:ascii="Times New Roman" w:hAnsi="Times New Roman"/>
          <w:b/>
          <w:noProof/>
          <w:sz w:val="24"/>
        </w:rPr>
        <w:t xml:space="preserve">Pandemia de COVID-19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rPr>
        <w:t>Pandemia de COVID-19 a condus la un șoc economic major, care are un impact negativ semnificativ în întreaga Uniune Europeană. Consecințele asupra creșterii PIB-ului vor depinde atât de durata pandemiei, cât și de durata măsurilor luate de autoritățile naționale și a măsurilor luate la nivel european și mondial pentru a încetini răspândirea acesteia, pentru a proteja capacitățile de producție și pentru a sprijini cererea agregată. Statele</w:t>
      </w:r>
      <w:r>
        <w:rPr>
          <w:rFonts w:ascii="Times New Roman" w:hAnsi="Times New Roman"/>
          <w:noProof/>
          <w:sz w:val="24"/>
          <w:szCs w:val="24"/>
        </w:rPr>
        <w:t xml:space="preserve"> membre au adoptat deja sau sunt pe cale de a adopta măsuri bugetare vizând sporirea capacității sistemelor de sănătate și sprijinirea persoanelor și a sectoarelor celor mai afectate. Au fost adoptate, de asemenea, măsuri semnificative de sprijinire a lichidității și alte garanții. Sub rezerva primirii unor informații mai detaliate, autoritățile competente în materie de statistică trebuie să determine dacă măsurile respective au sau nu un impact imediat asupra soldului bugetului general. Împreună cu reducerea drastică a activității economice, aceste măsuri vor contribui la creșterea substanțială a pozițiilor deficitului public și datoriei.</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4.2</w:t>
      </w:r>
      <w:r>
        <w:rPr>
          <w:noProof/>
        </w:rPr>
        <w:tab/>
      </w:r>
      <w:r>
        <w:rPr>
          <w:rFonts w:ascii="Times New Roman" w:hAnsi="Times New Roman"/>
          <w:b/>
          <w:noProof/>
          <w:sz w:val="24"/>
        </w:rPr>
        <w:t xml:space="preserve">Situația economică pe termen mediu </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szCs w:val="24"/>
        </w:rPr>
        <w:t xml:space="preserve">Pandemia de COVID-19 afectează puternic perspectivele de creștere ale Austriei. Fiind o economie mică și deschisă, evoluțiile din economia Austriei sunt strâns legate de evoluțiile din economiile principalilor săi parteneri comerciali. În consecință, măsurile de limitare a răspândirii virusului și perturbările aferente din lanțul de aprovizionare au afectat economia atât pe partea de cerere, cât și pe partea de ofertă, conducând la o încetinire generală. </w:t>
      </w:r>
      <w:r>
        <w:rPr>
          <w:rFonts w:ascii="Times New Roman" w:hAnsi="Times New Roman"/>
          <w:noProof/>
          <w:sz w:val="24"/>
        </w:rPr>
        <w:t>Sectoarele legate de turism sunt afectate în mod deosebit, din cauza restricțiilor de călătorie internaționale.</w:t>
      </w:r>
      <w:r>
        <w:rPr>
          <w:rFonts w:ascii="Times New Roman" w:hAnsi="Times New Roman"/>
          <w:bCs/>
          <w:noProof/>
          <w:sz w:val="24"/>
        </w:rPr>
        <w:t xml:space="preserve"> Cu toate acestea, având în vedere scăderea relativ rapidă a numărului noilor infecții, Austria a fost unul dintre primele state membre care au anunțat o relaxare progresivă a măsurilor de izolare începând cu jumătatea lunii aprilie. Prin urmare, conform estimărilor, contracția din prima jumătate a anului ar urma să fie oarecum mai puțin gravă decât în alte state membre din zona euro. În ceea ce privește PIB-ul real, previziunile Comisiei din primăvara anului 2020 estimează, pentru anul curent, o scădere cu 5,5 % care va fi extinsă și va afecta în special cererea internă și exporturile de servicii. Acesta este un factor atenuant în evaluarea respectării de către statul membru a criteriului deficitului în 2020. În ipoteza unei normalizări progresive, se preconizează o revenire a creșterii PIB-ului în a doua jumătate a anului, urmată de o redresare solidă de 5,0 % în 2021.</w:t>
      </w:r>
      <w:r>
        <w:rPr>
          <w:rFonts w:ascii="Times New Roman" w:hAnsi="Times New Roman" w:cs="Times New Roman"/>
          <w:noProof/>
          <w:sz w:val="24"/>
        </w:rPr>
        <w:t xml:space="preserve"> </w:t>
      </w:r>
      <w:r>
        <w:rPr>
          <w:rFonts w:ascii="Times New Roman" w:hAnsi="Times New Roman"/>
          <w:bCs/>
          <w:noProof/>
          <w:sz w:val="24"/>
        </w:rPr>
        <w:t>Perspectiva macroeconomică este marcată de un grad excepțional de incertitudine legat de durata pandemiei de COVID-19 și de impactul economic rezultat în urma acesteia.</w:t>
      </w:r>
    </w:p>
    <w:p>
      <w:pPr>
        <w:spacing w:before="120" w:after="120" w:line="240" w:lineRule="auto"/>
        <w:jc w:val="both"/>
        <w:rPr>
          <w:rFonts w:ascii="Times New Roman" w:eastAsia="Times New Roman" w:hAnsi="Times New Roman" w:cs="Calibri"/>
          <w:bCs/>
          <w:noProof/>
          <w:sz w:val="24"/>
          <w:lang w:eastAsia="en-GB"/>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4.3</w:t>
      </w:r>
      <w:r>
        <w:rPr>
          <w:noProof/>
        </w:rPr>
        <w:tab/>
      </w:r>
      <w:r>
        <w:rPr>
          <w:rFonts w:ascii="Times New Roman" w:hAnsi="Times New Roman"/>
          <w:b/>
          <w:noProof/>
          <w:sz w:val="24"/>
          <w:szCs w:val="24"/>
        </w:rPr>
        <w:t>Poziția bugetară pe termen mediu</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Ținând cont de datele privind execuția bugetară și de previziunile Comisiei, Austria și-a respectat obiectivul bugetar pe termen mediu în 2019.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În conformitate cu programul de stabilitate, atenuarea efectelor socioeconomice ale pandemiei este de importanță primordială pentru gestionarea crizei și determină în mare măsură evoluția bugetară. Guvernul federal a lansat un pachet cuprinzător de măsuri de ajutor în valoare de 38 de miliarde EUR (aproximativ 9,9 % din PIB).</w:t>
      </w:r>
      <w:r>
        <w:rPr>
          <w:rFonts w:ascii="Times New Roman" w:hAnsi="Times New Roman" w:cs="Times New Roman"/>
          <w:noProof/>
          <w:sz w:val="24"/>
        </w:rPr>
        <w:t xml:space="preserve"> </w:t>
      </w:r>
      <w:r>
        <w:rPr>
          <w:rFonts w:ascii="Times New Roman" w:hAnsi="Times New Roman"/>
          <w:bCs/>
          <w:noProof/>
          <w:sz w:val="24"/>
        </w:rPr>
        <w:t xml:space="preserve">Obiectivul principal al acestui „pachet de măsuri de ajutor Corona” este asigurarea furnizării de asistență medicală, garantarea locurilor de muncă și menținerea poziției Austriei ca spațiu de afaceri. Pachetul constă în ajutor imediat pentru IMM-uri, o creștere a cheltuielilor publice destinate asistenței medicale și politicii sociale, furnizarea directă de lichidități și de sprijin financiar pentru societățile aflate în dificultate, fonduri pentru șomajul tehnic și amânări ale plății impozitelor. În plus, impactul bugetar al unor ulterioare măsuri de revitalizare a economiei nu este încă inclus în previziuni. </w:t>
      </w:r>
    </w:p>
    <w:p>
      <w:pPr>
        <w:spacing w:before="120" w:after="120" w:line="240" w:lineRule="auto"/>
        <w:jc w:val="both"/>
        <w:rPr>
          <w:rFonts w:ascii="Times New Roman" w:eastAsia="Times New Roman" w:hAnsi="Times New Roman" w:cs="Calibri"/>
          <w:bCs/>
          <w:noProof/>
          <w:sz w:val="24"/>
          <w:lang w:eastAsia="en-GB"/>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4.4.</w:t>
      </w:r>
      <w:r>
        <w:rPr>
          <w:noProof/>
        </w:rPr>
        <w:tab/>
      </w:r>
      <w:r>
        <w:rPr>
          <w:rFonts w:ascii="Times New Roman" w:hAnsi="Times New Roman"/>
          <w:b/>
          <w:noProof/>
          <w:sz w:val="24"/>
        </w:rPr>
        <w:t xml:space="preserve">Situația datoriei publice pe termen mediu </w:t>
      </w:r>
    </w:p>
    <w:p>
      <w:pPr>
        <w:spacing w:before="120" w:after="120" w:line="240" w:lineRule="auto"/>
        <w:jc w:val="both"/>
        <w:rPr>
          <w:rFonts w:ascii="Times New Roman" w:eastAsia="Times New Roman" w:hAnsi="Times New Roman" w:cs="Times New Roman"/>
          <w:iCs/>
          <w:noProof/>
          <w:sz w:val="24"/>
        </w:rPr>
      </w:pPr>
      <w:r>
        <w:rPr>
          <w:rFonts w:ascii="Times New Roman" w:hAnsi="Times New Roman"/>
          <w:noProof/>
          <w:sz w:val="24"/>
        </w:rPr>
        <w:t xml:space="preserve">Potrivit previziunilor Comisiei din primăvara anului 2020, se preconizează că datoria publică va crește de la 70,4 % din PIB în 2019 la 78,8 % din PIB în 2020. </w:t>
      </w:r>
      <w:r>
        <w:rPr>
          <w:rFonts w:ascii="Times New Roman" w:hAnsi="Times New Roman"/>
          <w:iCs/>
          <w:noProof/>
          <w:sz w:val="24"/>
        </w:rPr>
        <w:t>Analiza sustenabilității datoriei a fost actualizată pe baza acestor previziuni. Analiza confirmă faptul că, în pofida riscurilor, poziția debitoare a Austriei rămâne sustenabilă pe termen mediu, ținând cont și de existența unor factori atenuanți importanți (inclusiv profilul datoriei și nivelul scăzut istoric al ratelor dobânzii). În particular, deși poziția datoriei publice se deteriorează ca urmare a crizei COVID-19, se preconizează că ponderea datoriei în scenariul de referință se va înscrie pe o traiectorie sustenabilă (descendentă) pe termen mediu (graficul 1).</w:t>
      </w:r>
      <w:r>
        <w:rPr>
          <w:rStyle w:val="FootnoteReference"/>
          <w:rFonts w:eastAsiaTheme="minorHAnsi"/>
          <w:iCs/>
          <w:noProof/>
          <w:sz w:val="24"/>
          <w:szCs w:val="24"/>
        </w:rPr>
        <w:footnoteReference w:id="4"/>
      </w:r>
      <w:r>
        <w:rPr>
          <w:rFonts w:ascii="Times New Roman" w:hAnsi="Times New Roman" w:cs="Times New Roman"/>
          <w:noProof/>
          <w:sz w:val="24"/>
        </w:rPr>
        <w:t>.</w:t>
      </w:r>
    </w:p>
    <w:p>
      <w:pPr>
        <w:spacing w:before="120" w:after="120" w:line="240" w:lineRule="auto"/>
        <w:jc w:val="both"/>
        <w:rPr>
          <w:rFonts w:ascii="Times New Roman" w:eastAsia="Times New Roman" w:hAnsi="Times New Roman" w:cs="Times New Roman"/>
          <w:iCs/>
          <w:noProof/>
          <w:sz w:val="24"/>
          <w:lang w:eastAsia="en-GB"/>
        </w:rPr>
      </w:pP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Graficul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Ponderea datoriei publice în PIB, Austria, procente din PIB</w:t>
      </w:r>
    </w:p>
    <w:p>
      <w:pPr>
        <w:spacing w:before="120" w:after="120" w:line="240" w:lineRule="auto"/>
        <w:jc w:val="center"/>
        <w:rPr>
          <w:rFonts w:ascii="Times New Roman" w:eastAsia="Times New Roman" w:hAnsi="Times New Roman" w:cs="Times New Roman"/>
          <w:iCs/>
          <w:noProof/>
          <w:sz w:val="24"/>
        </w:rPr>
      </w:pPr>
      <w:r>
        <w:rPr>
          <w:rFonts w:ascii="Times New Roman" w:eastAsia="Times New Roman" w:hAnsi="Times New Roman" w:cs="Times New Roman"/>
          <w:iCs/>
          <w:noProof/>
          <w:sz w:val="24"/>
          <w:lang w:val="en-GB" w:eastAsia="en-GB"/>
        </w:rPr>
        <w:drawing>
          <wp:inline distT="0" distB="0" distL="0" distR="0">
            <wp:extent cx="5707682" cy="313255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865" cy="3145824"/>
                    </a:xfrm>
                    <a:prstGeom prst="rect">
                      <a:avLst/>
                    </a:prstGeom>
                    <a:noFill/>
                  </pic:spPr>
                </pic:pic>
              </a:graphicData>
            </a:graphic>
          </wp:inline>
        </w:drawing>
      </w:r>
    </w:p>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Sursa: serviciile Comisiei.</w:t>
      </w:r>
    </w:p>
    <w:p>
      <w:pPr>
        <w:spacing w:before="120" w:after="120" w:line="240" w:lineRule="auto"/>
        <w:jc w:val="center"/>
        <w:rPr>
          <w:rFonts w:ascii="Times New Roman" w:eastAsia="Times New Roman" w:hAnsi="Times New Roman" w:cs="Times New Roman"/>
          <w:iCs/>
          <w:noProof/>
          <w:sz w:val="24"/>
          <w:lang w:eastAsia="en-GB"/>
        </w:rPr>
      </w:pPr>
    </w:p>
    <w:p>
      <w:pPr>
        <w:spacing w:before="120" w:after="120" w:line="240" w:lineRule="auto"/>
        <w:jc w:val="both"/>
        <w:rPr>
          <w:rFonts w:ascii="Times New Roman" w:eastAsia="Times New Roman" w:hAnsi="Times New Roman" w:cs="Times New Roman"/>
          <w:b/>
          <w:noProof/>
          <w:sz w:val="24"/>
          <w:lang w:eastAsia="en-GB"/>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 xml:space="preserve">Alți factori prezentați de statul membru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La 11 mai 2020, autoritățile austriece au transmis o scrisoare conținând factori relevanți în conformitate cu articolul 2 alineatul (3) din Regulamentul (CE) nr. 1467/97. Analiza prezentată în secțiunile anterioare acoperă deja, în linii mari, factorii-cheie prezentați de autorități. Factorii suplimentari nemenționați mai sus constituie măsuri de revitalizare a economiei, pe care autoritățile le planifică împreună cu partenerii sociali. În ceea ce privește măsurile menționate în actualizarea tehnică a programului de stabilitate, principiul director al programului de redresare anunțat este menținerea potențialului de producție al economiei austriece. </w:t>
      </w:r>
    </w:p>
    <w:p>
      <w:pPr>
        <w:spacing w:before="120" w:after="120" w:line="240" w:lineRule="auto"/>
        <w:jc w:val="both"/>
        <w:rPr>
          <w:rFonts w:ascii="Times New Roman" w:eastAsia="Times New Roman" w:hAnsi="Times New Roman" w:cs="Calibri"/>
          <w:bCs/>
          <w:noProof/>
          <w:sz w:val="24"/>
          <w:lang w:eastAsia="en-GB"/>
        </w:rPr>
      </w:pP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5.</w:t>
      </w:r>
      <w:r>
        <w:rPr>
          <w:noProof/>
        </w:rPr>
        <w:tab/>
      </w:r>
      <w:r>
        <w:rPr>
          <w:rFonts w:ascii="Times New Roman" w:hAnsi="Times New Roman"/>
          <w:b/>
          <w:smallCaps/>
          <w:noProof/>
          <w:sz w:val="24"/>
        </w:rPr>
        <w:t>Concluzii</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Conform actualizării tehnice a programului de stabilitate, deficitul public al Austriei este planificat să crească la 8,0 % din PIB în 2020, acesta urmând să depășească și să nu rămână apropiat de valoarea de referință de 3 % din PIB, prevăzută în tratat. Depășirea planificată a valorii de referință este considerată a fi excepțională și, în prezent, este considerată a fi temporară.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La finele anului 2019, datoria publică brută se situa la 70,4 % din PIB, cu mult peste valoarea de referință de 60 % din PIB prevăzută în tratat.</w:t>
      </w:r>
      <w:r>
        <w:rPr>
          <w:rFonts w:ascii="Times New Roman" w:hAnsi="Times New Roman"/>
          <w:bCs/>
          <w:noProof/>
          <w:sz w:val="24"/>
          <w:szCs w:val="24"/>
        </w:rPr>
        <w:t xml:space="preserve"> Austria a respectat criteriul de referință privind reducerea datoriei în 2019.</w:t>
      </w:r>
      <w:r>
        <w:rPr>
          <w:rFonts w:ascii="Times New Roman" w:hAnsi="Times New Roman"/>
          <w:bCs/>
          <w:noProof/>
          <w:sz w:val="24"/>
        </w:rPr>
        <w:t xml:space="preserve">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În conformitate cu tratatul și cu Pactul de stabilitate și de creștere, prezentul raport a examinat și factori relevanți. În conformitate</w:t>
      </w:r>
      <w:r>
        <w:rPr>
          <w:rFonts w:ascii="Times New Roman" w:hAnsi="Times New Roman" w:cs="Times New Roman"/>
          <w:noProof/>
          <w:sz w:val="24"/>
        </w:rPr>
        <w:t xml:space="preserve"> </w:t>
      </w:r>
      <w:r>
        <w:rPr>
          <w:rFonts w:ascii="Times New Roman" w:hAnsi="Times New Roman"/>
          <w:bCs/>
          <w:noProof/>
          <w:sz w:val="24"/>
        </w:rPr>
        <w:t>cu articolul 2 alineatul (4)</w:t>
      </w:r>
      <w:r>
        <w:rPr>
          <w:rFonts w:ascii="Times New Roman" w:hAnsi="Times New Roman"/>
          <w:noProof/>
          <w:sz w:val="24"/>
        </w:rPr>
        <w:t xml:space="preserve"> din Regulamentul (CE) nr. 1467/97, în ceea ce privește respectarea criteriului deficitului în 2020, întrucât ponderea datoriei publice în PIB depășește valoarea de referință de 60 %, iar dubla condiție nu este îndeplinită – și anume aceea ca deficitul să rămână apropiat de valoarea de referință și ca depășirea valorii de referință să fie temporară – respectivii factori relevanți nu pot fi luați în considerare în etapele care conduc la adoptarea deciziei privind existența unui deficit excesiv pe baza criteriului deficitului pentru Austria.</w:t>
      </w:r>
      <w:r>
        <w:rPr>
          <w:rFonts w:ascii="Times New Roman" w:hAnsi="Times New Roman"/>
          <w:bCs/>
          <w:noProof/>
          <w:sz w:val="24"/>
        </w:rPr>
        <w:t xml:space="preserv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Per total, analiza sugerează că criteriul deficitului, astfel cum este definit în tratat și în Regulamentul (CE) nr. 1467/1997, nu este îndeplinit. </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567" w:hanging="567"/>
      </w:pPr>
      <w:r>
        <w:rPr>
          <w:rStyle w:val="FootnoteReference"/>
        </w:rPr>
        <w:footnoteRef/>
      </w:r>
      <w:r>
        <w:t xml:space="preserve"> </w:t>
      </w:r>
      <w:r>
        <w:tab/>
      </w:r>
      <w:hyperlink r:id="rId1" w:history="1">
        <w:r>
          <w:rPr>
            <w:rStyle w:val="Hyperlink"/>
          </w:rPr>
          <w:t>https://ec.europa.eu/eurostat/documents/2995521/10294648/2-22042020-AP-EN.pdf/6c8f0ef4-6221-1094-fef7-a07764b0369f</w:t>
        </w:r>
      </w:hyperlink>
      <w:r>
        <w:t xml:space="preserve"> </w:t>
      </w:r>
    </w:p>
  </w:footnote>
  <w:footnote w:id="3">
    <w:p>
      <w:pPr>
        <w:pStyle w:val="FootnoteText"/>
        <w:ind w:left="567" w:hanging="567"/>
      </w:pPr>
      <w:r>
        <w:rPr>
          <w:rStyle w:val="FootnoteReference"/>
        </w:rPr>
        <w:footnoteRef/>
      </w:r>
      <w:r>
        <w:t xml:space="preserve"> </w:t>
      </w:r>
      <w:r>
        <w:tab/>
        <w:t xml:space="preserve">La 30 aprilie, autoritățile austriece au transmis Comisiei o actualizare tehnică a programului de stabilitate pentru perioada 2019-2021. Prin această actualizare, autoritățile austriece răspund solicitării formulate de Comisie în avizul său privind proiectul de plan bugetar actualizat pentru 2020. </w:t>
      </w:r>
    </w:p>
  </w:footnote>
  <w:footnote w:id="4">
    <w:p>
      <w:pPr>
        <w:pStyle w:val="FootnoteText"/>
        <w:tabs>
          <w:tab w:val="left" w:pos="567"/>
        </w:tabs>
        <w:ind w:left="567" w:hanging="567"/>
      </w:pPr>
      <w:r>
        <w:rPr>
          <w:rStyle w:val="FootnoteReference"/>
        </w:rPr>
        <w:footnoteRef/>
      </w:r>
      <w:r>
        <w:t xml:space="preserve"> </w:t>
      </w:r>
      <w:r>
        <w:tab/>
        <w:t>Scenariul de referință se bazează pe previziunile Comisiei din primăvara anului 2020. Dincolo de orizontul 2021, se estimează o ajustare treptată a politicii bugetare, în concordanță cu cadrele de coordonare și supraveghere economică și bugetară ale UE. Creșterea PIB-ului real este estimată în conformitate cu așa-numita metodologie EPC/OGWG T+10. În particular, creșterea efectivă (reală) a PIB-ului este determinată de creșterea sa potențială și este afectată de orice ajustare bugetară suplimentară avută în vedere (prin multiplicatorul fiscal). Inflația este preconizată să se apropie treptat de 2 %. Ipotezele privind ratele dobânzilor sunt stabilite în conformitate cu așteptările pieței financiare. În cazul scenariului nefavorabil, sunt estimate rate ale dobânzii mai mari (cu 500 de puncte de bază) și o creștere mai redusă a PIB-ului (cu -0,5 puncte procentuale) în raport cu scenariul de referință (pe întreaga perioadă de previzionare).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3B6D6C0-2532-4079-8C85-749115241997"/>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
    <w:docVar w:name="LW_EMISSION_SUFFIX" w:val=" "/>
    <w:docVar w:name="LW_ID_DOCTYPE_NONLW" w:val="CP-003"/>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5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Bold&gt;Austria&lt;/FMT&gt;_x000b__x000b_&lt;FMT:Bold&gt;Raport elaborat în conformitate cu articolul 126 alineatul (3) din Tratatul privind func\u539?ionarea Uniunii Europene&lt;/FMT&gt;"/>
    <w:docVar w:name="LW_TYPE.DOC.CP" w:val="RAPORT AL COMISIE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293950368">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3227835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459880652">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408D2-18EF-431E-A838-B33BD181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2060</Words>
  <Characters>11704</Characters>
  <Application>Microsoft Office Word</Application>
  <DocSecurity>0</DocSecurity>
  <Lines>220</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2019-05-13T14:09:00Z</cp:lastPrinted>
  <dcterms:created xsi:type="dcterms:W3CDTF">2020-05-18T14:10:00Z</dcterms:created>
  <dcterms:modified xsi:type="dcterms:W3CDTF">2020-06-03T12:59:00Z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