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245DFEE-1BCC-466B-A1FB-5F5429BB8D51" style="width:450.8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A BIZOTTSÁG JELENTÉSE</w:t>
      </w:r>
    </w:p>
    <w:p>
      <w:pPr>
        <w:pStyle w:val="Titreobjet"/>
        <w:rPr>
          <w:noProof/>
        </w:rPr>
      </w:pPr>
      <w:r>
        <w:rPr>
          <w:noProof/>
        </w:rPr>
        <w:t xml:space="preserve">Ausztria </w:t>
      </w:r>
      <w:r>
        <w:rPr>
          <w:noProof/>
        </w:rPr>
        <w:br/>
        <w:t xml:space="preserve"> </w:t>
      </w:r>
      <w:r>
        <w:rPr>
          <w:noProof/>
        </w:rPr>
        <w:br/>
        <w:t>Az Európai Unió működéséről szóló szerződés 126. cikkének (3) bekezdése szerinti jelentés</w:t>
      </w:r>
    </w:p>
    <w:p>
      <w:pPr>
        <w:pStyle w:val="Sous-titreobjet"/>
        <w:jc w:val="left"/>
        <w:rPr>
          <w:noProof/>
          <w:highlight w:val="yellow"/>
        </w:rPr>
      </w:pPr>
    </w:p>
    <w:p>
      <w:pPr>
        <w:pStyle w:val="Sous-titreobjet"/>
        <w:jc w:val="left"/>
        <w:rPr>
          <w:noProof/>
          <w:highlight w:val="yellow"/>
        </w:rPr>
      </w:pPr>
    </w:p>
    <w:p>
      <w:pPr>
        <w:pStyle w:val="Sous-titreobjet"/>
        <w:jc w:val="left"/>
        <w:rPr>
          <w:noProof/>
          <w:highlight w:val="yellow"/>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Bevezetés</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2020. március 20-án a Bizottság közleményt fogadott el a Stabilitási és Növekedési Paktum általános mentesítési rendelkezésének aktiválásáról. Az 1466/97/EK rendelet 5. cikkének (1) bekezdésében, 6. cikkének (3) bekezdésében, 9. cikkének (1) bekezdésében és 10. cikkének (3) bekezdésében, valamint az 1467/97/EK rendelet 3. cikkének (5) bekezdésében és 5. cikkének (2) bekezdésében meghatározottak szerinti rendelkezés elősegíti a költségvetési politikák összehangolását súlyos gazdasági visszaesés idején. Közleményében a Bizottság megosztotta a Tanáccsal azt a véleményét, miszerint a Covid19-járvány következtében várható súlyos gazdasági visszaesés miatt a jelenlegi feltételek lehetővé teszik a rendelkezés alkalmazását. A tagállamok pénzügyminiszterei 2020. március 23-án egyetértettek a Bizottság értékelésével. Az általános mentesítési rendelkezés aktiválása lehetővé teszi a középtávú költségvetési célhoz vezető kiigazítási pályától való átmeneti eltérést, ha ez középtávon nem veszélyezteti a költségvetés fenntarthatóságát. A korrekciós ág tekintetében a Tanács a Bizottság ajánlására úgy is határozhat, hogy módosított költségvetési pályát fogad el. Az általános mentesítési rendelkezés nem függeszti fel a Stabilitási és Növekedési Paktum eljárásait. Lehetővé teszi a Bizottság és a tagállamok számára, hogy a Paktum keretében meghozzák a szükséges szakpolitikai koordinációs intézkedéseket, ugyanakkor eltérjenek az általában alkalmazandó költségvetési követelményektől.</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Az osztrák hatóságok által 2020. március 31-én bejelentett és azt követően az Eurostat által megerősített adatok</w:t>
      </w:r>
      <w:r>
        <w:rPr>
          <w:rStyle w:val="FootnoteReference"/>
          <w:rFonts w:eastAsiaTheme="minorHAnsi"/>
          <w:noProof/>
          <w:sz w:val="24"/>
          <w:szCs w:val="24"/>
        </w:rPr>
        <w:footnoteReference w:id="2"/>
      </w:r>
      <w:r>
        <w:rPr>
          <w:rFonts w:ascii="Times New Roman" w:hAnsi="Times New Roman"/>
          <w:noProof/>
          <w:sz w:val="24"/>
          <w:szCs w:val="24"/>
        </w:rPr>
        <w:t xml:space="preserve"> azt mutatják, hogy az osztrák költségvetési hiány 2019-ben elérte a GDP 0,7 %-át, miközben a bruttó államadósság a GDP 70,4 %-át tette ki. A stabilitási program szerint Ausztria 2020-ra a GDP 8,0 %-ának megfelelő hiányt tervez, míg az adósság a tervek szerint a GDP 81,4 %-a lesz</w:t>
      </w:r>
      <w:r>
        <w:rPr>
          <w:rStyle w:val="FootnoteReference"/>
          <w:rFonts w:eastAsiaTheme="minorHAnsi"/>
          <w:noProof/>
          <w:sz w:val="24"/>
          <w:szCs w:val="24"/>
        </w:rPr>
        <w:footnoteReference w:id="3"/>
      </w:r>
      <w:r>
        <w:rPr>
          <w:noProof/>
        </w:rPr>
        <w:t>.</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2020-ra tervezett hiányadat </w:t>
      </w:r>
      <w:r>
        <w:rPr>
          <w:rFonts w:ascii="Times New Roman" w:hAnsi="Times New Roman"/>
          <w:i/>
          <w:noProof/>
          <w:sz w:val="24"/>
          <w:szCs w:val="24"/>
        </w:rPr>
        <w:t>prima facie</w:t>
      </w:r>
      <w:r>
        <w:rPr>
          <w:rFonts w:ascii="Times New Roman" w:hAnsi="Times New Roman"/>
          <w:noProof/>
          <w:sz w:val="24"/>
          <w:szCs w:val="24"/>
        </w:rPr>
        <w:t xml:space="preserve"> azt bizonyítja, hogy a Stabilitási és Növekedési Paktumban meghatározott túlzott hiány áll fenn.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Ennek fényében a Bizottság ezért elkészítette ezt a jelentést, amely elemzi Ausztria Szerződésben foglalt hiány- és adósságkritériumoknak való megfelelését. Megvizsgálja az érdemleges tényezőket, és megfelelően figyelembe veszi a Covid19-világjárványhoz kapcsolódó számottevő gazdasági sokkhatást.</w:t>
      </w:r>
    </w:p>
    <w:p>
      <w:pPr>
        <w:keepNext/>
        <w:spacing w:before="240" w:after="120" w:line="240" w:lineRule="auto"/>
        <w:jc w:val="center"/>
        <w:rPr>
          <w:rFonts w:ascii="Times New Roman" w:eastAsia="Times New Roman" w:hAnsi="Times New Roman" w:cs="Calibri"/>
          <w:noProof/>
          <w:sz w:val="24"/>
        </w:rPr>
      </w:pP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táblázat Költségvetési hiány és államadósság (a GDP %-ában)</w:t>
      </w:r>
    </w:p>
    <w:tbl>
      <w:tblPr>
        <w:tblStyle w:val="TableGrid"/>
        <w:tblW w:w="0" w:type="auto"/>
        <w:jc w:val="center"/>
        <w:tblLook w:val="04A0" w:firstRow="1" w:lastRow="0" w:firstColumn="1" w:lastColumn="0" w:noHBand="0" w:noVBand="1"/>
      </w:tblPr>
      <w:tblGrid>
        <w:gridCol w:w="1650"/>
        <w:gridCol w:w="1483"/>
        <w:gridCol w:w="1017"/>
        <w:gridCol w:w="1018"/>
        <w:gridCol w:w="1018"/>
        <w:gridCol w:w="1018"/>
        <w:gridCol w:w="1019"/>
        <w:gridCol w:w="1019"/>
      </w:tblGrid>
      <w:tr>
        <w:trPr>
          <w:trHeight w:val="603"/>
          <w:jc w:val="center"/>
        </w:trPr>
        <w:tc>
          <w:tcPr>
            <w:tcW w:w="1154" w:type="dxa"/>
            <w:vAlign w:val="center"/>
          </w:tcPr>
          <w:p>
            <w:pPr>
              <w:keepNext/>
              <w:jc w:val="center"/>
              <w:rPr>
                <w:rFonts w:ascii="Times New Roman" w:eastAsia="Times New Roman" w:hAnsi="Times New Roman" w:cs="Calibri"/>
                <w:noProof/>
                <w:sz w:val="20"/>
                <w:szCs w:val="20"/>
                <w:lang w:eastAsia="en-GB"/>
              </w:rPr>
            </w:pPr>
          </w:p>
        </w:tc>
        <w:tc>
          <w:tcPr>
            <w:tcW w:w="1172" w:type="dxa"/>
            <w:vAlign w:val="center"/>
          </w:tcPr>
          <w:p>
            <w:pPr>
              <w:keepNext/>
              <w:jc w:val="center"/>
              <w:rPr>
                <w:rFonts w:ascii="Times New Roman" w:eastAsia="Times New Roman" w:hAnsi="Times New Roman" w:cs="Calibri"/>
                <w:noProof/>
                <w:sz w:val="20"/>
                <w:szCs w:val="20"/>
                <w:lang w:eastAsia="en-GB"/>
              </w:rPr>
            </w:pP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BIZ</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BIZ</w:t>
            </w:r>
          </w:p>
        </w:tc>
      </w:tr>
      <w:tr>
        <w:trPr>
          <w:jc w:val="center"/>
        </w:trPr>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Hiánykritérium</w:t>
            </w:r>
          </w:p>
        </w:tc>
        <w:tc>
          <w:tcPr>
            <w:tcW w:w="117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Államháztartási egyenleg</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–1,5</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–6,1</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–1,9</w:t>
            </w:r>
          </w:p>
        </w:tc>
      </w:tr>
      <w:tr>
        <w:trPr>
          <w:jc w:val="center"/>
        </w:trPr>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Adósságkritérium</w:t>
            </w:r>
          </w:p>
        </w:tc>
        <w:tc>
          <w:tcPr>
            <w:tcW w:w="117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Bruttó államadósság</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82,9</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78,3</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74,0</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70,4</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78,8</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75,8</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Forrás: Eurostat, a Bizottság 2020. tavaszi előrejelzése.</w:t>
      </w:r>
    </w:p>
    <w:p>
      <w:pPr>
        <w:autoSpaceDE w:val="0"/>
        <w:autoSpaceDN w:val="0"/>
        <w:adjustRightInd w:val="0"/>
        <w:spacing w:before="120" w:after="0" w:line="240" w:lineRule="auto"/>
        <w:jc w:val="both"/>
        <w:rPr>
          <w:rFonts w:ascii="Times New Roman" w:eastAsia="Times New Roman" w:hAnsi="Times New Roman" w:cs="Calibri"/>
          <w:noProof/>
          <w:sz w:val="24"/>
          <w:szCs w:val="24"/>
          <w:lang w:eastAsia="en-GB"/>
        </w:rPr>
      </w:pPr>
    </w:p>
    <w:p>
      <w:pPr>
        <w:pStyle w:val="ManualHeading1"/>
        <w:rPr>
          <w:noProof/>
        </w:rPr>
      </w:pPr>
      <w:r>
        <w:rPr>
          <w:smallCaps w:val="0"/>
          <w:noProof/>
        </w:rPr>
        <w:t>2.</w:t>
      </w:r>
      <w:r>
        <w:rPr>
          <w:noProof/>
        </w:rPr>
        <w:tab/>
        <w:t>Hiánykritérium</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stabilitási program technikai aktualizálása alapján Ausztria államháztartási hiánya 2020-ban a tervek szerint eléri a GDP 8,0 %-át,</w:t>
      </w:r>
      <w:r>
        <w:rPr>
          <w:noProof/>
        </w:rPr>
        <w:t xml:space="preserve"> </w:t>
      </w:r>
      <w:r>
        <w:rPr>
          <w:rFonts w:ascii="Times New Roman" w:hAnsi="Times New Roman"/>
          <w:noProof/>
          <w:sz w:val="24"/>
          <w:szCs w:val="24"/>
        </w:rPr>
        <w:t>azaz meghaladja a Szerződésben szereplő, a GDP 3 %-ában meghatározott referenciaértéket, és ahhoz nem marad közel.</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Szerződésben meghatározott referenciaérték 2020-ra tervezett túllépése kivételes, mivel súlyos gazdasági visszaesés eredménye. A Covid19-világjárvány hatását figyelembe véve a Bizottság 2020. tavaszi előrejelzése a 2020. évi reál-GDP 5,5 %-os csökkenését vetíti előre.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Bizottság 2020. tavaszi előrejelzése alapján az államháztartási hiány 2021-ben a GDP 3 %-a alá esik, így a Szerződésben meghatározott referenciaérték tervezett túllépése átmeneti. Ezeket az előrejelzéseket azonban rendkívül nagy fokú bizonytalanság övezi.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Összegezve, a 2020-ra tervezett hiány meghaladja a Szerződésben szereplő, a GDP 3 %-ában meghatározott referenciaértéket, és ahhoz nem marad közel. A tervezett túllépés a Szerződés és a Stabilitási és Növekedési Paktum szerinti meghatározás értelmében kivételesnek, és jelenleg átmenetinek minősül. </w:t>
      </w:r>
      <w:r>
        <w:rPr>
          <w:rFonts w:ascii="Times New Roman" w:hAnsi="Times New Roman"/>
          <w:noProof/>
          <w:sz w:val="24"/>
        </w:rPr>
        <w:t xml:space="preserve">Így az elemzés arra enged következtetni, hogy a Szerződés és az 1467/97/EK rendelet szerinti meghatározás értelmében vett hiánykritérium </w:t>
      </w:r>
      <w:r>
        <w:rPr>
          <w:rFonts w:ascii="Times New Roman" w:hAnsi="Times New Roman"/>
          <w:i/>
          <w:noProof/>
          <w:sz w:val="24"/>
        </w:rPr>
        <w:t>prima facie</w:t>
      </w:r>
      <w:r>
        <w:rPr>
          <w:rFonts w:ascii="Times New Roman" w:hAnsi="Times New Roman"/>
          <w:noProof/>
          <w:sz w:val="24"/>
        </w:rPr>
        <w:t xml:space="preserve"> nem teljesül.</w:t>
      </w:r>
    </w:p>
    <w:p>
      <w:pPr>
        <w:pStyle w:val="ManualHeading1"/>
        <w:rPr>
          <w:noProof/>
        </w:rPr>
      </w:pPr>
      <w:r>
        <w:rPr>
          <w:noProof/>
        </w:rPr>
        <w:t>3.</w:t>
      </w:r>
      <w:r>
        <w:rPr>
          <w:noProof/>
        </w:rPr>
        <w:tab/>
        <w:t>Adósságkritérium</w:t>
      </w:r>
    </w:p>
    <w:p>
      <w:pPr>
        <w:spacing w:before="120" w:after="120" w:line="240" w:lineRule="auto"/>
        <w:jc w:val="both"/>
        <w:rPr>
          <w:rFonts w:ascii="Times New Roman" w:eastAsia="Calibri" w:hAnsi="Times New Roman" w:cs="Times New Roman"/>
          <w:noProof/>
          <w:sz w:val="24"/>
          <w:szCs w:val="24"/>
          <w:highlight w:val="lightGray"/>
        </w:rPr>
      </w:pPr>
      <w:r>
        <w:rPr>
          <w:rFonts w:ascii="Times New Roman" w:hAnsi="Times New Roman"/>
          <w:noProof/>
          <w:sz w:val="24"/>
          <w:szCs w:val="24"/>
        </w:rPr>
        <w:t>A GDP-arányos államadósság a 2018. évi 74,0 %-ról 2019-ben 70,4 %-ra csökkent. E csökkenés mögött elsősorban az elsődleges egyenleg javulása áll, amihez hozzájárulnak azok az SFA-tételek, amelyek a rossz bankok kormányzati számlákban szereplő értékvesztett eszközeinek elidegenítésével kapcsolatosak.</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bejelentett adatok azt mutatják, hogy Ausztria 2019-ben megfelelt az adósságcsökkentési referenciaértéknek, mivel a referenciaértékhez viszonyított eltérés a GDP –6,1 %-a.</w:t>
      </w:r>
    </w:p>
    <w:p>
      <w:pPr>
        <w:pStyle w:val="ListDash"/>
        <w:numPr>
          <w:ilvl w:val="0"/>
          <w:numId w:val="0"/>
        </w:numPr>
        <w:rPr>
          <w:noProof/>
        </w:rPr>
      </w:pPr>
      <w:r>
        <w:rPr>
          <w:noProof/>
        </w:rPr>
        <w:t>Az elemzés ezért arra enged következtetni, hogy a 2019. évi eredményadatok alapján az adósságkritérium teljesül.</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Érdemleges tényezők</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Az EUMSZ 126. cikkének (3) bekezdése úgy rendelkezik, hogy ha egy tagállam nem felel meg az egyik vagy mindkét fenti kritériummal kapcsolatos követelményeknek, a Bizottság erről jelentést készít. A jelentés azt is „figyelembe veszi, hogy a költségvetési hiány meghaladja-e az állami beruházások kiadásait, valamint minden egyéb érdemleges tényezőt, beleértve a tagállam középtávú gazdasági és költségvetési helyzetét”.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Ezeket a tényezőket tovább pontosítja az 1467/97/EK rendelet 2. cikkének (3) bekezdése, amely arról is rendelkezik, hogy kellő figyelmet kell fordítani „minden olyan egyéb tényezőre, amely az érintett tagállam véleménye szerint érdemleges a hiány- és adósságkritériumoknak való megfelelés átfogó értékelése szempontjából, és amelyet az adott tagállam a Tanács és a Bizottság elé terjesztett”.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Ami a hiánykritériumnak való 2020. évi megfelelést illeti – az 1467/97/EK rendelet 2. cikkének (4) bekezdésében foglaltak szerint –, mivel a GDP-arányos államadósság meghaladja a 60 %-os referenciaértéket és nem teljesül a kettős feltétel – vagyis az, hogy a hiány közel marad a referenciaértékhez és a referenciaérték túllépése átmeneti –, az érdemleges tényezők nem vehetők figyelembe az Ausztriára vonatkozó, túlzott hiány fennállásáról szóló határozathoz vezető lépések során.</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A jelenlegi helyzetben a 2020 tekintetében figyelembe veendő további kulcsfontosságú tényező a Covid19-világjárvány gazdasági hatása, amely igen jelentős mértékben befolyásolja a költségvetési helyzetet, és rendkívül bizonytalan kilátásokat eredményez. A világjárvány miatt sor kerül az általános mentesítési rendelkezés alkalmazására is.</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4.1.</w:t>
      </w:r>
      <w:r>
        <w:rPr>
          <w:noProof/>
        </w:rPr>
        <w:tab/>
      </w:r>
      <w:r>
        <w:rPr>
          <w:noProof/>
        </w:rPr>
        <w:tab/>
      </w:r>
      <w:r>
        <w:rPr>
          <w:rFonts w:ascii="Times New Roman" w:hAnsi="Times New Roman"/>
          <w:b/>
          <w:noProof/>
          <w:sz w:val="24"/>
        </w:rPr>
        <w:t>A Covid19-világjárvány</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rPr>
        <w:t xml:space="preserve">A Covid19-világjárvány komoly gazdasági sokkhoz vezetett, amelynek számottevő negatív hatása van az Európai Unió egészében. A GDP-növekedésre jelentett következmények a járvány időtartamától, és a nemzeti hatóságok által, valamint európai és világszinten a járvány terjedésének lassítása, a termelőkapacitások védelme és az aggregált kereslet támogatása érdekében hozott intézkedések időtartamától függnek majd. </w:t>
      </w:r>
      <w:r>
        <w:rPr>
          <w:rFonts w:ascii="Times New Roman" w:hAnsi="Times New Roman"/>
          <w:noProof/>
          <w:sz w:val="24"/>
        </w:rPr>
        <w:t>A tagállamok olyan költségvetési intézkedéseket fogadtak el, illetve jelenleg is dolgoznak olyan költségvetési intézkedések elfogadásán, amelyek célja az, hogy növeljék egészségügyi rendszereik kapacitását, és segítséget nyújtsanak a válság által különösen súlyosan érintett egyéneknek és ágazatoknak.</w:t>
      </w:r>
      <w:r>
        <w:rPr>
          <w:rFonts w:ascii="Times New Roman" w:hAnsi="Times New Roman"/>
          <w:noProof/>
          <w:sz w:val="24"/>
          <w:szCs w:val="24"/>
        </w:rPr>
        <w:t xml:space="preserve"> Jelentős likviditástámogatási intézkedések és egyéb garanciák elfogadására is sor került. Részletesebb információk függvényében az illetékes statisztikai hatóságoknak meg kell vizsgálniuk, hogy az említett intézkedések azonnali hatással vannak-e az államháztartási egyenlegre, vagy sem. Az említett intézkedések a gazdasági tevékenység visszaesésével együtt a költségvetési hiány és az államadósság jelentős mértékű megnövekedéséhez fognak vezetni.</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4.2.</w:t>
      </w:r>
      <w:r>
        <w:rPr>
          <w:noProof/>
        </w:rPr>
        <w:tab/>
      </w:r>
      <w:r>
        <w:rPr>
          <w:rFonts w:ascii="Times New Roman" w:hAnsi="Times New Roman"/>
          <w:b/>
          <w:noProof/>
          <w:sz w:val="24"/>
        </w:rPr>
        <w:t>A középtávú gazdasági helyzet</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szCs w:val="24"/>
        </w:rPr>
        <w:t>A Covid19-világjárvány komolyan érinti Ausztria növekedési kilátásait. Kicsi, nyitott gazdaságként Ausztria gazdasági kilátásai szorosan kapcsolódnak a fő kereskedelmi partnerei kilátásaihoz. Ennek eredményeként a járvány megfékezésére irányuló intézkedések és az ellátási lánc ezzel kapcsolatos zavarai a gazdaság keresleti és kínálati oldalát egyaránt sújtják, ami általános visszaesést okoz. A turizmussal kapcsolatos ágazatokat különösen súlyosan érintik a nemzetközi utazási korlátozások.</w:t>
      </w:r>
      <w:r>
        <w:rPr>
          <w:rFonts w:ascii="Times New Roman" w:hAnsi="Times New Roman"/>
          <w:bCs/>
          <w:noProof/>
          <w:sz w:val="24"/>
        </w:rPr>
        <w:t xml:space="preserve"> Azonban, tekintettel az új fertőződések számának gyors visszaesésére, Ausztria azon tagállamok egyike volt, amelyek elsőként jelentették be a kijárási korlátozási intézkedések fokozatos lazítását április közepével kezdődően. Az év első felére várt recesszió ezért némileg kevésbé súlyos a többi euróövezeti tagállamokhoz képest. A Bizottság 2020. tavaszi előrejelzése szerint a reál-GDP 5,5 %-kal csökken ebben az évben. A csökkenés általános és elsősorban a belső keresletet és a szolgáltatások exportját érinti. Ez enyhítő tényező annak értékelése során, hogy a tagállam 2020-ban megfelel-e a hiánykritériumnak. Fokozatos normalizálódást feltételezve, a GDP az év második felében ismét növekedésnek indul, amit 2021-ben 5,0 %-os fellendülés követ.</w:t>
      </w:r>
      <w:r>
        <w:rPr>
          <w:noProof/>
        </w:rPr>
        <w:t xml:space="preserve"> </w:t>
      </w:r>
      <w:r>
        <w:rPr>
          <w:rFonts w:ascii="Times New Roman" w:hAnsi="Times New Roman"/>
          <w:bCs/>
          <w:noProof/>
          <w:sz w:val="24"/>
        </w:rPr>
        <w:t>A makrogazdasági kilátásokat azonban a Covid19-világjárvány időtartamával és azt követő gazdasági hatásával kapcsolatos rendkívüli bizonytalanság jellemzi.</w:t>
      </w:r>
    </w:p>
    <w:p>
      <w:pPr>
        <w:spacing w:before="120" w:after="120" w:line="240" w:lineRule="auto"/>
        <w:jc w:val="both"/>
        <w:rPr>
          <w:rFonts w:ascii="Times New Roman" w:eastAsia="Times New Roman" w:hAnsi="Times New Roman" w:cs="Calibri"/>
          <w:bCs/>
          <w:noProof/>
          <w:sz w:val="24"/>
          <w:lang w:eastAsia="en-GB"/>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Cs/>
          <w:noProof/>
          <w:sz w:val="24"/>
        </w:rPr>
        <w:t xml:space="preserve"> </w:t>
      </w:r>
      <w:r>
        <w:rPr>
          <w:rFonts w:ascii="Times New Roman" w:hAnsi="Times New Roman"/>
          <w:b/>
          <w:noProof/>
          <w:sz w:val="24"/>
          <w:szCs w:val="24"/>
        </w:rPr>
        <w:t>4.3.</w:t>
      </w:r>
      <w:r>
        <w:rPr>
          <w:noProof/>
        </w:rPr>
        <w:tab/>
      </w:r>
      <w:r>
        <w:rPr>
          <w:noProof/>
        </w:rPr>
        <w:tab/>
      </w:r>
      <w:r>
        <w:rPr>
          <w:rFonts w:ascii="Times New Roman" w:hAnsi="Times New Roman"/>
          <w:b/>
          <w:noProof/>
          <w:sz w:val="24"/>
          <w:szCs w:val="24"/>
        </w:rPr>
        <w:t>A középtávú költségvetési helyzet</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A tényadatok és a Bizottság előrejelzése alapján Ausztria 2019-ben elérte a középtávú költségvetési célját.</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A stabilitási program szerint a világjárvány társadalmi-gazdasági hatásainak enyhítése központi szerepet tölt be a válság kezelésében és nagymértékben befolyásolja a költségvetés alakítását. A szövetségi kormány átfogó segélycsomagot fogadott el 38 milliárd EUR összegben (a GDP közel 9,9 %-a).</w:t>
      </w:r>
      <w:r>
        <w:rPr>
          <w:noProof/>
        </w:rPr>
        <w:t xml:space="preserve"> </w:t>
      </w:r>
      <w:r>
        <w:rPr>
          <w:rFonts w:ascii="Times New Roman" w:hAnsi="Times New Roman"/>
          <w:bCs/>
          <w:noProof/>
          <w:sz w:val="24"/>
        </w:rPr>
        <w:t>A segélycsomag elsősorban az egészségügyi ellátás biztosítását, a munkahelyek és Ausztria üzleti helyszínként betöltött szerepének megőrzését szolgálja. A csomag kkv-knak nyújtandó azonnali segítséget, az egészségügyi ellátás és a szociálpolitika tekintetében megnövelt közkiadásokat, a nehéz helyzetbe került vállalkozások számára közvetlen likviditásnyújtást és támogatásokat, a csökkentett munkaiős foglalkoztatáshoz szükséges forrásokat és adóhalasztásokat tartalmaz. Az előrejelzések ugyanakkor még nem tartalmazzák a gazdaság fellendítését célzó további intézkedések költségvetési hatását.</w:t>
      </w:r>
    </w:p>
    <w:p>
      <w:pPr>
        <w:spacing w:before="120" w:after="120" w:line="240" w:lineRule="auto"/>
        <w:jc w:val="both"/>
        <w:rPr>
          <w:rFonts w:ascii="Times New Roman" w:eastAsia="Times New Roman" w:hAnsi="Times New Roman" w:cs="Calibri"/>
          <w:bCs/>
          <w:noProof/>
          <w:sz w:val="24"/>
          <w:lang w:eastAsia="en-GB"/>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4.4.</w:t>
      </w:r>
      <w:r>
        <w:rPr>
          <w:noProof/>
        </w:rPr>
        <w:tab/>
      </w:r>
      <w:r>
        <w:rPr>
          <w:rFonts w:ascii="Times New Roman" w:hAnsi="Times New Roman"/>
          <w:b/>
          <w:noProof/>
          <w:sz w:val="24"/>
        </w:rPr>
        <w:t>Az államadósság középtávú alakulása</w:t>
      </w:r>
    </w:p>
    <w:p>
      <w:pPr>
        <w:spacing w:before="120" w:after="120" w:line="240" w:lineRule="auto"/>
        <w:jc w:val="both"/>
        <w:rPr>
          <w:rFonts w:ascii="Times New Roman" w:eastAsia="Times New Roman" w:hAnsi="Times New Roman" w:cs="Times New Roman"/>
          <w:iCs/>
          <w:noProof/>
          <w:sz w:val="24"/>
        </w:rPr>
      </w:pPr>
      <w:r>
        <w:rPr>
          <w:rFonts w:ascii="Times New Roman" w:hAnsi="Times New Roman"/>
          <w:noProof/>
          <w:sz w:val="24"/>
        </w:rPr>
        <w:t xml:space="preserve">A Bizottság 2020. tavaszi előrejelzése szerint a GDP-arányos államadósság a 2019. évi 70,4 %-ról 2020-ra várhatóan 78,8 %-ra emelkedik. </w:t>
      </w:r>
      <w:r>
        <w:rPr>
          <w:rFonts w:ascii="Times New Roman" w:hAnsi="Times New Roman"/>
          <w:iCs/>
          <w:noProof/>
          <w:sz w:val="24"/>
        </w:rPr>
        <w:t>Az adósságfenntarthatósági elemzés az említett előrejelzés alapján frissült. Az elemzés megerősíti, hogy a kockázatok ellenére Ausztriában középtávon fenntartható marad az adósság, figyelembe véve jelentős enyhítő tényezőket is (többek között az adósságprofilt és a történelmi összehasonlításban alacsony kamatszintet). Mindenekelőtt, noha a Covid19-válság következtében romlik az államadósság, az alapforgatókönyv szerinti adósságráta középtávon várhatóan fenntartható (csökkenő) pályán lesz (1. ábra)</w:t>
      </w:r>
      <w:r>
        <w:rPr>
          <w:rStyle w:val="FootnoteReference"/>
          <w:rFonts w:eastAsiaTheme="minorHAnsi"/>
          <w:iCs/>
          <w:noProof/>
          <w:sz w:val="24"/>
          <w:szCs w:val="24"/>
        </w:rPr>
        <w:footnoteReference w:id="4"/>
      </w:r>
      <w:r>
        <w:rPr>
          <w:noProof/>
        </w:rPr>
        <w:t>.</w:t>
      </w:r>
    </w:p>
    <w:p>
      <w:pPr>
        <w:spacing w:before="120" w:after="120" w:line="240" w:lineRule="auto"/>
        <w:jc w:val="both"/>
        <w:rPr>
          <w:rFonts w:ascii="Times New Roman" w:eastAsia="Times New Roman" w:hAnsi="Times New Roman" w:cs="Times New Roman"/>
          <w:iCs/>
          <w:noProof/>
          <w:sz w:val="24"/>
          <w:lang w:eastAsia="en-GB"/>
        </w:rPr>
      </w:pPr>
    </w:p>
    <w:p>
      <w:pPr>
        <w:keepNext/>
        <w:spacing w:before="240" w:after="120" w:line="240" w:lineRule="auto"/>
        <w:jc w:val="center"/>
        <w:rPr>
          <w:rFonts w:ascii="Times New Roman" w:eastAsia="Times New Roman" w:hAnsi="Times New Roman" w:cs="Calibri"/>
          <w:noProof/>
          <w:sz w:val="24"/>
        </w:rPr>
      </w:pP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ábra: GDP-arányos államadósság, Ausztria, a GDP %-ában</w:t>
      </w:r>
    </w:p>
    <w:p>
      <w:pPr>
        <w:spacing w:before="120" w:after="120" w:line="240" w:lineRule="auto"/>
        <w:jc w:val="center"/>
        <w:rPr>
          <w:rFonts w:ascii="Times New Roman" w:eastAsia="Times New Roman" w:hAnsi="Times New Roman" w:cs="Times New Roman"/>
          <w:iCs/>
          <w:noProof/>
          <w:sz w:val="24"/>
        </w:rPr>
      </w:pPr>
      <w:r>
        <w:rPr>
          <w:noProof/>
          <w:lang w:val="en-GB" w:eastAsia="en-GB"/>
        </w:rPr>
        <w:drawing>
          <wp:inline distT="0" distB="0" distL="0" distR="0">
            <wp:extent cx="5731510" cy="2717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717147"/>
                    </a:xfrm>
                    <a:prstGeom prst="rect">
                      <a:avLst/>
                    </a:prstGeom>
                    <a:noFill/>
                    <a:ln>
                      <a:noFill/>
                    </a:ln>
                  </pic:spPr>
                </pic:pic>
              </a:graphicData>
            </a:graphic>
          </wp:inline>
        </w:drawing>
      </w:r>
    </w:p>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Forrás: a Bizottság szolgálatai.</w:t>
      </w:r>
    </w:p>
    <w:p>
      <w:pPr>
        <w:spacing w:before="120" w:after="120" w:line="240" w:lineRule="auto"/>
        <w:jc w:val="center"/>
        <w:rPr>
          <w:rFonts w:ascii="Times New Roman" w:eastAsia="Times New Roman" w:hAnsi="Times New Roman" w:cs="Times New Roman"/>
          <w:iCs/>
          <w:noProof/>
          <w:sz w:val="24"/>
          <w:lang w:eastAsia="en-GB"/>
        </w:rPr>
      </w:pPr>
    </w:p>
    <w:p>
      <w:pPr>
        <w:spacing w:before="120" w:after="120" w:line="240" w:lineRule="auto"/>
        <w:jc w:val="both"/>
        <w:rPr>
          <w:rFonts w:ascii="Times New Roman" w:eastAsia="Times New Roman" w:hAnsi="Times New Roman" w:cs="Times New Roman"/>
          <w:b/>
          <w:noProof/>
          <w:sz w:val="24"/>
          <w:lang w:eastAsia="en-GB"/>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A tagállam által előterjesztett egyéb tényezők</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Az osztrák hatóságok 2020. május 11-én az 1467/97/EK rendelet 2. cikkének (3) bekezdésével összhangban az érdemleges tényezőket ismertető levelet továbbítottak a Bizottsághoz. Az előző szakaszokban bemutatott elemzés már lényegében tartalmazza a hatóságok által előterjesztett kulcsfontosságú tényezőket. A fent még nem említett további tényezők azok az intézkedések, amelyeket a hatóságok a szociális partnerekkel együtt a gazdaság élénkítésére terveznek. Ami a stabilitási program technikai aktualizálásában említett intézkedéseket illeti, a bejelentett helyreállítási program vezérelve az osztrák gazdaság termelési potenciáljának megőrzése.</w:t>
      </w:r>
    </w:p>
    <w:p>
      <w:pPr>
        <w:spacing w:before="120" w:after="120" w:line="240" w:lineRule="auto"/>
        <w:jc w:val="both"/>
        <w:rPr>
          <w:rFonts w:ascii="Times New Roman" w:eastAsia="Times New Roman" w:hAnsi="Times New Roman" w:cs="Calibri"/>
          <w:bCs/>
          <w:noProof/>
          <w:sz w:val="24"/>
          <w:lang w:eastAsia="en-GB"/>
        </w:rPr>
      </w:pP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Következtetések</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A stabilitási program technikai aktualizálása alapján Ausztria államháztartási hiánya 2020-ban a tervek szerint a GDP 8,0 %-ára nő, így meghaladja a Szerződésben szereplő, a GDP 3 %-ában meghatározott referenciaértéket, és ahhoz nem marad közel. A tervezett túllépés kivételesnek és jelenleg átmenetinek minősül.</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A bruttó államadósság </w:t>
      </w:r>
      <w:r>
        <w:rPr>
          <w:rFonts w:ascii="Times New Roman" w:hAnsi="Times New Roman"/>
          <w:bCs/>
          <w:noProof/>
          <w:sz w:val="24"/>
          <w:szCs w:val="24"/>
        </w:rPr>
        <w:t>2019 végén a GDP 70,4 %-át tette ki, ami a Szerződés által a GDP 60 %-ában megállapított referenciaérték felett van. Ausztria 2019-ben megfelelt az adósságcsökkentési referenciaértéknek.</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A Szerződéssel és a Stabilitási és Növekedési Paktummal összhangban ez a jelentés az érdemleges tényezőket is megvizsgálta. Ami</w:t>
      </w:r>
      <w:r>
        <w:rPr>
          <w:noProof/>
        </w:rPr>
        <w:t xml:space="preserve"> </w:t>
      </w:r>
      <w:r>
        <w:rPr>
          <w:rFonts w:ascii="Times New Roman" w:hAnsi="Times New Roman"/>
          <w:bCs/>
          <w:noProof/>
          <w:sz w:val="24"/>
        </w:rPr>
        <w:t xml:space="preserve">a hiánykritériumnak való 2020. évi megfelelést illeti – az 1467/97/EK rendelet 2. cikkének (4) bekezdésében foglaltak szerint –, mivel </w:t>
      </w:r>
      <w:r>
        <w:rPr>
          <w:rFonts w:ascii="Times New Roman" w:hAnsi="Times New Roman"/>
          <w:noProof/>
          <w:sz w:val="24"/>
        </w:rPr>
        <w:t>a GDP-arányos államadósság meghaladja a 60 %-os referenciaértéket és nem teljesül a kettős feltétel – vagyis az, hogy a hiány közel marad a referenciaértékhez és a referenciaérték túllépése átmeneti –, az érdemleges tényezők nem vehetők figyelembe az Ausztriára vonatkozó, túlzott hiány fennállásáról szóló határozathoz vezető lépések során.</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 xml:space="preserve">Összességében </w:t>
      </w:r>
      <w:r>
        <w:rPr>
          <w:rFonts w:ascii="Times New Roman" w:hAnsi="Times New Roman"/>
          <w:noProof/>
          <w:sz w:val="24"/>
        </w:rPr>
        <w:t>az elemzés arra enged következtetni, hogy a Szerződésben és az 1467/97/EK rendeletben meghatározott hiánykritérium nem teljesül.</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567" w:hanging="567"/>
      </w:pPr>
      <w:r>
        <w:rPr>
          <w:rStyle w:val="FootnoteReference"/>
        </w:rPr>
        <w:footnoteRef/>
      </w:r>
      <w:r>
        <w:tab/>
      </w:r>
      <w:hyperlink r:id="rId1" w:history="1">
        <w:r>
          <w:rPr>
            <w:rStyle w:val="Hyperlink"/>
          </w:rPr>
          <w:t>https://ec.europa.eu/eurostat/documents/2995521/10294648/2-22042020-AP-EN.pdf/6c8f0ef4-6221-1094-fef7-a07764b0369f</w:t>
        </w:r>
      </w:hyperlink>
      <w:r>
        <w:t xml:space="preserve"> </w:t>
      </w:r>
    </w:p>
  </w:footnote>
  <w:footnote w:id="3">
    <w:p>
      <w:pPr>
        <w:pStyle w:val="FootnoteText"/>
        <w:ind w:left="567" w:hanging="567"/>
      </w:pPr>
      <w:r>
        <w:rPr>
          <w:rStyle w:val="FootnoteReference"/>
        </w:rPr>
        <w:footnoteRef/>
      </w:r>
      <w:r>
        <w:tab/>
        <w:t>Április 30-án az osztrák hatóságok benyújtották a Bizottságnak a stabilitási program 2019–2021 évekre vonatkozó technikai aktualizálását. Ez az aktualizálás az osztrák hatóságok válasza a Bizottság azon információkérésére, amely a 2020. évi aktualizált költségvetésiterv-javaslatról szóló bizottsági véleményben szerepel.</w:t>
      </w:r>
    </w:p>
  </w:footnote>
  <w:footnote w:id="4">
    <w:p>
      <w:pPr>
        <w:pStyle w:val="FootnoteText"/>
        <w:tabs>
          <w:tab w:val="left" w:pos="567"/>
        </w:tabs>
        <w:ind w:left="567" w:hanging="567"/>
      </w:pPr>
      <w:r>
        <w:rPr>
          <w:rStyle w:val="FootnoteReference"/>
        </w:rPr>
        <w:footnoteRef/>
      </w:r>
      <w:r>
        <w:tab/>
        <w:t>Az alapforgatókönyv a Bizottság 2020. tavaszi előrejelzésén alapul. 2021 után feltételezhető a költségvetési politika fokozatos kiigazítása az uniós gazdasági és költségvetési koordináció és felügyelet keretrendszereivel összhangban. A reál-GDP növekedésének előrejelzése az úgynevezett EPC/OGWG T+10 módszer szerint történik. Ebben a keretben a (reál) tényleges GDP-növekedést a potenciális GDP-növekedés határozza meg, és minden további (a költségvetési multiplikátoron keresztül) figyelembe vett költségvetési kiigazítás befolyásolja. Az infláció a feltételezések szerint fokozatosan 2 %-hoz közeledik. A kamatlábakra vonatkozó feltételezéseket a Bizottság szolgálatai a pénzügyi piaci várakozásokkal összhangban határozzák meg. A kedvezőtlen forgatókönyv az alapforgatókönyvhöz képest magasabb kamatlábakat (500 bázisponttal) és alacsonyabb GDP-növekedést (–0,5 százalékponttal) feltételez (az előrejelzés teljes időhorizontján).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245DFEE-1BCC-466B-A1FB-5F5429BB8D51"/>
    <w:docVar w:name="LW_COVERPAGE_TYPE" w:val="1"/>
    <w:docVar w:name="LW_CROSSREFERENCE" w:val="&lt;UNUSED&gt;"/>
    <w:docVar w:name="LW_DocType" w:val="NORMAL"/>
    <w:docVar w:name="LW_EMISSION" w:val="2020.5.20."/>
    <w:docVar w:name="LW_EMISSION_ISODATE" w:val="2020-05-20"/>
    <w:docVar w:name="LW_EMISSION_LOCATION" w:val="BRX"/>
    <w:docVar w:name="LW_EMISSION_PREFIX" w:val="Brüsszel, "/>
    <w:docVar w:name="LW_EMISSION_SUFFIX" w:val=" "/>
    <w:docVar w:name="LW_ID_DOCTYPE_NONLW" w:val="CP-003"/>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5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Ausztria _x000b_ _x000b_Az Európai Unió m\u369?ködésér\u337?l szóló szerz\u337?dés 126. cikkének (3) bekezdése szerinti jelentés"/>
    <w:docVar w:name="LW_TYPE.DOC.CP" w:val="A BIZOTTSÁG JELENTÉS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93950368">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3227835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459880652">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6335-49B9-45F9-BDCE-28D1D3D7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1606</Words>
  <Characters>11162</Characters>
  <Application>Microsoft Office Word</Application>
  <DocSecurity>0</DocSecurity>
  <Lines>210</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22</cp:revision>
  <cp:lastPrinted>2019-05-13T14:09:00Z</cp:lastPrinted>
  <dcterms:created xsi:type="dcterms:W3CDTF">2020-05-18T14:10:00Z</dcterms:created>
  <dcterms:modified xsi:type="dcterms:W3CDTF">2020-06-03T12:59:00Z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