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D51DB88-22A0-4612-A96D-E4F7A78BD7A2" style="width:450.75pt;height:320.6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ZPRÁVA KOMISE</w:t>
      </w:r>
    </w:p>
    <w:p>
      <w:pPr>
        <w:pStyle w:val="Titreobjet"/>
        <w:rPr>
          <w:noProof/>
        </w:rPr>
      </w:pPr>
      <w:r>
        <w:rPr>
          <w:noProof/>
        </w:rPr>
        <w:t xml:space="preserve">Polsko </w:t>
      </w:r>
      <w:r>
        <w:rPr>
          <w:noProof/>
        </w:rPr>
        <w:br/>
        <w:t xml:space="preserve"> </w:t>
      </w:r>
      <w:r>
        <w:rPr>
          <w:noProof/>
        </w:rPr>
        <w:br/>
        <w:t>Zpráva vypracovaná v souladu s čl. 126 odst. 3 Smlouvy o fungování Evropské unie</w:t>
      </w:r>
    </w:p>
    <w:p>
      <w:pPr>
        <w:jc w:val="center"/>
        <w:rPr>
          <w:b/>
          <w:noProof/>
          <w:color w:val="FF0000"/>
          <w:sz w:val="24"/>
          <w:highlight w:val="cyan"/>
        </w:rPr>
      </w:pPr>
    </w:p>
    <w:p>
      <w:pPr>
        <w:keepNext/>
        <w:tabs>
          <w:tab w:val="left" w:pos="850"/>
        </w:tabs>
        <w:spacing w:before="360" w:after="120" w:line="240" w:lineRule="auto"/>
        <w:jc w:val="both"/>
        <w:outlineLvl w:val="0"/>
        <w:rPr>
          <w:rFonts w:ascii="Times New Roman" w:eastAsia="Times New Roman" w:hAnsi="Times New Roman" w:cs="Times New Roman"/>
          <w:b/>
          <w:smallCaps/>
          <w:noProof/>
          <w:sz w:val="24"/>
        </w:rPr>
      </w:pPr>
      <w:r>
        <w:rPr>
          <w:rFonts w:ascii="Times New Roman" w:hAnsi="Times New Roman"/>
          <w:b/>
          <w:smallCaps/>
          <w:noProof/>
          <w:sz w:val="24"/>
        </w:rPr>
        <w:t>1.</w:t>
      </w:r>
      <w:r>
        <w:rPr>
          <w:noProof/>
        </w:rPr>
        <w:tab/>
      </w:r>
      <w:r>
        <w:rPr>
          <w:rFonts w:ascii="Times New Roman" w:hAnsi="Times New Roman"/>
          <w:b/>
          <w:smallCaps/>
          <w:noProof/>
          <w:sz w:val="24"/>
        </w:rPr>
        <w:t xml:space="preserve">Úvod </w:t>
      </w:r>
    </w:p>
    <w:p>
      <w:pPr>
        <w:autoSpaceDE w:val="0"/>
        <w:autoSpaceDN w:val="0"/>
        <w:adjustRightInd w:val="0"/>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Dne 20. března 2020 přijala Komise sdělení o aktivaci obecné únikové doložky Paktu o stabilitě a růstu. Tato doložka stanovená v čl. 5 odst. 1, čl. 6 odst. 3, čl. 9 odst. 1 a čl. 10 odst. 3 nařízení (ES) č. 1466/97 a čl. 3 odst. 5 a čl. 5 odst. 2 nařízení (ES) č. 1467/97 usnadňuje koordinaci rozpočtových politik v dobách závažného hospodářského útlumu. Komise ve svém sdělení Radě předestřela svůj názor, že vzhledem k očekávanému závažnému hospodářskému útlumu v důsledku rozšíření onemocnění COVID-19 připouštějí stávající podmínky aktivaci doložky. Hodnocení Komise odsouhlasili 23. března 2020 ministři financí členských států. Aktivace obecné únikové doložky umožňuje dočasně se odchýlit od postupu korekce k dosažení střednědobého rozpočtového cíle, pokud to neohrozí udržitelnost veřejných financí ve střednědobém horizontu. Pokud jde o nápravnou složku, může Rada na doporučení Komise rovněž rozhodnout o přijetí revidované fiskální trajektorie. Obecná úniková doložka nicméně nepozastavuje postupy v rámci Paktu o stabilitě a růstu. Členským státům dovoluje odchýlit se od rozpočtových požadavků, které by se uplatňovaly za normálních okolností, a Komisi a Radě umožňuje provádět v rámci paktu nezbytná opatření pro koordinaci politik. </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Údaje oznámené polskými orgány dne 31. března 2020 a následně potvrzené Eurostatem</w:t>
      </w:r>
      <w:r>
        <w:rPr>
          <w:rStyle w:val="FootnoteReference"/>
          <w:rFonts w:eastAsiaTheme="minorHAnsi"/>
          <w:noProof/>
          <w:sz w:val="24"/>
          <w:szCs w:val="24"/>
        </w:rPr>
        <w:footnoteReference w:id="2"/>
      </w:r>
      <w:r>
        <w:rPr>
          <w:rFonts w:ascii="Times New Roman" w:hAnsi="Times New Roman"/>
          <w:noProof/>
          <w:sz w:val="24"/>
          <w:szCs w:val="24"/>
        </w:rPr>
        <w:t xml:space="preserve"> ukazují, že v roce 2019 dosáhl schodek veřejných financí v Polsku 0,7 % HDP, zatímco hrubý veřejný dluh činil 46,0 % HDP. Podle konvergenčního programu z roku 2020 plánuje Polsko v roce 2020 schodek ve výši 8,4 % HDP a dluh ve výši 55,2 % HDP.</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Plánovaný schodek na rok 2020 dokazuje zjevnou existenci nadměrného schodku, jak je stanoven v Paktu o stabilitě a růstu.</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Vzhledem k výše uvedeným skutečnostem proto Komise vypracovala tuto zprávu, v níž analyzuje, jak Polsko plní kritérium schodku stanovené ve Smlouvě. Kritérium dluhu lze považovat za splněné, jelikož poměr dluhu k HDP je pod úrovní referenční hodnoty 60 % HDP stanovené Smlouvou. Zpráva bere v úvahu všechny rozhodující faktory a věnuje náležitou pozornost závažnému hospodářskému otřesu v důsledku pandemie COVID-19. </w:t>
      </w:r>
    </w:p>
    <w:p>
      <w:pPr>
        <w:autoSpaceDE w:val="0"/>
        <w:autoSpaceDN w:val="0"/>
        <w:adjustRightInd w:val="0"/>
        <w:spacing w:before="120" w:after="0" w:line="240" w:lineRule="auto"/>
        <w:jc w:val="both"/>
        <w:rPr>
          <w:rFonts w:ascii="Times New Roman" w:eastAsia="Times New Roman" w:hAnsi="Times New Roman" w:cs="Times New Roman"/>
          <w:noProof/>
          <w:sz w:val="24"/>
          <w:lang w:eastAsia="en-GB"/>
        </w:rPr>
      </w:pPr>
    </w:p>
    <w:p>
      <w:pPr>
        <w:keepNext/>
        <w:spacing w:before="240" w:after="120" w:line="240" w:lineRule="auto"/>
        <w:jc w:val="center"/>
        <w:rPr>
          <w:rFonts w:ascii="Times New Roman" w:eastAsia="Times New Roman" w:hAnsi="Times New Roman" w:cs="Calibri"/>
          <w:noProof/>
          <w:sz w:val="24"/>
        </w:rPr>
      </w:pPr>
      <w:r>
        <w:rPr>
          <w:rFonts w:ascii="Times New Roman" w:hAnsi="Times New Roman"/>
          <w:b/>
          <w:noProof/>
          <w:sz w:val="24"/>
        </w:rPr>
        <w:t xml:space="preserve">Tabulka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rFonts w:ascii="Times New Roman" w:hAnsi="Times New Roman"/>
          <w:b/>
          <w:noProof/>
          <w:sz w:val="24"/>
        </w:rPr>
        <w:t xml:space="preserve">. Schodek veřejných financí a veřejný dluh (v % HDP) </w:t>
      </w:r>
    </w:p>
    <w:tbl>
      <w:tblPr>
        <w:tblStyle w:val="TableGrid"/>
        <w:tblW w:w="0" w:type="auto"/>
        <w:tblLook w:val="04A0" w:firstRow="1" w:lastRow="0" w:firstColumn="1" w:lastColumn="0" w:noHBand="0" w:noVBand="1"/>
      </w:tblPr>
      <w:tblGrid>
        <w:gridCol w:w="1154"/>
        <w:gridCol w:w="1172"/>
        <w:gridCol w:w="1152"/>
        <w:gridCol w:w="1152"/>
        <w:gridCol w:w="1152"/>
        <w:gridCol w:w="1152"/>
        <w:gridCol w:w="1154"/>
        <w:gridCol w:w="1154"/>
      </w:tblGrid>
      <w:tr>
        <w:trPr>
          <w:trHeight w:val="603"/>
        </w:trPr>
        <w:tc>
          <w:tcPr>
            <w:tcW w:w="1154" w:type="dxa"/>
          </w:tcPr>
          <w:p>
            <w:pPr>
              <w:keepNext/>
              <w:jc w:val="center"/>
              <w:rPr>
                <w:rFonts w:ascii="Times New Roman" w:eastAsia="Times New Roman" w:hAnsi="Times New Roman" w:cs="Calibri"/>
                <w:noProof/>
                <w:sz w:val="20"/>
                <w:szCs w:val="20"/>
                <w:lang w:eastAsia="en-GB"/>
              </w:rPr>
            </w:pPr>
          </w:p>
        </w:tc>
        <w:tc>
          <w:tcPr>
            <w:tcW w:w="1172" w:type="dxa"/>
          </w:tcPr>
          <w:p>
            <w:pPr>
              <w:keepNext/>
              <w:jc w:val="center"/>
              <w:rPr>
                <w:rFonts w:ascii="Times New Roman" w:eastAsia="Times New Roman" w:hAnsi="Times New Roman" w:cs="Calibri"/>
                <w:noProof/>
                <w:sz w:val="20"/>
                <w:szCs w:val="20"/>
                <w:lang w:eastAsia="en-GB"/>
              </w:rPr>
            </w:pP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2016</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2017</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2018</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2019</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2020</w:t>
            </w:r>
          </w:p>
          <w:p>
            <w:pPr>
              <w:keepNext/>
              <w:jc w:val="center"/>
              <w:rPr>
                <w:rFonts w:ascii="Times New Roman" w:eastAsia="Times New Roman" w:hAnsi="Times New Roman" w:cs="Calibri"/>
                <w:noProof/>
                <w:sz w:val="20"/>
                <w:szCs w:val="20"/>
              </w:rPr>
            </w:pPr>
            <w:r>
              <w:rPr>
                <w:rFonts w:ascii="Times New Roman" w:hAnsi="Times New Roman"/>
                <w:noProof/>
                <w:sz w:val="20"/>
                <w:szCs w:val="20"/>
              </w:rPr>
              <w:t>KOM</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2021</w:t>
            </w:r>
          </w:p>
          <w:p>
            <w:pPr>
              <w:keepNext/>
              <w:jc w:val="center"/>
              <w:rPr>
                <w:rFonts w:ascii="Times New Roman" w:eastAsia="Times New Roman" w:hAnsi="Times New Roman" w:cs="Calibri"/>
                <w:noProof/>
                <w:sz w:val="20"/>
                <w:szCs w:val="20"/>
              </w:rPr>
            </w:pPr>
            <w:r>
              <w:rPr>
                <w:rFonts w:ascii="Times New Roman" w:hAnsi="Times New Roman"/>
                <w:noProof/>
                <w:sz w:val="20"/>
                <w:szCs w:val="20"/>
              </w:rPr>
              <w:t>KOM</w:t>
            </w:r>
          </w:p>
        </w:tc>
      </w:tr>
      <w:tr>
        <w:tc>
          <w:tcPr>
            <w:tcW w:w="1154"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Kritérium schodku</w:t>
            </w:r>
          </w:p>
        </w:tc>
        <w:tc>
          <w:tcPr>
            <w:tcW w:w="1172"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Saldo veřejných financí</w:t>
            </w:r>
          </w:p>
        </w:tc>
        <w:tc>
          <w:tcPr>
            <w:tcW w:w="1152"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–2,4</w:t>
            </w:r>
          </w:p>
        </w:tc>
        <w:tc>
          <w:tcPr>
            <w:tcW w:w="1152"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–1,5</w:t>
            </w:r>
          </w:p>
        </w:tc>
        <w:tc>
          <w:tcPr>
            <w:tcW w:w="1152"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–0,2</w:t>
            </w:r>
          </w:p>
        </w:tc>
        <w:tc>
          <w:tcPr>
            <w:tcW w:w="1152"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–0,7</w:t>
            </w:r>
          </w:p>
        </w:tc>
        <w:tc>
          <w:tcPr>
            <w:tcW w:w="1154"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–9,5</w:t>
            </w:r>
          </w:p>
        </w:tc>
        <w:tc>
          <w:tcPr>
            <w:tcW w:w="1154"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–3,8</w:t>
            </w:r>
          </w:p>
        </w:tc>
      </w:tr>
      <w:tr>
        <w:tc>
          <w:tcPr>
            <w:tcW w:w="1154"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Kritérium dluhu</w:t>
            </w:r>
          </w:p>
        </w:tc>
        <w:tc>
          <w:tcPr>
            <w:tcW w:w="1172"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Hrubý veřejný dluh</w:t>
            </w:r>
          </w:p>
        </w:tc>
        <w:tc>
          <w:tcPr>
            <w:tcW w:w="1152"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54,3</w:t>
            </w:r>
          </w:p>
        </w:tc>
        <w:tc>
          <w:tcPr>
            <w:tcW w:w="1152"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50,6</w:t>
            </w:r>
          </w:p>
        </w:tc>
        <w:tc>
          <w:tcPr>
            <w:tcW w:w="1152"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48,8</w:t>
            </w:r>
          </w:p>
        </w:tc>
        <w:tc>
          <w:tcPr>
            <w:tcW w:w="1152"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46,0</w:t>
            </w:r>
          </w:p>
        </w:tc>
        <w:tc>
          <w:tcPr>
            <w:tcW w:w="1154"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58,5</w:t>
            </w:r>
          </w:p>
        </w:tc>
        <w:tc>
          <w:tcPr>
            <w:tcW w:w="1154"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58,3</w:t>
            </w:r>
          </w:p>
        </w:tc>
      </w:tr>
    </w:tbl>
    <w:p>
      <w:pPr>
        <w:keepNext/>
        <w:spacing w:after="0" w:line="240" w:lineRule="auto"/>
        <w:rPr>
          <w:rFonts w:ascii="Times New Roman" w:eastAsia="Times New Roman" w:hAnsi="Times New Roman" w:cs="Calibri"/>
          <w:noProof/>
          <w:sz w:val="24"/>
        </w:rPr>
      </w:pPr>
      <w:r>
        <w:rPr>
          <w:rFonts w:ascii="Times New Roman" w:hAnsi="Times New Roman"/>
          <w:noProof/>
          <w:sz w:val="20"/>
          <w:szCs w:val="20"/>
        </w:rPr>
        <w:t>Zdroj: Eurostat, prognóza Komise z jara 2020</w:t>
      </w:r>
    </w:p>
    <w:p>
      <w:pPr>
        <w:pStyle w:val="ManualHeading1"/>
        <w:rPr>
          <w:noProof/>
        </w:rPr>
      </w:pPr>
      <w:r>
        <w:rPr>
          <w:smallCaps w:val="0"/>
          <w:noProof/>
        </w:rPr>
        <w:t>2.</w:t>
      </w:r>
      <w:r>
        <w:rPr>
          <w:noProof/>
        </w:rPr>
        <w:tab/>
        <w:t xml:space="preserve">Kritérium schodku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Podle konvergenčního programu z roku 2020 plánuje Polsko v roce 2020 schodek veřejných financí ve výši 8,4 % HDP, což překračuje referenční hodnotu 3 % HDP stanovenou ve Smlouvě a této hodnotě se neblíží.</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Plánované překročení referenční hodnoty v roce 2020 je výjimečné, neboť je důsledkem závažného hospodářského útlumu. S ohledem na dopad pandemie COVID-19 na polskou ekonomiku předpokládá jarní prognóza Komise pokles reálného HDP v roce 2020 o 4,3 %.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Plánované překročení referenční hodnoty, jak je stanovena ve Smlouvě, není dočasné, neboť podle prognózy Komise z jara 2020 zůstane schodek nad úrovní 3 % HDP i v roce 2021.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Celkově lze říci, že schodek plánovaný pro rok 2020 překračuje referenční hodnotu 3 % HDP stanovenou ve Smlouvě a této hodnotě se neblíží. Plánované překročení je na základě vymezení ve Smlouvě a v Paktu o stabilitě a růstu považováno za výjimečné, avšak nikoli dočasné. </w:t>
      </w:r>
      <w:r>
        <w:rPr>
          <w:rFonts w:ascii="Times New Roman" w:hAnsi="Times New Roman"/>
          <w:noProof/>
          <w:sz w:val="24"/>
        </w:rPr>
        <w:t>Z analýzy tedy vyplývá, že kritérium schodku stanovené ve Smlouvě a v nařízení (ES) č. 1467/97 zjevně není splněno.</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3.</w:t>
      </w:r>
      <w:r>
        <w:rPr>
          <w:noProof/>
        </w:rPr>
        <w:tab/>
      </w:r>
      <w:r>
        <w:rPr>
          <w:rFonts w:ascii="Times New Roman" w:hAnsi="Times New Roman"/>
          <w:b/>
          <w:smallCaps/>
          <w:noProof/>
          <w:sz w:val="24"/>
        </w:rPr>
        <w:t>Rozhodující faktory</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V čl. 126 odst. 3 Smlouvy se stanoví, že nesplňuje-li členský stát požadavky podle jednoho nebo žádného z těchto kritérií, Komise vypracuje zprávu. Uvedená zpráva rovněž „přihlédne k tomu, zda schodek veřejných financí překračuje veřejné investiční výdaje, jakož i ke všem dalším rozhodujícím faktorům včetně střednědobé hospodářské a rozpočtové pozice členského státu“. </w:t>
      </w:r>
    </w:p>
    <w:p>
      <w:pPr>
        <w:spacing w:before="120" w:after="120" w:line="240" w:lineRule="auto"/>
        <w:jc w:val="both"/>
        <w:rPr>
          <w:rFonts w:ascii="Times New Roman" w:eastAsia="Times New Roman" w:hAnsi="Times New Roman" w:cs="Times New Roman"/>
          <w:noProof/>
          <w:sz w:val="24"/>
        </w:rPr>
      </w:pPr>
      <w:r>
        <w:rPr>
          <w:rFonts w:ascii="Times New Roman" w:hAnsi="Times New Roman"/>
          <w:bCs/>
          <w:noProof/>
          <w:sz w:val="24"/>
        </w:rPr>
        <w:t>Tyto faktory jsou dále upřesněny v čl. 2 odst. 3 nařízení (ES) č. 1467/97, kde se rovněž stanoví, že je třeba věnovat patřičnou pozornost „všem ostatním faktorům, které jsou podle názoru dotčeného členského státu rozhodující pro celkové posouzení souladu s kritérii schodku a dluhu a které členský stát sdělil Radě a Komisi“.</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V současné situaci je dalším klíčovým faktorem, který je třeba vzít v úvahu, pokud jde o rok 2020, hospodářský dopad pandemie COVID-19, která velmi výrazně ovlivňuje rozpočtovou situaci a vede k vysoce nejistému výhledu. Pandemie rovněž vedla k aktivaci obecné únikové doložky.</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3.1</w:t>
      </w:r>
      <w:r>
        <w:rPr>
          <w:noProof/>
        </w:rPr>
        <w:tab/>
      </w:r>
      <w:r>
        <w:rPr>
          <w:noProof/>
        </w:rPr>
        <w:tab/>
      </w:r>
      <w:r>
        <w:rPr>
          <w:rFonts w:ascii="Times New Roman" w:hAnsi="Times New Roman"/>
          <w:b/>
          <w:noProof/>
          <w:sz w:val="24"/>
        </w:rPr>
        <w:t>Pandemie COVID-19</w:t>
      </w:r>
    </w:p>
    <w:p>
      <w:pPr>
        <w:spacing w:before="120" w:after="120" w:line="240" w:lineRule="auto"/>
        <w:jc w:val="both"/>
        <w:rPr>
          <w:rFonts w:ascii="Times New Roman" w:hAnsi="Times New Roman" w:cs="Times New Roman"/>
          <w:noProof/>
          <w:sz w:val="24"/>
          <w:szCs w:val="24"/>
        </w:rPr>
      </w:pPr>
      <w:r>
        <w:rPr>
          <w:rFonts w:ascii="Times New Roman" w:hAnsi="Times New Roman"/>
          <w:bCs/>
          <w:noProof/>
          <w:sz w:val="24"/>
          <w:szCs w:val="24"/>
        </w:rPr>
        <w:t xml:space="preserve">Pandemie COVID-19 zapříčinila velký hospodářský otřes, který má v celé Evropské unii výrazný negativní dopad. Důsledky pro růst HDP budou záviset na době trvání pandemie i na tom, jaká opatření budou přijata na úrovni jednotlivých členských států a na evropské i celosvětové úrovni ke zpomalení jejího šíření, k ochraně výrobních kapacit a k podpoře agregátní poptávky. </w:t>
      </w:r>
      <w:r>
        <w:rPr>
          <w:rFonts w:ascii="Times New Roman" w:hAnsi="Times New Roman"/>
          <w:noProof/>
          <w:sz w:val="24"/>
          <w:szCs w:val="24"/>
        </w:rPr>
        <w:t>Členské státy již přijaly nebo právě přijímají rozpočtová opatření ke zvýšení kapacity systémů zdravotní péče a k poskytování pomoci jednotlivcům a odvětvím, na něž má tato krize největší dopad. Byla rovněž přijata významná opatření na podporu likvidity a další záruky. Na základě podrobnějších informací posoudí příslušné statistické úřady, zda mají tato opatření bezprostřední dopad na saldo veřejných financí, či nikoli. Tato opatření přispějí spolu s poklesem ekonomické aktivity k podstatně vyššímu schodku veřejných financí a vyššímu zadlužení.</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3.2</w:t>
      </w:r>
      <w:r>
        <w:rPr>
          <w:noProof/>
        </w:rPr>
        <w:tab/>
      </w:r>
      <w:r>
        <w:rPr>
          <w:rFonts w:ascii="Times New Roman" w:hAnsi="Times New Roman"/>
          <w:b/>
          <w:noProof/>
          <w:sz w:val="24"/>
        </w:rPr>
        <w:t xml:space="preserve">Střednědobá hospodářská situace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V roce 2019 překročil hospodářský růst 4 %, a to zejména díky silné domácí poptávce. </w:t>
      </w:r>
      <w:r>
        <w:rPr>
          <w:rFonts w:ascii="Times New Roman" w:hAnsi="Times New Roman"/>
          <w:noProof/>
          <w:sz w:val="24"/>
        </w:rPr>
        <w:t>Kvůli pandemii COVID-19 však prognóza Komise z jara 2020 předpokládá, že v roce 2020 klesne HDP o 4,3 %, neboť se projeví narušení hospodářské činnosti v důsledku opatření omezujících volný pohyb osob a bezprecedentního poklesu vnější poptávky.</w:t>
      </w:r>
      <w:r>
        <w:rPr>
          <w:rFonts w:ascii="Times New Roman" w:hAnsi="Times New Roman"/>
          <w:noProof/>
          <w:sz w:val="24"/>
          <w:szCs w:val="24"/>
        </w:rPr>
        <w:t xml:space="preserve"> Předpokládá se, že soukromá spotřeba bude těžce zasažena nárůstem nezaměstnanosti, prudkým poklesem růstu mezd a nízkou důvěrou spotřebitelů. Výrazný propad lze v roce 2020 očekávat také u investic. Produkce se v první polovině roku pravděpodobně výrazně sníží a od třetího čtvrtletí se začne opět postupně zotavovat. Tento výhled se vyznačuje mimořádným stupněm nejistoty ohledně doby trvání a hospodářského dopadu pandemie. Při posuzování toho, zda Polsko v roce 2020 splní kritérium schodku, představuje tato skutečnost zmírňující faktor.</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3.3</w:t>
      </w:r>
      <w:r>
        <w:rPr>
          <w:noProof/>
        </w:rPr>
        <w:tab/>
      </w:r>
      <w:r>
        <w:rPr>
          <w:noProof/>
        </w:rPr>
        <w:tab/>
      </w:r>
      <w:r>
        <w:rPr>
          <w:rFonts w:ascii="Times New Roman" w:hAnsi="Times New Roman"/>
          <w:b/>
          <w:noProof/>
          <w:sz w:val="24"/>
          <w:szCs w:val="24"/>
        </w:rPr>
        <w:t>Střednědobá rozpočtová situace</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Dne 13. července 2018 bylo Polsku doporučeno zajistit, aby nominální míra růstu čistých primárních výdajů vládních institucí v roce 2019 nepřekročila 4,2 % („výdajové kritérium“), což odpovídá strukturální korekci ve výši 0,6 % HDP</w:t>
      </w:r>
      <w:r>
        <w:rPr>
          <w:rStyle w:val="FootnoteReference"/>
          <w:rFonts w:eastAsiaTheme="minorHAnsi"/>
          <w:noProof/>
        </w:rPr>
        <w:footnoteReference w:id="3"/>
      </w:r>
      <w:r>
        <w:rPr>
          <w:noProof/>
        </w:rPr>
        <w:t>.</w:t>
      </w:r>
      <w:r>
        <w:rPr>
          <w:rFonts w:ascii="Times New Roman" w:hAnsi="Times New Roman"/>
          <w:noProof/>
          <w:sz w:val="24"/>
          <w:szCs w:val="24"/>
        </w:rPr>
        <w:t xml:space="preserve"> </w:t>
      </w:r>
      <w:r>
        <w:rPr>
          <w:rFonts w:ascii="Times New Roman" w:hAnsi="Times New Roman"/>
          <w:noProof/>
          <w:sz w:val="24"/>
        </w:rPr>
        <w:t>Celkové posouzení ukazuje na závažnou odchylku od doporučeného postupu korekce k dosažení střednědobého rozpočtového cíle v roce 2019 a v letech 2018–2019 dohromady.</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Konvergenční program obsahuje informace o podstatných nových výdajích (s fiskálním dopadem odpovídajícím 3,2 % HDP v roce 2020) ke zvládnutí pandemie a na podporu ekonomiky. Nejvyšší výdaje jsou plánovány na příspěvky pro osoby samostatně výdělečně činné a osoby zaměstnané na nestandardní pracovní smlouvy, na osvobození společností od sociálních příspěvků a na dotace na mzdy pro určité podniky</w:t>
      </w:r>
      <w:r>
        <w:rPr>
          <w:rStyle w:val="FootnoteReference"/>
          <w:rFonts w:eastAsiaTheme="minorHAnsi"/>
          <w:noProof/>
        </w:rPr>
        <w:footnoteReference w:id="4"/>
      </w:r>
      <w:r>
        <w:rPr>
          <w:rFonts w:ascii="Times New Roman" w:hAnsi="Times New Roman"/>
          <w:noProof/>
          <w:sz w:val="24"/>
        </w:rPr>
        <w:t>. Konvergenční program rovněž zohledňuje výrazný pokles veřejných příjmů v důsledku krize a cyklických účinků. V roce 2021 podle konvergenčního programu příjmy díky oživení ekonomiky a cyklickým faktorům pravděpodobně opět porostou. Konvergenční program nezmiňuje vysoké nové výdaje na podporu hospodářství. Konvergenční program zdůrazňuje, že uvedená projekce je spojena s vysokou nejistotou, která panuje ohledně vývoje pandemie, délky a přísnosti hygienických opatření, síly hospodářského oživení, politiky centrální banky a vnější situace.</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3.4</w:t>
      </w:r>
      <w:r>
        <w:rPr>
          <w:noProof/>
        </w:rPr>
        <w:tab/>
      </w:r>
      <w:r>
        <w:rPr>
          <w:rFonts w:ascii="Times New Roman" w:hAnsi="Times New Roman"/>
          <w:b/>
          <w:noProof/>
          <w:sz w:val="24"/>
        </w:rPr>
        <w:t>Další faktory, na něž Polsko poukázalo</w:t>
      </w:r>
    </w:p>
    <w:p>
      <w:pPr>
        <w:spacing w:before="120" w:after="120" w:line="240" w:lineRule="auto"/>
        <w:jc w:val="both"/>
        <w:rPr>
          <w:rFonts w:ascii="Times New Roman" w:eastAsia="Times New Roman" w:hAnsi="Times New Roman" w:cs="Calibri"/>
          <w:bCs/>
          <w:noProof/>
          <w:sz w:val="24"/>
          <w:highlight w:val="yellow"/>
        </w:rPr>
      </w:pPr>
      <w:r>
        <w:rPr>
          <w:rFonts w:ascii="Times New Roman" w:hAnsi="Times New Roman"/>
          <w:bCs/>
          <w:noProof/>
          <w:sz w:val="24"/>
        </w:rPr>
        <w:t xml:space="preserve">Dne 11. května 2020 zaslaly polské orgány v souladu s čl. 2 odst. 3 nařízení (ES) č. 1467/97 dopis, v němž uvedly rozhodující faktory. Hlavní uvedené faktory již v zásadě pokrývá analýza obsažená v předchozích oddílech. Dalším faktorem, který není zmíněn výše, je odhodlání vlády snížit nadměrný schodek co nejdříve. Díky stabilizačnímu výdajovému pravidlu plánují úřady v roce 2021 přiblížit schodek hodnotě 3 % HDP, pokud hospodářská situace nebude vyžadovat žádný další fiskální impuls. </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4.</w:t>
      </w:r>
      <w:r>
        <w:rPr>
          <w:noProof/>
        </w:rPr>
        <w:tab/>
      </w:r>
      <w:r>
        <w:rPr>
          <w:rFonts w:ascii="Times New Roman" w:hAnsi="Times New Roman"/>
          <w:b/>
          <w:smallCaps/>
          <w:noProof/>
          <w:sz w:val="24"/>
        </w:rPr>
        <w:t>Závěry</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Podle konvergenčního programu má v roce 2020 schodek veřejných financí Polska dosáhnout 8,4 % HDP, což překračuje referenční hodnotu 3 % HDP stanovenou ve Smlouvě a této hodnotě se neblíží. Plánované překročení referenční hodnoty je považováno za výjimečné, nikoli však dočasné. </w:t>
      </w:r>
    </w:p>
    <w:p>
      <w:pPr>
        <w:spacing w:before="120" w:after="120" w:line="240" w:lineRule="auto"/>
        <w:jc w:val="both"/>
        <w:rPr>
          <w:rFonts w:ascii="Times New Roman" w:eastAsia="Times New Roman" w:hAnsi="Times New Roman" w:cs="Times New Roman"/>
          <w:noProof/>
          <w:sz w:val="24"/>
        </w:rPr>
      </w:pPr>
      <w:r>
        <w:rPr>
          <w:rFonts w:ascii="Times New Roman" w:hAnsi="Times New Roman"/>
          <w:bCs/>
          <w:noProof/>
          <w:sz w:val="24"/>
        </w:rPr>
        <w:t xml:space="preserve">V souladu se Smlouvou a s Paktem o stabilitě a růstu byly v této zprávě rovněž posouzeny rozhodující faktory. </w:t>
      </w:r>
      <w:r>
        <w:rPr>
          <w:rFonts w:ascii="Times New Roman" w:hAnsi="Times New Roman"/>
          <w:noProof/>
          <w:sz w:val="24"/>
        </w:rPr>
        <w:t xml:space="preserve">Vzhledem k tomu, že plánovaný schodek výrazně převyšuje 3 % HDP a toto překročení není dočasné, a s přihlédnutím ke všem rozhodujícím faktorům z analýzy celkově vyplývá, že kritérium schodku stanovené ve Smlouvě a v nařízení (ES) č. 1467/97 není splněno. </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https://ec.europa.eu/eurostat/documents/2995521/10294648/2-22042020-AP-EN.pdf/6c8f0ef4-6221-1094-fef7-a07764b0369f</w:t>
      </w:r>
    </w:p>
  </w:footnote>
  <w:footnote w:id="3">
    <w:p>
      <w:pPr>
        <w:pStyle w:val="FootnoteText"/>
      </w:pPr>
      <w:r>
        <w:rPr>
          <w:rStyle w:val="FootnoteReference"/>
        </w:rPr>
        <w:footnoteRef/>
      </w:r>
      <w:r>
        <w:t xml:space="preserve"> Doporučení Rady ze dne 13. července 2018 k národnímu programu reforem Polska na rok 2018 a stanovisko Rady ke konvergenčnímu programu Polska z roku 2018, Úř. věst. C 320, 10.9.2018, s. 88.</w:t>
      </w:r>
    </w:p>
  </w:footnote>
  <w:footnote w:id="4">
    <w:p>
      <w:pPr>
        <w:pStyle w:val="FootnoteText"/>
      </w:pPr>
      <w:r>
        <w:rPr>
          <w:rStyle w:val="FootnoteReference"/>
        </w:rPr>
        <w:footnoteRef/>
      </w:r>
      <w:r>
        <w:t xml:space="preserve"> Konvergenční program zmiňuje také úvěry, které mají být vyplaceny polským rozvojovým fondem a jejichž celková výše činí 100 miliard PLN, z čehož se 60 miliard PLN plánuje změnit na granty, jež nebudou vykázány jako výdaje v roce 2020. Prognóza Komise z jara 2020 předpokládá, že očekávaná nevyplacená částka bude vykázána jako kapitálové transfery při výplatě úvěrů podnikům (tj. v roce 2020).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3">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4">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5">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8">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9">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6"/>
  </w:num>
  <w:num w:numId="2">
    <w:abstractNumId w:val="35"/>
  </w:num>
  <w:num w:numId="3">
    <w:abstractNumId w:val="8"/>
  </w:num>
  <w:num w:numId="4">
    <w:abstractNumId w:val="2"/>
  </w:num>
  <w:num w:numId="5">
    <w:abstractNumId w:val="1"/>
  </w:num>
  <w:num w:numId="6">
    <w:abstractNumId w:val="32"/>
  </w:num>
  <w:num w:numId="7">
    <w:abstractNumId w:val="4"/>
  </w:num>
  <w:num w:numId="8">
    <w:abstractNumId w:val="12"/>
  </w:num>
  <w:num w:numId="9">
    <w:abstractNumId w:val="39"/>
  </w:num>
  <w:num w:numId="10">
    <w:abstractNumId w:val="13"/>
  </w:num>
  <w:num w:numId="11">
    <w:abstractNumId w:val="27"/>
  </w:num>
  <w:num w:numId="12">
    <w:abstractNumId w:val="21"/>
  </w:num>
  <w:num w:numId="13">
    <w:abstractNumId w:val="34"/>
  </w:num>
  <w:num w:numId="14">
    <w:abstractNumId w:val="38"/>
  </w:num>
  <w:num w:numId="15">
    <w:abstractNumId w:val="25"/>
  </w:num>
  <w:num w:numId="16">
    <w:abstractNumId w:val="15"/>
  </w:num>
  <w:num w:numId="17">
    <w:abstractNumId w:val="31"/>
  </w:num>
  <w:num w:numId="18">
    <w:abstractNumId w:val="10"/>
  </w:num>
  <w:num w:numId="19">
    <w:abstractNumId w:val="16"/>
  </w:num>
  <w:num w:numId="20">
    <w:abstractNumId w:val="7"/>
  </w:num>
  <w:num w:numId="21">
    <w:abstractNumId w:val="29"/>
  </w:num>
  <w:num w:numId="22">
    <w:abstractNumId w:val="6"/>
  </w:num>
  <w:num w:numId="23">
    <w:abstractNumId w:val="17"/>
  </w:num>
  <w:num w:numId="24">
    <w:abstractNumId w:val="23"/>
  </w:num>
  <w:num w:numId="25">
    <w:abstractNumId w:val="24"/>
  </w:num>
  <w:num w:numId="26">
    <w:abstractNumId w:val="9"/>
  </w:num>
  <w:num w:numId="27">
    <w:abstractNumId w:val="20"/>
  </w:num>
  <w:num w:numId="28">
    <w:abstractNumId w:val="37"/>
  </w:num>
  <w:num w:numId="29">
    <w:abstractNumId w:val="0"/>
  </w:num>
  <w:num w:numId="30">
    <w:abstractNumId w:val="18"/>
  </w:num>
  <w:num w:numId="31">
    <w:abstractNumId w:val="28"/>
  </w:num>
  <w:num w:numId="32">
    <w:abstractNumId w:val="11"/>
  </w:num>
  <w:num w:numId="33">
    <w:abstractNumId w:val="22"/>
  </w:num>
  <w:num w:numId="34">
    <w:abstractNumId w:val="5"/>
  </w:num>
  <w:num w:numId="35">
    <w:abstractNumId w:val="19"/>
  </w:num>
  <w:num w:numId="36">
    <w:abstractNumId w:val="30"/>
  </w:num>
  <w:num w:numId="37">
    <w:abstractNumId w:val="13"/>
  </w:num>
  <w:num w:numId="38">
    <w:abstractNumId w:val="36"/>
  </w:num>
  <w:num w:numId="39">
    <w:abstractNumId w:val="14"/>
  </w:num>
  <w:num w:numId="4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revisionView w:markup="0"/>
  <w:defaultTabStop w:val="720"/>
  <w:hyphenationZone w:val="425"/>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D51DB88-22A0-4612-A96D-E4F7A78BD7A2"/>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V Bruselu dne "/>
    <w:docVar w:name="LW_EMISSION_SUFFIX" w:val=" "/>
    <w:docVar w:name="LW_ID_DOCTYPE_NONLW" w:val="CP-003"/>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20) 5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Polsko _x000b_ _x000b_Zpráva vypracovaná v souladu s \u269?l. 126 odst. 3 Smlouvy o fungování Evropské unie"/>
    <w:docVar w:name="LW_TYPE.DOC.CP" w:val="ZPRÁVA KOMISE"/>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015116248">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 w:id="202717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4D9CF-4830-4DA8-AB00-F276FCEF1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1352</Words>
  <Characters>7653</Characters>
  <Application>Microsoft Office Word</Application>
  <DocSecurity>0</DocSecurity>
  <Lines>156</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17</cp:revision>
  <cp:lastPrinted>2019-05-13T14:09:00Z</cp:lastPrinted>
  <dcterms:created xsi:type="dcterms:W3CDTF">2020-05-18T14:59:00Z</dcterms:created>
  <dcterms:modified xsi:type="dcterms:W3CDTF">2020-06-03T14:21:00Z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CP-003</vt:lpwstr>
  </property>
</Properties>
</file>