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740CE3C-C941-43E8-B4C2-0A81F3B61877" style="width:450.3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TAL-KUMMISSJONI</w:t>
      </w:r>
    </w:p>
    <w:p>
      <w:pPr>
        <w:pStyle w:val="Titreobjet"/>
        <w:rPr>
          <w:noProof/>
        </w:rPr>
      </w:pPr>
      <w:r>
        <w:rPr>
          <w:noProof/>
        </w:rPr>
        <w:t>L-Irlanda</w:t>
      </w:r>
      <w:r>
        <w:rPr>
          <w:noProof/>
        </w:rPr>
        <w:br/>
      </w:r>
      <w:r>
        <w:rPr>
          <w:noProof/>
        </w:rPr>
        <w:br/>
        <w:t>Rapport imħejji f’konformità mal-Artikolu 126(3) tat-Trattat dwar il-Funzjonament tal-Unjoni Ewropea</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rPr>
        <w:t>1.</w:t>
      </w:r>
      <w:r>
        <w:rPr>
          <w:rFonts w:ascii="Times New Roman" w:hAnsi="Times New Roman"/>
          <w:b/>
          <w:smallCaps/>
          <w:noProof/>
        </w:rPr>
        <w:tab/>
        <w:t xml:space="preserve">Introduzzjoni </w:t>
      </w:r>
    </w:p>
    <w:p>
      <w:pPr>
        <w:autoSpaceDE w:val="0"/>
        <w:autoSpaceDN w:val="0"/>
        <w:adjustRightInd w:val="0"/>
        <w:spacing w:before="120" w:after="0" w:line="240" w:lineRule="auto"/>
        <w:jc w:val="both"/>
        <w:rPr>
          <w:rFonts w:ascii="Times New Roman" w:hAnsi="Times New Roman"/>
          <w:noProof/>
          <w:sz w:val="24"/>
          <w:szCs w:val="24"/>
        </w:rPr>
      </w:pPr>
      <w:r>
        <w:rPr>
          <w:rFonts w:ascii="Times New Roman" w:hAnsi="Times New Roman"/>
          <w:noProof/>
        </w:rPr>
        <w:t>Fl-20 ta’ Marzu 2020, il-Kummissjoni adottat Komunikazzjoni dwar l-attivazzjoni tal-klawżola liberatorja ġenerali tal-Patt ta’ Stabbiltà u Tkabbir.  Il-klawżola, kif inhu stipulat fl-Artikoli 5(1), 6(3), 9(1) u 10(3) tar-Regolament (KE) 1466/97 u l-Artikoli 3(5) u 5(2) tar-Regolament (KE) 1467/97, tiffaċilita l-koordinazzjoni tal-politiki baġitarji fi żminijiet ta’ tnaqqis qawwi fir-ritmu ekonomiku. Fil-Komunikazzjoni tagħha, il-Kummissjoni qablet mal-Kunsill fil-fehma tagħha li, minħabba t-tnaqqis fir-ritmu ekonomiku qawwi li mistenni li jirriżulta mit-tifqigħa tal-COVID-19, il-kundizzjonijiet attwali jippermettu l-attivazzjoni tal-klawżola. Fit-23 ta’ Marzu 2020, il-Ministri tal-Finanzi tal-Istati Membri qablu mal-valutazzjoni tal-Kummissjoni. L-attivazzjoni tal-klawżola liberatorja ġenerali tippermetti għal tluq temporanju mill-perkors ta’ aġġustament lejn l-objettiv baġitarju fi żmien medju, sakemm dan ma jipperikolax is-sostenibbiltà fiskali fi żmien medju. Għall-parti korrettiva, il-Kunsill jista’ jiddeċiedi wkoll, fuq rakkomandazzjoni mill-Kummissjoni, li jadotta trajettorja fiskali riveduta. Il-klawżola liberatorja ġenerali ma tissospendix il-proċeduri tal-Patt ta’ Stabbiltà u Tkabbir. Dan jippermetti li l-Istati Membri jitbiegħdu mir-rekwiżiti baġitarji li normalment japplikaw filwaqt li jippermetti lill-Kummissjoni u lill-Kunsill li jwettqu l-miżuri ta’ koordinazzjoni tal-politika meħtieġa fil-qafas tal-Patt.</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Id-</w:t>
      </w:r>
      <w:r>
        <w:rPr>
          <w:rFonts w:ascii="Times New Roman" w:hAnsi="Times New Roman"/>
          <w:i/>
          <w:iCs/>
          <w:noProof/>
        </w:rPr>
        <w:t>data</w:t>
      </w:r>
      <w:r>
        <w:rPr>
          <w:rFonts w:ascii="Times New Roman" w:hAnsi="Times New Roman"/>
          <w:noProof/>
        </w:rPr>
        <w:t xml:space="preserve"> nnotifikata mill-awtoritajiet Irlandiżi fil-31 ta’ Marzu 2020 u sussegwentement ivvalidata mill-Eurostat</w:t>
      </w:r>
      <w:r>
        <w:rPr>
          <w:rStyle w:val="FootnoteReference"/>
          <w:rFonts w:eastAsiaTheme="minorHAnsi"/>
          <w:noProof/>
        </w:rPr>
        <w:footnoteReference w:id="2"/>
      </w:r>
      <w:r>
        <w:rPr>
          <w:rFonts w:ascii="Times New Roman" w:hAnsi="Times New Roman"/>
          <w:noProof/>
        </w:rPr>
        <w:t xml:space="preserve"> turi li l-bilanċ tal-amministrazzjoni pubblika fl-Irlanda laħaq iż-0,4 % tal-PDG fl-2019, filwaqt li d-dejn gross tal-amministrazzjoni pubblika kien ta’ 58,8 % tal-PDG. Skont il-Programm ta’ Stabbiltà tal-2020, l-Irlanda qed tippjana defiċit ta’ 7,4 % tal-PDG fl-2020, filwaqt li d-dejn huwa ppjanat li jkun ta’ 69,1 % tal-PDG.</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rPr>
        <w:t xml:space="preserve">Id-defiċit ippjanat għall-2020 jipprevedi evidenza </w:t>
      </w:r>
      <w:r>
        <w:rPr>
          <w:rFonts w:ascii="Times New Roman" w:hAnsi="Times New Roman"/>
          <w:i/>
          <w:iCs/>
          <w:noProof/>
        </w:rPr>
        <w:t>prima facie</w:t>
      </w:r>
      <w:r>
        <w:rPr>
          <w:rFonts w:ascii="Times New Roman" w:hAnsi="Times New Roman"/>
          <w:noProof/>
        </w:rPr>
        <w:t xml:space="preserve"> tal-eżistenza ta’ defiċit eċċessiv kif definit mill-Patt ta’ Stabbiltà u Tkabbir.</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 xml:space="preserve">F’dan l-isfond, għalhekk, il-Kummissjoni ħejjiet dan ir-rapport, li janalizza l-konformità tal-Irlanda mal-kriterju tad-defiċit tat-Trattat. Il-kriterju tad-dejn jista’ jitqies li ġie ssodisfat hekk kif il-proporzjon tad-dejn fl-2019 kien taħt il-valur referenzjarju tat-Trattat ta’ 60 % tal-PDG. Ir-rapport iqis il-fatturi rilevanti kollha u jikkunsidra kif xieraq ix-xokk ekonomiku kbir marbut mal-pandemija tal-COVID-19. </w:t>
      </w:r>
    </w:p>
    <w:p>
      <w:pPr>
        <w:autoSpaceDE w:val="0"/>
        <w:autoSpaceDN w:val="0"/>
        <w:adjustRightInd w:val="0"/>
        <w:spacing w:before="120" w:after="0" w:line="240" w:lineRule="auto"/>
        <w:jc w:val="both"/>
        <w:rPr>
          <w:rFonts w:ascii="Times New Roman" w:eastAsia="Times New Roman" w:hAnsi="Times New Roman" w:cs="Times New Roman"/>
          <w:noProof/>
          <w:sz w:val="24"/>
        </w:rPr>
      </w:pP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rPr>
        <w:t xml:space="preserve">Tabella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SEQ Table \* ARABIC </w:instrText>
      </w:r>
      <w:r>
        <w:rPr>
          <w:rFonts w:ascii="Times New Roman" w:eastAsia="Times New Roman" w:hAnsi="Times New Roman" w:cs="Times New Roman"/>
          <w:b/>
          <w:noProof/>
        </w:rPr>
        <w:fldChar w:fldCharType="separate"/>
      </w:r>
      <w:r>
        <w:rPr>
          <w:rFonts w:ascii="Times New Roman" w:eastAsia="Times New Roman" w:hAnsi="Times New Roman" w:cs="Times New Roman"/>
          <w:b/>
          <w:noProof/>
        </w:rPr>
        <w:t>1</w:t>
      </w:r>
      <w:r>
        <w:rPr>
          <w:rFonts w:ascii="Times New Roman" w:eastAsia="Times New Roman" w:hAnsi="Times New Roman" w:cs="Times New Roman"/>
          <w:b/>
          <w:noProof/>
        </w:rPr>
        <w:fldChar w:fldCharType="end"/>
      </w:r>
      <w:r>
        <w:rPr>
          <w:rFonts w:ascii="Times New Roman" w:hAnsi="Times New Roman"/>
          <w:b/>
          <w:noProof/>
        </w:rPr>
        <w:t xml:space="preserve">. Defiċit u dejn tal-amministrazzjoni pubblika (% tal-PDG) </w:t>
      </w:r>
    </w:p>
    <w:tbl>
      <w:tblPr>
        <w:tblStyle w:val="TableGrid"/>
        <w:tblW w:w="0" w:type="auto"/>
        <w:tblLook w:val="04A0" w:firstRow="1" w:lastRow="0" w:firstColumn="1" w:lastColumn="0" w:noHBand="0" w:noVBand="1"/>
      </w:tblPr>
      <w:tblGrid>
        <w:gridCol w:w="1115"/>
        <w:gridCol w:w="1605"/>
        <w:gridCol w:w="1084"/>
        <w:gridCol w:w="1084"/>
        <w:gridCol w:w="1084"/>
        <w:gridCol w:w="1084"/>
        <w:gridCol w:w="1093"/>
        <w:gridCol w:w="1093"/>
      </w:tblGrid>
      <w:tr>
        <w:trPr>
          <w:trHeight w:val="603"/>
        </w:trPr>
        <w:tc>
          <w:tcPr>
            <w:tcW w:w="1154" w:type="dxa"/>
          </w:tcPr>
          <w:p>
            <w:pPr>
              <w:keepNext/>
              <w:jc w:val="center"/>
              <w:rPr>
                <w:rFonts w:ascii="Times New Roman" w:eastAsia="Times New Roman" w:hAnsi="Times New Roman" w:cs="Calibri"/>
                <w:noProof/>
                <w:sz w:val="20"/>
                <w:szCs w:val="20"/>
              </w:rPr>
            </w:pPr>
          </w:p>
        </w:tc>
        <w:tc>
          <w:tcPr>
            <w:tcW w:w="1172" w:type="dxa"/>
          </w:tcPr>
          <w:p>
            <w:pPr>
              <w:keepNext/>
              <w:jc w:val="center"/>
              <w:rPr>
                <w:rFonts w:ascii="Times New Roman" w:eastAsia="Times New Roman" w:hAnsi="Times New Roman" w:cs="Calibri"/>
                <w:noProof/>
                <w:sz w:val="20"/>
                <w:szCs w:val="20"/>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Kriterju tad-defiċit</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Bilanċ tal-amministrazzjoni pubblika</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-0,3</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0,1</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0,4</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-5,6</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-2,9</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Kriterju tad-dejn</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Dejn gross tal-amministrazzjoni pubblika</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73,8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67,7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63,5</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58,8</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66,4</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66,7</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Sors: Eurostat, Tbassir tar-rebbiegħa 2020 tal-Kummissjoni Ewropea</w:t>
      </w:r>
    </w:p>
    <w:p>
      <w:pPr>
        <w:pStyle w:val="ManualHeading1"/>
        <w:rPr>
          <w:noProof/>
        </w:rPr>
      </w:pPr>
      <w:r>
        <w:rPr>
          <w:smallCaps w:val="0"/>
          <w:noProof/>
        </w:rPr>
        <w:t>2.</w:t>
      </w:r>
      <w:r>
        <w:rPr>
          <w:b w:val="0"/>
          <w:smallCaps w:val="0"/>
          <w:noProof/>
        </w:rPr>
        <w:tab/>
      </w:r>
      <w:r>
        <w:rPr>
          <w:noProof/>
        </w:rPr>
        <w:t>Kriterju</w:t>
      </w:r>
      <w:r>
        <w:rPr>
          <w:b w:val="0"/>
          <w:smallCaps w:val="0"/>
          <w:noProof/>
        </w:rPr>
        <w:t xml:space="preserve"> </w:t>
      </w:r>
      <w:r>
        <w:rPr>
          <w:noProof/>
        </w:rPr>
        <w:t>tad-defiċit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Fuq il-bażi tal-Programm ta’ Stabbiltà tal-2020, id-defiċit tal-amministrazzjoni pubblika tal-Irlanda fl-2020 huwa ppjanat li jilħaq is-7,4 % tal-PDG, ferm 'il fuq u bl-ebda mod qrib il-valur referenzjarju tat-Trattat ta’ 3 % tal-PDG.</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L-eċċess ippjanat fuq il-valur referenzjarju tat-Trattat fl-2020 huwa eċċezzjonali, minħabba li jirriżulta minn tnaqqis qawwi fir-ritmu ekonomiku. Filwaqt li jitqies l-impatt tal-pandemija tal-COVID-19, it-tbassir tar-rebbiegħa 2020 tal-Kummissjoni jipprevedi tnaqqis fil-PDG reali ta’ 7,9 % għall-2020.</w:t>
      </w:r>
    </w:p>
    <w:p>
      <w:pPr>
        <w:spacing w:before="120" w:after="120" w:line="240" w:lineRule="auto"/>
        <w:jc w:val="both"/>
        <w:rPr>
          <w:rFonts w:ascii="Times New Roman" w:eastAsia="Calibri" w:hAnsi="Times New Roman" w:cs="Times New Roman"/>
          <w:noProof/>
          <w:sz w:val="24"/>
          <w:szCs w:val="24"/>
          <w:highlight w:val="yellow"/>
        </w:rPr>
      </w:pPr>
      <w:r>
        <w:rPr>
          <w:rFonts w:ascii="Times New Roman" w:hAnsi="Times New Roman"/>
          <w:noProof/>
        </w:rPr>
        <w:t>L-eċċess ippjanat fuq il-valur referenzjarju tat-Trattat ikun temporanju fuq il-bażi tat-tbassir tar-rebbiegħa 2020 tal-Kummissjoni. Madankollu, dawk il-projezzjonijiet huma mdawra b’livell eċċezzjonalment għoli ta’ inċertezza.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 xml:space="preserve">Kollox ma’ kollox, id-defiċit ippjanat tal-2020 huwa 'l fuq u mhux qrib il-valur referenzjarju ta’ 3 % tal-PDG stabbilit fit-Trattat. L-eċċess ippjanat huwa kkunsidrat bħala eċċezzjonali għall-finijiet tat-Trattat u tal-Patt ta’ Stabbiltà u Tkabbir, filwaqt li n-natura tal-eċċess qed titqies attwalment bħala waħda temporanja. Għalhekk, l-analiżi tissuġġerixxi li </w:t>
      </w:r>
      <w:r>
        <w:rPr>
          <w:rFonts w:ascii="Times New Roman" w:hAnsi="Times New Roman"/>
          <w:i/>
          <w:iCs/>
          <w:noProof/>
        </w:rPr>
        <w:t>prima facie</w:t>
      </w:r>
      <w:r>
        <w:rPr>
          <w:rFonts w:ascii="Times New Roman" w:hAnsi="Times New Roman"/>
          <w:noProof/>
        </w:rPr>
        <w:t xml:space="preserve"> l-kriterju tad-defiċit kif definit fit-Trattat u fir-Regolament (KE) Nru 1467/97 mhuwiex issodisfat.</w:t>
      </w:r>
    </w:p>
    <w:p>
      <w:pPr>
        <w:pStyle w:val="ManualHeading1"/>
        <w:rPr>
          <w:noProof/>
        </w:rPr>
      </w:pPr>
      <w:r>
        <w:rPr>
          <w:noProof/>
        </w:rPr>
        <w:t>3.</w:t>
      </w:r>
      <w:r>
        <w:rPr>
          <w:noProof/>
        </w:rPr>
        <w:tab/>
        <w:t xml:space="preserve">Fatturi rilevanti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L-Artikolu 126(3) tat-Trattat jistipula li, jekk Stat Membru ma jissodisfax il-ħtiġijiet ta’ wieħed minn dawn il-kriterji jew tat-tnejn li huma, il-Kummissjoni jkollha tħejji rapport. Dan ir-rapport irid “jqis ukoll jekk id-defiċit tal-Gvern ikunx jeċċedi n-nefqa tal-Gvern f’investiment u jqis il-fatturi l-oħra kollha rilevanti, inkluża l-pożizzjoni ekonomika u tal-estimi għall-futur medju tal-Istat Membru”.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Dawn il-fatturi huma ċċarati iktar fl-Artikolu 2(3) tar-Regolament (KE) Nru 1467/97, li jistipula wkoll li “kwalunkwe fattur ieħor li, fl-opinjoni tal-Istat Membru kkonċernat, huwa rilevanti sabiex tkun ivvalutata b’mod komprensiv il-konformità mal-kriterji tad-defiċit u d-dejn li l-Istat Membru ressaq quddiem il-Kunsill u l-Kummissjoni” jeħtieġ li jingħata l-kunsiderazzjoni dovuta.</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Kif speċifikat fl-Artikolu 2(4) tar-Regolament (KE) Nru 1467/97, fir-rigward tal-konformità mal-kriterju tad-defiċit fl-2020, billi l-proporzjon tad-dejn pubbliku għall-PDG huwa ppjanat li jeċċedi l-valur referenzjarju ta’ 60 % fl-2020 u l-kundizzjoni doppja ma tintlaħaqx – jiġifieri li d-defiċit jibqa’ qrib il-valur referenzjarju u li l-eċċess tiegħu fuq il-valur referenzjarju jkun temporanju – dawn il-fatturi rilevanti ma jistgħux jitqiesu fil-passi li jwasslu għad-deċiżjoni dwar l-eżistenza ta’ defiċit eċċessiv fuq il-bażi tal-kriterju tad-defiċit għall-Irlanda.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Fis-sitwazzjoni attwali, fattur addizzjonali ewlieni li jrid jitqies fir-rigward tal-2020 huwa l-impatt ekonomiku tal-pandemija tal-COVID-19, li għandha impatt sostanzjali ħafna fuq is-sitwazzjoni baġitarja u li tirriżulta f’perspettiva inċerta ħafna. Il-pandemija wasslet ukoll għall-attivazzjoni tal-klawżola liberatorja ġenerali.</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3.1.</w:t>
      </w:r>
      <w:r>
        <w:rPr>
          <w:rFonts w:ascii="Times New Roman" w:hAnsi="Times New Roman"/>
          <w:b/>
          <w:noProof/>
        </w:rPr>
        <w:tab/>
      </w:r>
      <w:r>
        <w:rPr>
          <w:rFonts w:ascii="Times New Roman" w:hAnsi="Times New Roman"/>
          <w:b/>
          <w:noProof/>
        </w:rPr>
        <w:tab/>
        <w:t>Il-pandemija tal-COVID-19</w:t>
      </w:r>
    </w:p>
    <w:p>
      <w:pPr>
        <w:spacing w:before="120" w:after="120" w:line="240" w:lineRule="auto"/>
        <w:jc w:val="both"/>
        <w:rPr>
          <w:rFonts w:ascii="Times New Roman" w:hAnsi="Times New Roman" w:cs="Times New Roman"/>
          <w:noProof/>
          <w:sz w:val="24"/>
          <w:szCs w:val="24"/>
        </w:rPr>
      </w:pPr>
      <w:r>
        <w:rPr>
          <w:rFonts w:ascii="Times New Roman" w:hAnsi="Times New Roman"/>
          <w:bCs/>
          <w:noProof/>
        </w:rPr>
        <w:t xml:space="preserve">Il-pandemija tal-COVID-19 wasslet għal xokk ekonomiku kbir li qed ikollu impatt negattiv sinifikanti madwar l-Unjoni Ewropea kollha. Il-konsegwenzi għat-tkabbir tal-PDG se jiddependu kemm fuq kemm se ddum il-pandemija kif ukoll fuq il-miżuri li ttieħdu mill-awtoritajiet nazzjonali f’livell Ewropew u dinji biex titnaqqas il-firxa tagħha, jiġu protetti l-kapaċitajiet ta’ produzzjoni u tiġi appoġġata d-domanda aggregata. </w:t>
      </w:r>
      <w:r>
        <w:rPr>
          <w:rFonts w:ascii="Times New Roman" w:hAnsi="Times New Roman"/>
          <w:noProof/>
        </w:rPr>
        <w:t>L-Istati Membri diġà adottaw jew qed jadottaw miżuri baġitarji biex iżidu l-kapaċità tas-sistemi tas-saħħa tagħhom u jipprovdu l-għajnuna liċ-ċittadini u lis-setturi partikolarment milquta. Ġew adottati wkoll miżuri ta’ appoġġ ta’ likwidità sinifikanti u garanziji oħra. Soġġetti għal informazzjoni aktar dettaljata, l-awtoritajiet kompetenti tal-istatistika jridu jeżaminaw jekk dawk il-miżuri jinvolvux impatt immedjat fuq il-bilanċ tal-amministrazzjoni pubblika jew le. Flimkien mat-tnaqqis fl-attività ekonomika, dawn il-miżuri se jikkontribwixxu għal pożizzjonijiet ta’ defiċit u ta’ dejn tal-amministrazzjoni pubblika sostanzjalment ogħla.</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3.2</w:t>
      </w:r>
      <w:r>
        <w:rPr>
          <w:rFonts w:ascii="Times New Roman" w:hAnsi="Times New Roman"/>
          <w:b/>
          <w:noProof/>
        </w:rPr>
        <w:tab/>
        <w:t xml:space="preserve">Il-pożizzjoni ekonomika fi żmien medju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Il-PDG reali tal-Irlanda kiber b’5,5 % fl-2019 u daħal fl-2020 fuq bażi soda, kemm bid-domanda domestika kif ukoll bl-esportazzjonijiet netti li sejrin tajjeb. Il-pandemija hija mistennija li taffettwa bosta setturi tal-ekonomija. Din is-sena, kemm il-konsum privat kif ukoll l-investiment huma mistennija li jonqsu. B’kuntrast, l-esportazzjonijiet netti huma mistennija li jkunu pożittivi, parzjalment xprunati minn ammont ta’ reżiljenza tal-esportazzjoni minħabba s-sehem kbir ta’ prodotti farmaċewtiċi u mediċi fl-esportazzjonijiet Irlandiżi. Skont it-tbassir tar-rebbiegħa 2020 tal-Kummissjoni, l-ekonomija tal-Irlanda hija mbassra li tiċkien b’madwar 8 % fl-2020. Dan huwa fattur mitiganti fil-valutazzjoni tal-konformità tal-Irlanda mal-kriterju tad-defiċit fl-2020.</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L-inċertezza dwar il-prospettiva makroekonomika tal-Irlanda hija partikolarment għolja, b’riskji relatati mat-tul ta’ żmien mhux magħruf tal-pandemija u l-miżuri ta’ lockdown fl-Irlanda u fis-sħab kummerċjali ewlenin tagħha, kif ukoll il-bidliet fl-imġiba li din il-pandemija se tipprovoka. L-inċertezza hija aggravata minn fatturi speċifiċi għall-Irlanda, bħal bidliet fl-ambjent fiskali internazzjonali. Barra minn hekk, l-Irlanda hija partikolarment affettwata mir-relazzjoni futura bejn l-Unjoni Ewropea u r-Renju Unit. L-operazzjonijiet ta’ kumpaniji multinazzjonali li joperaw fl-Irlanda għadhom diffiċli biex jitbassru u jistgħu jaffettwaw iċ-ċifri tal-PDG fi kwalunkwe direzzjoni.</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rPr>
        <w:t>3.3</w:t>
      </w:r>
      <w:r>
        <w:rPr>
          <w:rFonts w:ascii="Times New Roman" w:hAnsi="Times New Roman"/>
          <w:b/>
          <w:noProof/>
        </w:rPr>
        <w:tab/>
      </w:r>
      <w:r>
        <w:rPr>
          <w:rFonts w:ascii="Times New Roman" w:hAnsi="Times New Roman"/>
          <w:b/>
          <w:noProof/>
        </w:rPr>
        <w:tab/>
        <w:t>Il-pożizzjoni baġitarja fi żmien medju</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Fuq il-bażi tad-</w:t>
      </w:r>
      <w:r>
        <w:rPr>
          <w:rFonts w:ascii="Times New Roman" w:hAnsi="Times New Roman"/>
          <w:i/>
          <w:iCs/>
          <w:noProof/>
        </w:rPr>
        <w:t>data</w:t>
      </w:r>
      <w:r>
        <w:rPr>
          <w:rFonts w:ascii="Times New Roman" w:hAnsi="Times New Roman"/>
          <w:noProof/>
        </w:rPr>
        <w:t xml:space="preserve"> tal-eżitu u t-tbassir tar-rebbiegħa 2020 tal-Kummissjoni, l-Irlanda kienet konformi mal-objettiv baġitarju ta’ żmien medju tagħha fl-2019.</w:t>
      </w:r>
    </w:p>
    <w:p>
      <w:pPr>
        <w:jc w:val="both"/>
        <w:rPr>
          <w:rFonts w:ascii="Times New Roman" w:eastAsia="Times New Roman" w:hAnsi="Times New Roman" w:cs="Times New Roman"/>
          <w:noProof/>
          <w:sz w:val="24"/>
          <w:szCs w:val="24"/>
        </w:rPr>
      </w:pPr>
      <w:r>
        <w:rPr>
          <w:rFonts w:ascii="Times New Roman" w:hAnsi="Times New Roman"/>
          <w:noProof/>
        </w:rPr>
        <w:t>Ġie rreġistrat surplus tal-amministrazzjoni pubblika ta’ 0,4 % tal-PDG fl-2019, fl-isfond ta’ ekonomija li qed tiffjorixxi, u li wassal għal żidiet qawwija fid-dħul mit-taxxa u mill-kontribuzzjonijiet tas-sigurtà soċjali u tnaqqis kontinwu fil-piż tal-interessi.</w:t>
      </w:r>
    </w:p>
    <w:p>
      <w:pPr>
        <w:spacing w:before="120" w:after="120" w:line="240" w:lineRule="auto"/>
        <w:jc w:val="both"/>
        <w:rPr>
          <w:rFonts w:ascii="Times New Roman" w:hAnsi="Times New Roman" w:cs="Times New Roman"/>
          <w:noProof/>
          <w:sz w:val="24"/>
        </w:rPr>
      </w:pPr>
      <w:r>
        <w:rPr>
          <w:rFonts w:ascii="Times New Roman" w:hAnsi="Times New Roman"/>
          <w:noProof/>
        </w:rPr>
        <w:t xml:space="preserve">L-Irlanda adottat firxa ta’ miżuri biex tipprovdi appoġġ u solliev lid-djar u lis-setturi partikolarment milquta, li ammontaw għal madwar 2,3% tal-PDG.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Skont it-tbassir tar-rebbiegħa 2020 tal-Kummissjoni, fl-2020 huwa previst defiċit tal-amministrazzjoni pubblika ta’ 5,6 % tal-PDG. Dan huwa dovut għall-operazzjonijiet ta’ stabbilizzaturi awtomatiċi u miżuri fiskali diskrezzjonarji meħuda mill-Gvern b’reazzjoni għall-pandemija — b’impatt fuq id-defiċit ta’ madwar 2,0 % tal-PDG.</w:t>
      </w:r>
      <w:r>
        <w:rPr>
          <w:noProof/>
        </w:rPr>
        <w:t xml:space="preserve"> </w:t>
      </w:r>
      <w:r>
        <w:rPr>
          <w:rFonts w:ascii="Times New Roman" w:hAnsi="Times New Roman"/>
          <w:noProof/>
        </w:rPr>
        <w:t>Ir-riskji għall-perspettiva fiskali fi żmien medju huma sinifikanti. Huma marbuta mal-inċertezza fir-rigward tad-daqs finali tal-espansjoni fiskali biex jiġu miġġielda l-kriżi u l-bidliet possibbli fl-ambjent tat-tassazzjoni internazzjonali.</w:t>
      </w:r>
    </w:p>
    <w:p>
      <w:pPr>
        <w:spacing w:before="120" w:after="120" w:line="240" w:lineRule="auto"/>
        <w:jc w:val="both"/>
        <w:rPr>
          <w:rFonts w:ascii="Times New Roman" w:eastAsia="Times New Roman" w:hAnsi="Times New Roman" w:cs="Times New Roman"/>
          <w:noProof/>
          <w:sz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rPr>
        <w:t>3.4.</w:t>
      </w:r>
      <w:r>
        <w:rPr>
          <w:rFonts w:ascii="Times New Roman" w:hAnsi="Times New Roman"/>
          <w:b/>
          <w:noProof/>
        </w:rPr>
        <w:tab/>
        <w:t xml:space="preserve">Il-pożizzjoni tad-dejn tal-amministrazzjoni pubblika fi żmien medju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Skont it-tbassir tar-rebbiegħa 2020 tal-Kummissjoni, id-dejn tal-amministrazzjoni pubblika huwa mistenni li jiżdied minn 58,8 % tal-PDG fl-2019 għal 66,4 % fl-2020.</w:t>
      </w:r>
    </w:p>
    <w:p>
      <w:pPr>
        <w:spacing w:before="120" w:after="120" w:line="240" w:lineRule="auto"/>
        <w:jc w:val="both"/>
        <w:rPr>
          <w:rFonts w:ascii="Times New Roman" w:eastAsia="Times New Roman" w:hAnsi="Times New Roman" w:cs="Times New Roman"/>
          <w:noProof/>
          <w:sz w:val="24"/>
        </w:rPr>
      </w:pPr>
      <w:r>
        <w:rPr>
          <w:rFonts w:ascii="Times New Roman" w:hAnsi="Times New Roman"/>
          <w:iCs/>
          <w:noProof/>
        </w:rPr>
        <w:t xml:space="preserve">L-analiżi tas-sostenibbiltà tad-dejn ġiet aġġornata fuq il-bażi tat-tbassir tar-rebbiegħa 2020 tal-Kummissjoni. </w:t>
      </w:r>
      <w:r>
        <w:rPr>
          <w:rFonts w:ascii="Times New Roman" w:hAnsi="Times New Roman"/>
          <w:noProof/>
        </w:rPr>
        <w:t>B’mod ġenerali, il-valutazzjoni tas-sostenibbiltà tad-dejn tindika li l-pożizzjoni tad-dejn tibqa’ sostenibbli fi żmien</w:t>
      </w:r>
      <w:r>
        <w:rPr>
          <w:rFonts w:ascii="Times New Roman" w:hAnsi="Times New Roman"/>
          <w:noProof/>
        </w:rPr>
        <w:noBreakHyphen/>
        <w:t>medju, li tqis ukoll il-fatturi ta’ mitigazzjoni importanti marbuta mal-profil tad-dejn. B’mod partikolari, filwaqt li l-pożizzjoni tad-dejn tal-Gvern marret għall-agħar minħabba l-kriżi tal-COVID-19, il-proporzjon tad-dejn mal-PDG fil-linja bażi huwa mistenni li jkun fuq trajettorja sostenibbli (li qed tonqos) fiż-żmien medju.</w:t>
      </w:r>
      <w:r>
        <w:rPr>
          <w:rStyle w:val="FootnoteReference"/>
          <w:rFonts w:eastAsiaTheme="minorHAnsi"/>
          <w:noProof/>
        </w:rPr>
        <w:footnoteReference w:id="3"/>
      </w:r>
      <w:r>
        <w:rPr>
          <w:noProof/>
        </w:rPr>
        <w:t>.</w:t>
      </w:r>
    </w:p>
    <w:p>
      <w:pPr>
        <w:keepNext/>
        <w:spacing w:before="120" w:after="120" w:line="240" w:lineRule="auto"/>
        <w:jc w:val="center"/>
        <w:rPr>
          <w:rFonts w:ascii="Times New Roman" w:eastAsia="Times New Roman" w:hAnsi="Times New Roman" w:cs="Times New Roman"/>
          <w:noProof/>
          <w:sz w:val="24"/>
        </w:rPr>
      </w:pPr>
      <w:r>
        <w:rPr>
          <w:rFonts w:ascii="Times New Roman" w:hAnsi="Times New Roman"/>
          <w:b/>
          <w:noProof/>
        </w:rPr>
        <w:t xml:space="preserve">Graff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SEQ Table \* ARABIC </w:instrText>
      </w:r>
      <w:r>
        <w:rPr>
          <w:rFonts w:ascii="Times New Roman" w:eastAsia="Times New Roman" w:hAnsi="Times New Roman" w:cs="Times New Roman"/>
          <w:b/>
          <w:noProof/>
        </w:rPr>
        <w:fldChar w:fldCharType="separate"/>
      </w:r>
      <w:r>
        <w:rPr>
          <w:rFonts w:ascii="Times New Roman" w:eastAsia="Times New Roman" w:hAnsi="Times New Roman" w:cs="Times New Roman"/>
          <w:b/>
          <w:noProof/>
        </w:rPr>
        <w:t>1</w:t>
      </w:r>
      <w:r>
        <w:rPr>
          <w:rFonts w:ascii="Times New Roman" w:eastAsia="Times New Roman" w:hAnsi="Times New Roman" w:cs="Times New Roman"/>
          <w:b/>
          <w:noProof/>
        </w:rPr>
        <w:fldChar w:fldCharType="end"/>
      </w:r>
      <w:r>
        <w:rPr>
          <w:rFonts w:ascii="Times New Roman" w:hAnsi="Times New Roman"/>
          <w:b/>
          <w:noProof/>
        </w:rPr>
        <w:t>: Il-proporzjon tad-dejn pubbliku għall-PDG, l-Irlanda,% tal-PDG</w:t>
      </w:r>
    </w:p>
    <w:p>
      <w:pPr>
        <w:spacing w:before="120" w:after="120" w:line="240" w:lineRule="auto"/>
        <w:rPr>
          <w:rFonts w:ascii="Times New Roman" w:eastAsia="Times New Roman" w:hAnsi="Times New Roman" w:cs="Times New Roman"/>
          <w:noProof/>
          <w:sz w:val="24"/>
        </w:rPr>
      </w:pPr>
      <w:r>
        <w:rPr>
          <w:noProof/>
          <w:lang w:val="en-GB" w:eastAsia="en-GB"/>
        </w:rPr>
        <w:drawing>
          <wp:inline distT="0" distB="0" distL="0" distR="0">
            <wp:extent cx="5731510" cy="314706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before="120" w:after="120" w:line="240" w:lineRule="auto"/>
        <w:rPr>
          <w:rFonts w:ascii="Times New Roman" w:eastAsia="Times New Roman" w:hAnsi="Times New Roman" w:cs="Times New Roman"/>
          <w:noProof/>
          <w:sz w:val="24"/>
        </w:rPr>
      </w:pPr>
      <w:r>
        <w:rPr>
          <w:rFonts w:ascii="Times New Roman" w:hAnsi="Times New Roman"/>
          <w:b/>
          <w:noProof/>
        </w:rPr>
        <w:t>Sors:</w:t>
      </w:r>
      <w:r>
        <w:rPr>
          <w:rFonts w:ascii="Times New Roman" w:hAnsi="Times New Roman"/>
          <w:noProof/>
        </w:rPr>
        <w:t xml:space="preserve"> Is-servizzi tal-Kummissjoni</w:t>
      </w:r>
    </w:p>
    <w:p>
      <w:pPr>
        <w:keepNext/>
        <w:tabs>
          <w:tab w:val="left" w:pos="850"/>
        </w:tabs>
        <w:spacing w:before="360" w:after="120" w:line="240" w:lineRule="auto"/>
        <w:ind w:left="851" w:hanging="851"/>
        <w:jc w:val="both"/>
        <w:outlineLvl w:val="1"/>
        <w:rPr>
          <w:rFonts w:ascii="Times New Roman" w:eastAsia="Times New Roman" w:hAnsi="Times New Roman" w:cs="Times New Roman"/>
          <w:b/>
          <w:i/>
          <w:noProof/>
          <w:sz w:val="24"/>
        </w:rPr>
      </w:pPr>
      <w:r>
        <w:rPr>
          <w:rFonts w:ascii="Times New Roman" w:hAnsi="Times New Roman"/>
          <w:b/>
          <w:i/>
          <w:noProof/>
        </w:rPr>
        <w:t>3.5</w:t>
      </w:r>
      <w:r>
        <w:rPr>
          <w:rFonts w:ascii="Times New Roman" w:hAnsi="Times New Roman"/>
          <w:b/>
          <w:i/>
          <w:noProof/>
        </w:rPr>
        <w:tab/>
        <w:t xml:space="preserve">Fatturi oħra ppreżentati mill-Istat Membru </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rPr>
        <w:t xml:space="preserve">Fit-18 ta’ Mejju 2020, l-awtoritajiet Irlandiżi ttrażmettew ittra bil-fatturi rilevanti f’konformità mal-Artikolu 2(3) tar-Regolament (KE) Nru 1467/97. L-analiżi ppreżentata fit-taqsimiet preċedenti diġà tkopri b’mod wiesa’ l-fatturi ewlenin ippreżentati mill-awtoritajiet. Fatturi addizzjonali li għadhom mhumiex imsemmija hawn fuq, huma marbuta mal-isforz tal-Irlanda biex issaħħaħ il-finanzi pubbliċi tagħha fis-snin preċedenti, billi tmexxi l-bilanċi pożittivi tal-baġit nominali u tistabbilixxi l-fond prekawzjonarju (Rainy Day Fund). </w:t>
      </w:r>
    </w:p>
    <w:p>
      <w:pPr>
        <w:pStyle w:val="ManualHeading1"/>
        <w:rPr>
          <w:noProof/>
        </w:rPr>
      </w:pPr>
      <w:r>
        <w:rPr>
          <w:noProof/>
        </w:rPr>
        <w:t>4.</w:t>
      </w:r>
      <w:r>
        <w:rPr>
          <w:noProof/>
        </w:rPr>
        <w:tab/>
        <w:t>Konklużjonijiet</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rPr>
        <w:t xml:space="preserve">Skont il-Programm ta’ Stabbiltà, id-defiċit nominali tal-amministrazzjoni pubblika tal-Irlanda fl-2020 huwa ppjanat li jiżdied b’7,4 % tal-PDG, 'il fuq u mhux qrib il-valur referenzjarju tat-Trattat ta’ 3 % tal-PDG. L-eċċess ippjanat fuq il-valur referenzjarju huwa kkunsidrat bħala eċċezzjonali u attwalment qed jitqies bħala wieħed temporanju.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Skont it-Trattat u l-Patt ta’ Stabbiltà u Tkabbir, dan ir-rapport eżamina wkoll fatturi rilevanti.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Kif </w:t>
      </w:r>
      <w:r>
        <w:rPr>
          <w:rFonts w:ascii="Times New Roman" w:hAnsi="Times New Roman"/>
          <w:bCs/>
          <w:noProof/>
        </w:rPr>
        <w:t xml:space="preserve">speċifikat fl-Artikolu 2(4) tar-Regolament (KE) Nru 1467/97, rigward </w:t>
      </w:r>
      <w:r>
        <w:rPr>
          <w:rFonts w:ascii="Times New Roman" w:hAnsi="Times New Roman"/>
          <w:noProof/>
        </w:rPr>
        <w:t>il-konformità mal-kriterju tad-defiċit tal-2020, billi l-proporzjon tad-dejn pubbliku għall-PDG huwa ppjanat li jeċċedi l-valur referenzjarju ta’ 60 % fl-2020 u l-kundizzjoni doppja ma tintlaħaqx – jiġifieri li d-defiċit jibqa’ qrib il-valur referenzjarju u li l-eċċess tiegħu ogħla mill-valur referenzjarju huwa temporanju – dawn il-fatturi rilevanti ma jistgħux jitqiesu fil-passi li jwasslu għad-deċiżjoni dwar l-eżistenza ta’ defiċit eċċessiv abbażi tal-kriterju tad-defiċit fl-Irlanda.</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rPr>
        <w:t>B’mod ġenerali, l-</w:t>
      </w:r>
      <w:r>
        <w:rPr>
          <w:rFonts w:ascii="Times New Roman" w:hAnsi="Times New Roman"/>
          <w:noProof/>
        </w:rPr>
        <w:t xml:space="preserve">analiżi tissuġġerixxi li l-kriterju tad-defiċit kif definit fit-Trattat u fir-Regolament (KE) Nru 1467/1997 mhuwiex issodisfat. </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ind w:left="0" w:firstLine="0"/>
      </w:pPr>
      <w:r>
        <w:rPr>
          <w:rStyle w:val="FootnoteReference"/>
        </w:rPr>
        <w:footnoteRef/>
      </w:r>
      <w:r>
        <w:t xml:space="preserve"> Il-linja bażi hija msejsa fuq it-tbassir tar-rebbiegħa 2020 tal-Kummissjoni. Lil hinn mill-2021, qed jiġi preżunt aġġustament gradwali tal-politika fiskali, konsistenti mal-oqfsa ta’ koordinazzjoni u ta’ sorveljanza ekonomika u fiskali tal-UE. It-tkabbir reali tal-PDG huwa pprojettat skont l-hekk imsejħa metodoloġija EPC/OGWG T+10. B’mod partikolari, it-tkabbir attwali tal-PDG (reali) huwa xprunat mit-tkabbir potenzjali tiegħu u huwa affettwat minn kwalunkwe aġġustament fiskali addizzjonali kkunsidrat (permezz tal-multiplikatur fiskali). L-inflazzjoni mistennija li tikseb konverġenza gradwali ta’ 2 %. Is-suppożizzjonijiet tar-rati tal-imgħax huma stabbiliti f’konformità mal-aspettattivi tas-suq finanzjarju. Fix-xenarju sfavorevoli, huma preżunti rati tal-imgħax ogħla (sa 500 bps) u tkabbir tal-PDG aktar baxx (b’-0,5 pp.), fir-rigward tal-linja bażi (matul il-perjodu ta’ projettazzjoni).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740CE3C-C941-43E8-B4C2-0A81F3B61877"/>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ssell, "/>
    <w:docVar w:name="LW_EMISSION_SUFFIX" w:val=" "/>
    <w:docVar w:name="LW_ID_DOCTYPE_NONLW" w:val="CP-003"/>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20) 5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Irlanda_x000b__x000b_Rapport im\u295?ejji f\u8217?konformità mal-Artikolu 126(3) tat-Trattat dwar il-Funzjonament tal-Unjoni Ewropea"/>
    <w:docVar w:name="LW_TYPE.DOC.CP" w:val="RAPPORT TAL-KUMMISSJON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836606667">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26956648">
      <w:bodyDiv w:val="1"/>
      <w:marLeft w:val="0"/>
      <w:marRight w:val="0"/>
      <w:marTop w:val="0"/>
      <w:marBottom w:val="0"/>
      <w:divBdr>
        <w:top w:val="none" w:sz="0" w:space="0" w:color="auto"/>
        <w:left w:val="none" w:sz="0" w:space="0" w:color="auto"/>
        <w:bottom w:val="none" w:sz="0" w:space="0" w:color="auto"/>
        <w:right w:val="none" w:sz="0" w:space="0" w:color="auto"/>
      </w:divBdr>
    </w:div>
    <w:div w:id="20796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649984055114929E-2"/>
          <c:y val="4.4002929128431449E-2"/>
          <c:w val="0.91460411982046175"/>
          <c:h val="0.70047657808433561"/>
        </c:manualLayout>
      </c:layout>
      <c:lineChart>
        <c:grouping val="standard"/>
        <c:varyColors val="0"/>
        <c:ser>
          <c:idx val="0"/>
          <c:order val="0"/>
          <c:tx>
            <c:strRef>
              <c:f>'COUNTRY FICHE coronavirus'!$V$37</c:f>
              <c:strCache>
                <c:ptCount val="1"/>
                <c:pt idx="0">
                  <c:v>Linja bażi</c:v>
                </c:pt>
              </c:strCache>
            </c:strRef>
          </c:tx>
          <c:spPr>
            <a:ln w="25400">
              <a:solidFill>
                <a:srgbClr val="4A7EBB"/>
              </a:solidFill>
            </a:ln>
          </c:spPr>
          <c:marker>
            <c:symbol val="none"/>
          </c:marker>
          <c:cat>
            <c:numRef>
              <c:f>'overview_debt profiles_corona'!$I$8:$T$8</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'overview_debt profiles_corona'!$I$9:$T$9</c:f>
              <c:numCache>
                <c:formatCode>0.0</c:formatCode>
                <c:ptCount val="12"/>
                <c:pt idx="0">
                  <c:v>58.765789031982422</c:v>
                </c:pt>
                <c:pt idx="1">
                  <c:v>66.444656372070313</c:v>
                </c:pt>
                <c:pt idx="2">
                  <c:v>66.70074462890625</c:v>
                </c:pt>
                <c:pt idx="3">
                  <c:v>65.28509521484375</c:v>
                </c:pt>
                <c:pt idx="4">
                  <c:v>63.621410369873047</c:v>
                </c:pt>
                <c:pt idx="5">
                  <c:v>61.861736297607422</c:v>
                </c:pt>
                <c:pt idx="6">
                  <c:v>60.169837951660156</c:v>
                </c:pt>
                <c:pt idx="7">
                  <c:v>58.548244476318359</c:v>
                </c:pt>
                <c:pt idx="8">
                  <c:v>57.013790130615234</c:v>
                </c:pt>
                <c:pt idx="9">
                  <c:v>55.555881500244141</c:v>
                </c:pt>
                <c:pt idx="10">
                  <c:v>54.194534301757813</c:v>
                </c:pt>
                <c:pt idx="11">
                  <c:v>52.767566680908203</c:v>
                </c:pt>
              </c:numCache>
            </c:numRef>
          </c:val>
          <c:smooth val="0"/>
          <c:extLst xmlns:c16r2="http://schemas.microsoft.com/office/drawing/2015/06/chart">
            <c:ext xmlns:c16="http://schemas.microsoft.com/office/drawing/2014/chart" uri="{C3380CC4-5D6E-409C-BE32-E72D297353CC}">
              <c16:uniqueId val="{00000000-8D49-458B-95BE-B88F3F5256BB}"/>
            </c:ext>
          </c:extLst>
        </c:ser>
        <c:ser>
          <c:idx val="2"/>
          <c:order val="1"/>
          <c:tx>
            <c:strRef>
              <c:f>'COUNTRY FICHE coronavirus'!$V$38</c:f>
              <c:strCache>
                <c:ptCount val="1"/>
                <c:pt idx="0">
                  <c:v>Xenarju avvers</c:v>
                </c:pt>
              </c:strCache>
            </c:strRef>
          </c:tx>
          <c:spPr>
            <a:ln w="22225">
              <a:solidFill>
                <a:srgbClr val="0070C0"/>
              </a:solidFill>
              <a:prstDash val="sysDash"/>
            </a:ln>
          </c:spPr>
          <c:marker>
            <c:symbol val="none"/>
          </c:marker>
          <c:cat>
            <c:numRef>
              <c:f>'overview_debt profiles_corona'!$I$8:$T$8</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'overview_debt profiles_corona'!$I$29:$T$29</c:f>
              <c:numCache>
                <c:formatCode>0.0</c:formatCode>
                <c:ptCount val="12"/>
                <c:pt idx="0">
                  <c:v>58.765789031982422</c:v>
                </c:pt>
                <c:pt idx="1">
                  <c:v>66.886184692382813</c:v>
                </c:pt>
                <c:pt idx="2">
                  <c:v>67.547630310058594</c:v>
                </c:pt>
                <c:pt idx="3">
                  <c:v>66.582878112792969</c:v>
                </c:pt>
                <c:pt idx="4">
                  <c:v>65.367530822753906</c:v>
                </c:pt>
                <c:pt idx="5">
                  <c:v>64.054298400878906</c:v>
                </c:pt>
                <c:pt idx="6">
                  <c:v>62.806476593017578</c:v>
                </c:pt>
                <c:pt idx="7">
                  <c:v>61.624435424804687</c:v>
                </c:pt>
                <c:pt idx="8">
                  <c:v>60.523715972900391</c:v>
                </c:pt>
                <c:pt idx="9">
                  <c:v>59.491653442382812</c:v>
                </c:pt>
                <c:pt idx="10">
                  <c:v>58.549919128417969</c:v>
                </c:pt>
                <c:pt idx="11">
                  <c:v>57.521526336669922</c:v>
                </c:pt>
              </c:numCache>
            </c:numRef>
          </c:val>
          <c:smooth val="0"/>
          <c:extLst xmlns:c16r2="http://schemas.microsoft.com/office/drawing/2015/06/chart">
            <c:ext xmlns:c16="http://schemas.microsoft.com/office/drawing/2014/chart" uri="{C3380CC4-5D6E-409C-BE32-E72D297353CC}">
              <c16:uniqueId val="{00000001-8D49-458B-95BE-B88F3F5256BB}"/>
            </c:ext>
          </c:extLst>
        </c:ser>
        <c:dLbls>
          <c:showLegendKey val="0"/>
          <c:showVal val="0"/>
          <c:showCatName val="0"/>
          <c:showSerName val="0"/>
          <c:showPercent val="0"/>
          <c:showBubbleSize val="0"/>
        </c:dLbls>
        <c:marker val="1"/>
        <c:smooth val="0"/>
        <c:axId val="54813824"/>
        <c:axId val="54815360"/>
      </c:lineChart>
      <c:catAx>
        <c:axId val="54813824"/>
        <c:scaling>
          <c:orientation val="minMax"/>
        </c:scaling>
        <c:delete val="0"/>
        <c:axPos val="b"/>
        <c:numFmt formatCode="General" sourceLinked="1"/>
        <c:majorTickMark val="in"/>
        <c:minorTickMark val="none"/>
        <c:tickLblPos val="low"/>
        <c:spPr>
          <a:ln w="6350" cmpd="sng">
            <a:solidFill>
              <a:srgbClr val="000000"/>
            </a:solidFill>
            <a:prstDash val="solid"/>
          </a:ln>
        </c:spPr>
        <c:txPr>
          <a:bodyPr/>
          <a:lstStyle/>
          <a:p>
            <a:pPr>
              <a:defRPr sz="1100" b="0" i="0">
                <a:latin typeface="Times New Roman"/>
                <a:ea typeface="Times New Roman"/>
                <a:cs typeface="Times New Roman"/>
              </a:defRPr>
            </a:pPr>
            <a:endParaRPr lang="en-US"/>
          </a:p>
        </c:txPr>
        <c:crossAx val="54815360"/>
        <c:crosses val="autoZero"/>
        <c:auto val="1"/>
        <c:lblAlgn val="ctr"/>
        <c:lblOffset val="100"/>
        <c:noMultiLvlLbl val="0"/>
      </c:catAx>
      <c:valAx>
        <c:axId val="54815360"/>
        <c:scaling>
          <c:orientation val="minMax"/>
          <c:max val="80"/>
          <c:min val="40"/>
        </c:scaling>
        <c:delete val="0"/>
        <c:axPos val="l"/>
        <c:numFmt formatCode="0" sourceLinked="0"/>
        <c:majorTickMark val="in"/>
        <c:minorTickMark val="none"/>
        <c:tickLblPos val="nextTo"/>
        <c:spPr>
          <a:ln w="6350" cmpd="sng">
            <a:solidFill>
              <a:srgbClr val="000000"/>
            </a:solidFill>
            <a:prstDash val="solid"/>
          </a:ln>
        </c:spPr>
        <c:txPr>
          <a:bodyPr/>
          <a:lstStyle/>
          <a:p>
            <a:pPr>
              <a:defRPr sz="1100" b="0" i="0">
                <a:latin typeface="Times New Roman"/>
                <a:ea typeface="Times New Roman"/>
                <a:cs typeface="Times New Roman"/>
              </a:defRPr>
            </a:pPr>
            <a:endParaRPr lang="en-US"/>
          </a:p>
        </c:txPr>
        <c:crossAx val="54813824"/>
        <c:crosses val="autoZero"/>
        <c:crossBetween val="between"/>
      </c:valAx>
      <c:spPr>
        <a:noFill/>
        <a:ln>
          <a:noFill/>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a:noFill/>
            </a14:hiddenLine>
          </a:ext>
        </a:extLst>
      </c:spPr>
    </c:plotArea>
    <c:legend>
      <c:legendPos val="b"/>
      <c:layout>
        <c:manualLayout>
          <c:xMode val="edge"/>
          <c:yMode val="edge"/>
          <c:x val="2.163601642835505E-2"/>
          <c:y val="0.85205574202920442"/>
          <c:w val="0.95459158125019872"/>
          <c:h val="0.12153838796668562"/>
        </c:manualLayout>
      </c:layout>
      <c:overlay val="0"/>
      <c:txPr>
        <a:bodyPr/>
        <a:lstStyle/>
        <a:p>
          <a:pPr>
            <a:defRPr sz="1000"/>
          </a:pPr>
          <a:endParaRPr lang="en-US"/>
        </a:p>
      </c:txPr>
    </c:legend>
    <c:plotVisOnly val="1"/>
    <c:dispBlanksAs val="gap"/>
    <c:showDLblsOverMax val="0"/>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800">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1603-588D-45C9-BC71-255060D8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6</Pages>
  <Words>1497</Words>
  <Characters>10990</Characters>
  <Application>Microsoft Office Word</Application>
  <DocSecurity>0</DocSecurity>
  <Lines>183</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29</cp:revision>
  <cp:lastPrinted>2019-05-13T14:09:00Z</cp:lastPrinted>
  <dcterms:created xsi:type="dcterms:W3CDTF">2020-05-19T07:25:00Z</dcterms:created>
  <dcterms:modified xsi:type="dcterms:W3CDTF">2020-06-03T15:05:00Z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