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16110C4-2F3C-4233-A28E-7E0707F57B81"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TAL-KUMMISSJONI</w:t>
      </w:r>
    </w:p>
    <w:p>
      <w:pPr>
        <w:pStyle w:val="Titreobjet"/>
        <w:rPr>
          <w:noProof/>
        </w:rPr>
      </w:pPr>
      <w:r>
        <w:rPr>
          <w:noProof/>
        </w:rPr>
        <w:t xml:space="preserve">L-Estonja </w:t>
      </w:r>
      <w:r>
        <w:rPr>
          <w:noProof/>
        </w:rPr>
        <w:br/>
        <w:t xml:space="preserve"> </w:t>
      </w:r>
      <w:r>
        <w:rPr>
          <w:noProof/>
        </w:rPr>
        <w:br/>
        <w:t>Rapport imħejji skont l-Artikolu 126(3) tat-Trattat dwar il-Funzjonament tal-Unjoni Ewropea</w:t>
      </w:r>
    </w:p>
    <w:p>
      <w:pPr>
        <w:pStyle w:val="Sous-titreobjet"/>
        <w:jc w:val="left"/>
        <w:rPr>
          <w:noProof/>
          <w:highlight w:val="gree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Introduzzjoni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Fl-20 ta’ Marzu 2020, il-Kummissjoni adottat Komunikazzjoni dwar l-attivazzjoni tal-klawżola liberatorja ġenerali tal-Patt ta’ Stabbiltà u Tkabbir.  Il-klawżola, kif inhu stipulat fl-Artikoli 5(1), 6(3), 9(1) u 10(3) tar-Regolament (KE) 1466/97 u l-Artikoli 3(5) u 5(2) tar-Regolament (KE) 1467/97, tiffaċilita l-koordinazzjoni tal-politiki baġitarji fi żminijiet ta’ tnaqqis qawwi fir-ritmu ekonomiku. Fil-Komunikazzjoni tagħha, il-Kummissjoni qablet mal-Kunsill tal-fehma tagħha li, minħabba t-tnaqqis fir-ritmu ekonomiku qawwi mistenni li jirriżulta mit-tfaqqigħ ta’ COVID-19, il-kundizzjonijiet attwali jippermettu l-attivazzjoni tal-klawżola. Fit-23 ta’ Marzu 2020, il-Ministri tal-Finanzi tal-Istati Membri qablu mal-valutazzjoni tal-Kummissjoni. L-attivazzjoni tal-klawżola liberatorja ġenerali tippermetti għal devjazzjoni temporanja mill-perkors ta’ aġġustament lejn l-objettiv baġitarju ta’ terminu medju, sakemm dan ma jipperikolax is-sostenibbiltà fiskali f'terminu medju. Għall-parti korrettiva, il-Kunsill jista’ jiddeċiedi wkoll, fuq rakkomandazzjoni mill-Kummissjoni, li jadotta trajettorja fiskali riveduta. Il-klawżola liberatorja ġenerali ma tissospendix il-proċeduri tal-Patt ta’ Stabbiltà u Tkabbir. Dan jippermetti li l-Istati Membri jitbiegħdu mir-rekwiżiti baġitarji li normalment japplikaw filwaqt li jippermettu lill-Kummissjoni u lill-Kunsill biex iwettqu l-miżuri ta’ koordinazzjoni tal-politika meħtieġa fil-qafas tal-Patt.</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Id-</w:t>
      </w:r>
      <w:r>
        <w:rPr>
          <w:rFonts w:ascii="Times New Roman" w:hAnsi="Times New Roman"/>
          <w:i/>
          <w:noProof/>
          <w:sz w:val="24"/>
          <w:szCs w:val="24"/>
        </w:rPr>
        <w:t>data</w:t>
      </w:r>
      <w:r>
        <w:rPr>
          <w:rFonts w:ascii="Times New Roman" w:hAnsi="Times New Roman"/>
          <w:noProof/>
          <w:sz w:val="24"/>
          <w:szCs w:val="24"/>
        </w:rPr>
        <w:t xml:space="preserve"> nnotifikata mill-awtoritajiet tal-Estonja fil-31 ta’ Marzu 2020 u sussegwentement ivvalidata mill-Eurostat</w:t>
      </w:r>
      <w:r>
        <w:rPr>
          <w:rStyle w:val="FootnoteReference"/>
          <w:rFonts w:eastAsiaTheme="minorHAnsi"/>
          <w:noProof/>
          <w:sz w:val="24"/>
          <w:szCs w:val="24"/>
        </w:rPr>
        <w:footnoteReference w:id="2"/>
      </w:r>
      <w:r>
        <w:rPr>
          <w:rFonts w:ascii="Times New Roman" w:hAnsi="Times New Roman"/>
          <w:noProof/>
          <w:sz w:val="24"/>
          <w:szCs w:val="24"/>
        </w:rPr>
        <w:t xml:space="preserve"> turi li d-defiċit tal-amministrazzjoni pubblika fl-Estonja laħaq iż-0,3 % tal-PDG fl-2019, filwaqt li d-dejn gross tal-amministrazzjoni pubblika kien ta’ 8,4 % tal-PDG. Skont il-Programm ta’ Stabbiltà tal-2020, l-Estonja qed tippjana defiċit ta’ 10,1 % tal-PDG fl-2020, filwaqt li d-dejn huwa ppjanat li jkun ta’ 21,9 % tal-PDG. </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Id-defiċit ippjanat għall-2020 jipprovdi evidenza </w:t>
      </w:r>
      <w:r>
        <w:rPr>
          <w:rFonts w:ascii="Times New Roman" w:hAnsi="Times New Roman"/>
          <w:i/>
          <w:noProof/>
          <w:sz w:val="24"/>
          <w:szCs w:val="24"/>
        </w:rPr>
        <w:t>prima facie</w:t>
      </w:r>
      <w:r>
        <w:rPr>
          <w:rFonts w:ascii="Times New Roman" w:hAnsi="Times New Roman"/>
          <w:noProof/>
          <w:sz w:val="24"/>
          <w:szCs w:val="24"/>
        </w:rPr>
        <w:t xml:space="preserve"> tal-eżistenza ta’ defiċit eċċessiv kif definit mill-Patt ta’ Stabbiltà u Tkabbir.</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F’dan l-isfond, il-Kummissjoni għalhekk ħejjiet dan ir-rapport, li janalizza l-konformità tal-Estonja mal-kriterju tad-defiċit tat-Trattat. Il-kriterju tad-dejn jista’ jitqies li ġie ssodisfat billi l-proporzjon tad-dejn huwa 'l isfel mill-valur ta’ referenza tat-Trattat ta’ 60 % tal-PDG. Iqis il-fatturi rilevanti kollha u jqis kif imiss ix-xokk ekonomiku kbir marbut mal-pandemija tal-COVID-19.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Defiċit u dejn tal-l-amministrazzjoni pubblika (% tal-PDG) </w:t>
      </w:r>
    </w:p>
    <w:tbl>
      <w:tblPr>
        <w:tblStyle w:val="TableGrid"/>
        <w:tblW w:w="0" w:type="auto"/>
        <w:tblLook w:val="04A0" w:firstRow="1" w:lastRow="0" w:firstColumn="1" w:lastColumn="0" w:noHBand="0" w:noVBand="1"/>
      </w:tblPr>
      <w:tblGrid>
        <w:gridCol w:w="1115"/>
        <w:gridCol w:w="1605"/>
        <w:gridCol w:w="1084"/>
        <w:gridCol w:w="1084"/>
        <w:gridCol w:w="1084"/>
        <w:gridCol w:w="1084"/>
        <w:gridCol w:w="1093"/>
        <w:gridCol w:w="1093"/>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tad-defiċit</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Bilanċ tal-amministrazzjoni pubblika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-0,5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3,4</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Kriterju tad-dejn</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Dejn gross tal-l-amministrazzjoni pubblika</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 xml:space="preserve">10,2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8,4</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 xml:space="preserve">20,7 </w:t>
            </w:r>
          </w:p>
        </w:tc>
        <w:tc>
          <w:tcPr>
            <w:tcW w:w="1154" w:type="dxa"/>
          </w:tcPr>
          <w:p>
            <w:pPr>
              <w:keepNext/>
              <w:jc w:val="center"/>
              <w:rPr>
                <w:rFonts w:ascii="Times New Roman" w:eastAsia="Times New Roman" w:hAnsi="Times New Roman" w:cs="Calibri"/>
                <w:noProof/>
                <w:sz w:val="20"/>
                <w:szCs w:val="20"/>
                <w:highlight w:val="lightGray"/>
              </w:rPr>
            </w:pPr>
            <w:r>
              <w:rPr>
                <w:rFonts w:ascii="Times New Roman" w:hAnsi="Times New Roman"/>
                <w:noProof/>
                <w:sz w:val="20"/>
                <w:szCs w:val="20"/>
              </w:rPr>
              <w:t>22,6</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Sors: Eurostat, it-tbassir tar-rebbiegħa 2020 tal-Kummissjoni</w:t>
      </w:r>
    </w:p>
    <w:p>
      <w:pPr>
        <w:pStyle w:val="ManualHeading1"/>
        <w:rPr>
          <w:noProof/>
        </w:rPr>
      </w:pPr>
      <w:r>
        <w:rPr>
          <w:smallCaps w:val="0"/>
          <w:noProof/>
        </w:rPr>
        <w:t>2.</w:t>
      </w:r>
      <w:r>
        <w:rPr>
          <w:noProof/>
        </w:rPr>
        <w:tab/>
        <w:t>Kriterju</w:t>
      </w:r>
      <w:r>
        <w:rPr>
          <w:b w:val="0"/>
          <w:smallCaps w:val="0"/>
          <w:noProof/>
        </w:rPr>
        <w:t xml:space="preserve"> </w:t>
      </w:r>
      <w:r>
        <w:rPr>
          <w:noProof/>
        </w:rPr>
        <w:t xml:space="preserve">tad-defiċit </w:t>
      </w:r>
    </w:p>
    <w:p>
      <w:pPr>
        <w:spacing w:before="120" w:after="120" w:line="240" w:lineRule="auto"/>
        <w:jc w:val="both"/>
        <w:rPr>
          <w:rFonts w:ascii="Times New Roman" w:eastAsia="Calibri" w:hAnsi="Times New Roman" w:cs="Times New Roman"/>
          <w:noProof/>
          <w:sz w:val="24"/>
          <w:szCs w:val="24"/>
          <w:highlight w:val="yellow"/>
          <w:lang w:eastAsia="en-GB"/>
        </w:rPr>
      </w:pP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Fuq il-bażi tal-Programm ta’ Stabbiltà tal-2020, id-defiċit tal-amministrazzjoni pubblika tal-Estonja fl-2020 huwa mistenni li jilħaq l-10,1 % tal-PDG,’il fuq u mhux qrib il-valur ta’ referenza tat-Trattat ta’ 3 % tal-PDG. Id-defiċit li qed jiżdied sew jirrifletti l-istimolu ppjanat ta’ 4,3 % tal-PDG u l-effetti tal-kriżi ekonomika.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L-eċċess ippjanat fuq il-valur ta’ referenza tat-Trattat fl-2020 huwa eċċezzjonali, minħabba li jirriżulta minn tnaqqis qawwi fir-ritmu ekonomiku. B’kunsiderazzjoni tal-impatt tal-pandemija COVID-19, it-tbassir tar-rebbiegħa 2020 tal-Kummissjoni jipprojetta tnaqqis tal-PDG reali fl-2020 b’6,9 %.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L-eċċess ippjanat fuq il-valur ta’ referenza ta’ 3 % tal-PDG mhuwiex temporanju fuq il-bażi tat-tbassir tar-rebbiegħa 2020 tal-Kummissjoni, li jipprojetta li d-defiċit jibqa’ ’l fuq mill-valur ta’ referenza fl-2021.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Kollox ma’ kollox, id-defiċit ippjanat għall-2020 huwa 'l fuq u mhux qrib il-valur ta’ referenza ta’ 3 % tal-PDG stabbilit fit-Trattat. L-eċċess ippjanat huwa kkunsidrat bħala eċċezzjonali iżda mhux temporanju għall-finijiet tat-Trattat u tal-Patt ta’ Stabbiltà u Tkabbir. Għalhekk, l-analiżi tissuġġerixxi li</w:t>
      </w:r>
      <w:r>
        <w:rPr>
          <w:rFonts w:ascii="Times New Roman" w:hAnsi="Times New Roman"/>
          <w:bCs/>
          <w:i/>
          <w:noProof/>
          <w:sz w:val="24"/>
        </w:rPr>
        <w:t>prima facie</w:t>
      </w:r>
      <w:r>
        <w:rPr>
          <w:rFonts w:ascii="Times New Roman" w:hAnsi="Times New Roman"/>
          <w:noProof/>
          <w:sz w:val="24"/>
        </w:rPr>
        <w:t xml:space="preserve"> </w:t>
      </w:r>
      <w:r>
        <w:rPr>
          <w:rFonts w:ascii="Times New Roman" w:hAnsi="Times New Roman"/>
          <w:noProof/>
          <w:sz w:val="24"/>
          <w:szCs w:val="24"/>
        </w:rPr>
        <w:t>l-kriterju tad-defiċit kif definit mit-Trattat u r-Regolament (KE) Nru 1467/97 mhuwiex sodisfatt fuq il-bażi tat-tbassir tar-rebbiegħa 2019 tal-Kummissjoni u l-Programm ta’ Stabbiltà.</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Fatturi rilevanti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L-Artikolu 126(3) tat-Trattat jistipula li, jekk Stat Membru ma jissodisfax il-ħtiġijiet ta’ wieħed minn dawn il-kriterji jew tat-tnejn li huma, il-Kummissjoni jkollha tħejji rapport. Ir-rapport irid “iqis ukoll jekk id-dejn tal-gvern ikunx jeċċedi n-nefqa tal-gvern f’investiment u jqis il-fatturi l-oħra kollha rilevanti, inkluża l-pożizzjoni ekonomika u baġitarja fuq terminu medju tal-Istat Membru”.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Dawn il-fatturi huma ċċarati aktar fl-Artikolu 2(3) tar-Regolament (KE) Nru 1467/97, li jistipula wkoll li “kwalunkwe fattur ieħor li, fl-opinjoni tal-Istat Membru kkonċernat huwa rilevanti sabiex tkun ivvalutata b’mod komprensiv il-konformità mal-kriterji tad-defiċit u d-dejn u li l-Istat Membru ressaq quddiem il-Kunsill u l-Kummissjoni” jeħtieġ li jingħataw il-kunsiderazzjoni dovuta</w:t>
      </w:r>
      <w:r>
        <w:rPr>
          <w:rFonts w:ascii="Times New Roman" w:hAnsi="Times New Roman"/>
          <w:noProof/>
          <w:sz w:val="24"/>
        </w:rPr>
        <w:t>.</w:t>
      </w:r>
    </w:p>
    <w:p>
      <w:pPr>
        <w:keepNext/>
        <w:tabs>
          <w:tab w:val="left" w:pos="850"/>
        </w:tabs>
        <w:spacing w:before="360" w:after="120" w:line="240" w:lineRule="auto"/>
        <w:ind w:left="851" w:hanging="851"/>
        <w:jc w:val="both"/>
        <w:outlineLvl w:val="1"/>
        <w:rPr>
          <w:rFonts w:ascii="Times New Roman" w:eastAsia="Times New Roman" w:hAnsi="Times New Roman" w:cs="Times New Roman"/>
          <w:noProof/>
          <w:sz w:val="24"/>
        </w:rPr>
      </w:pPr>
      <w:r>
        <w:rPr>
          <w:rFonts w:ascii="Times New Roman" w:hAnsi="Times New Roman"/>
          <w:noProof/>
          <w:sz w:val="24"/>
        </w:rPr>
        <w:t>Fis-sitwazzjoni attwali, fattur addizzjonali ewlieni li għandu jitqies fir-rigward tal-2020 huwa l-impatt ekonomiku tal-pandemija COVID-19, li għandha impatt sostanzjali ħafna fuq is-sitwazzjoni baġitarja u tirriżulta f’perspettiva inċerta ħafna. Il-pandemija wasslet ukoll għall-attivazzjoni tal-klawżola liberatorja ġenerali.</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Il-pandemija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Il-pandemija tatal-COVID-19 wasslet għal xokk ekonomiku kbir li qed ikollu impatt negattiv sinifikanti fl-Unjoni Ewropea kollha. Il-konsegwenzi għat-tkabbir tal-PDG se jiddependu kemm fuq it-tul tal-pandemija kif ukoll fuq it-tul tal-miżuri li ttieħdu mill-awtoritajiet nazzjonali u fil-livell Ewropew u dak globali biex titrażżan il-firxa tagħha, biex jiġu mħarsa l-kapaċitajiet tal-produzzjoni u biex tiġi appoġġata d-domanda aggregata. </w:t>
      </w:r>
      <w:r>
        <w:rPr>
          <w:rFonts w:ascii="Times New Roman" w:hAnsi="Times New Roman"/>
          <w:noProof/>
          <w:sz w:val="24"/>
          <w:szCs w:val="24"/>
        </w:rPr>
        <w:t>Il-pajjiżi diġà adottaw, jew qed jadottaw, miżuri baġitarji biex iżidu l-kapaċità tas-sistemi tas-saħħa tagħhom u jipprovdu l-għajnuna lill-individwi u lis-setturi partikolarment affettwati. Ġew adottati wkoll miżuri ta’ appoġġ ta’ likwidità sinifikanti u garanziji oħra. Soġġett għal informazzjoni aktar dettaljata, l-awtoritajiet kompetenti tal-istatistika għandhom jeżaminaw jekk dawk il-miżuri jinvolvux impatt immedjat fuq il-bilanċ tal-amministrazzjoni pubblika jew le. Flimkien mat-tnaqqis fl-attività ekonomika, dawk il-miżuri se jikkontribwixxu għal defiċit u pożizzjonijiet ta’ dejn sostanzjalment ogħla tal-Gvern.</w:t>
      </w: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Pożizzjoni ekonomika fuq terminu medju </w:t>
      </w:r>
    </w:p>
    <w:p>
      <w:pPr>
        <w:spacing w:before="120" w:after="120" w:line="240" w:lineRule="auto"/>
        <w:jc w:val="both"/>
        <w:rPr>
          <w:rFonts w:ascii="Times New Roman" w:eastAsia="Times New Roman" w:hAnsi="Times New Roman" w:cs="Calibri"/>
          <w:bCs/>
          <w:i/>
          <w:noProof/>
          <w:sz w:val="24"/>
          <w:highlight w:val="cyan"/>
          <w:lang w:eastAsia="en-GB"/>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Fuq il-bażi tat-tbassir tar-rebbiegħa tal-2020 tal-Kummissjoni, il-PDG reali tal-Estonja huwa pprojettat li jonqos b’madwar 7 %, segwit minn irkupru rapidu fl-2021. Minbarra x-xokk fuq id-domanda domestika, l-esportazzjonijiet huma mistennija li jbatu minn tnaqqis fid-domanda barranija.</w:t>
      </w:r>
      <w:r>
        <w:rPr>
          <w:noProof/>
        </w:rPr>
        <w:t xml:space="preserve"> </w:t>
      </w:r>
      <w:r>
        <w:rPr>
          <w:rFonts w:ascii="Times New Roman" w:hAnsi="Times New Roman"/>
          <w:noProof/>
          <w:sz w:val="24"/>
          <w:szCs w:val="24"/>
        </w:rPr>
        <w:t>Ir-rata tal-qgħad hija pprojjettata li taqbeż id-9 % fl-2020,’il fuq minn 4,4 % fl-2019.</w:t>
      </w:r>
      <w:r>
        <w:rPr>
          <w:noProof/>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It-tbassir</w:t>
      </w:r>
      <w:r>
        <w:rPr>
          <w:rFonts w:ascii="Times New Roman" w:hAnsi="Times New Roman"/>
          <w:noProof/>
          <w:sz w:val="24"/>
        </w:rPr>
        <w:t xml:space="preserve"> makroekonomiku </w:t>
      </w:r>
      <w:r>
        <w:rPr>
          <w:rFonts w:ascii="Times New Roman" w:hAnsi="Times New Roman"/>
          <w:noProof/>
          <w:sz w:val="24"/>
          <w:szCs w:val="24"/>
        </w:rPr>
        <w:t>tal-Programmi ta’ Stabbiltà jinnota inċertezza kbira rigward it-tul tal-pandemija u l-inċertezza tal-impatt ekonomiku tagħha. Il-programm jipprojetta li l-PDG jonqos bi 8 % fl-2020, iżda li jirkupra fl-2021, taħt is-suppożizzjonijiet li s-sitwazzjoni ta’ emerġenza se ddum sal-aħħar ta’ Mejju 2020 u wara dan se tibda żieda gradwali fl-attività ekonomika. Il-waqgħa f’salt fil-PDG huwa fattur mitiganti fil-valutazzjoni tal-konformità tal-Estonja mal-kriterju tad-defiċit fl-2020.</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Pożizzjoni baġitarja fuq terminu medju</w:t>
      </w:r>
    </w:p>
    <w:p>
      <w:pPr>
        <w:spacing w:before="120" w:after="120" w:line="240" w:lineRule="auto"/>
        <w:jc w:val="both"/>
        <w:rPr>
          <w:rFonts w:ascii="Times New Roman" w:eastAsia="Times New Roman" w:hAnsi="Times New Roman" w:cs="Times New Roman"/>
          <w:noProof/>
          <w:sz w:val="24"/>
          <w:szCs w:val="24"/>
          <w:lang w:eastAsia="en-GB"/>
        </w:rPr>
      </w:pPr>
    </w:p>
    <w:p>
      <w:pPr>
        <w:spacing w:before="120" w:after="120" w:line="240" w:lineRule="auto"/>
        <w:jc w:val="both"/>
        <w:rPr>
          <w:rFonts w:ascii="Times New Roman" w:hAnsi="Times New Roman" w:cs="Times New Roman"/>
          <w:noProof/>
          <w:sz w:val="24"/>
          <w:highlight w:val="yellow"/>
        </w:rPr>
      </w:pPr>
      <w:r>
        <w:rPr>
          <w:rFonts w:ascii="Times New Roman" w:hAnsi="Times New Roman"/>
          <w:bCs/>
          <w:noProof/>
          <w:sz w:val="24"/>
          <w:szCs w:val="24"/>
        </w:rPr>
        <w:t>L-Estonja</w:t>
      </w:r>
      <w:r>
        <w:rPr>
          <w:rFonts w:ascii="Times New Roman" w:hAnsi="Times New Roman"/>
          <w:bCs/>
          <w:i/>
          <w:noProof/>
          <w:sz w:val="24"/>
          <w:szCs w:val="24"/>
        </w:rPr>
        <w:t xml:space="preserve"> </w:t>
      </w:r>
      <w:r>
        <w:rPr>
          <w:rFonts w:ascii="Times New Roman" w:hAnsi="Times New Roman"/>
          <w:noProof/>
          <w:sz w:val="24"/>
          <w:szCs w:val="24"/>
        </w:rPr>
        <w:t>ingħatat rakkomandazzjoni fit-13 ta’ Lulju 2018 biex tiżgura li r-rata ta’ tkabbir nominali tal-infiq pubbliku primarju nett ma taqbiżx l-4,1 % fl-2019 (“il-valur ta’ referenza tan-nefqa”), li jikkorrispondi għal aġġustament strutturali ta’ 0,6 % tal-PDG</w:t>
      </w:r>
      <w:r>
        <w:rPr>
          <w:rStyle w:val="FootnoteReference"/>
          <w:rFonts w:eastAsiaTheme="minorHAnsi"/>
          <w:noProof/>
        </w:rPr>
        <w:footnoteReference w:id="3"/>
      </w:r>
      <w:r>
        <w:rPr>
          <w:rFonts w:ascii="Times New Roman" w:hAnsi="Times New Roman"/>
          <w:noProof/>
          <w:sz w:val="24"/>
          <w:szCs w:val="24"/>
        </w:rPr>
        <w:t>. Fuq il-bażi tad-</w:t>
      </w:r>
      <w:r>
        <w:rPr>
          <w:rFonts w:ascii="Times New Roman" w:hAnsi="Times New Roman"/>
          <w:i/>
          <w:noProof/>
          <w:sz w:val="24"/>
          <w:szCs w:val="24"/>
        </w:rPr>
        <w:t>data</w:t>
      </w:r>
      <w:r>
        <w:rPr>
          <w:rFonts w:ascii="Times New Roman" w:hAnsi="Times New Roman"/>
          <w:noProof/>
          <w:sz w:val="24"/>
          <w:szCs w:val="24"/>
        </w:rPr>
        <w:t xml:space="preserve"> tar-riżultati u t-tbassir tal-Kummissjoni, it-tkabbir tan-nefqa qabeż dak il-valur ta’ referenza, b’devjazzjoni ta’ 1,7 % tal-PDG fl-2019, u b’hekk jindika devjazzjoni sinifikanti. </w:t>
      </w:r>
      <w:r>
        <w:rPr>
          <w:rFonts w:ascii="Times New Roman" w:hAnsi="Times New Roman"/>
          <w:noProof/>
          <w:sz w:val="24"/>
        </w:rPr>
        <w:t>Il-konklużjoni hija kkonfermata wkoll għall-2018-2019 meħuda flimkien. Il-bilanċ strutturali baqa’ l-istess fl-2019, u b’hekk indika xi devjazzjoni ta’ 0,3 % tal-PDG fl-2019, filwaqt li ġibed l-attenzjoni għal devjazzjoni sinifikanti matul l-2018–2019 meħuda flimkien. Il-valutazzjoni kumplessiva tindika xi devjazzjoni mill-perkors ta’ aġġustament rakkomandat lejn l-objettiv baġitarju ta’ terminu medju fl-2019.</w:t>
      </w:r>
    </w:p>
    <w:p>
      <w:pPr>
        <w:spacing w:before="120" w:after="120" w:line="240" w:lineRule="auto"/>
        <w:jc w:val="both"/>
        <w:rPr>
          <w:noProof/>
        </w:rPr>
      </w:pPr>
      <w:r>
        <w:rPr>
          <w:rFonts w:ascii="Times New Roman" w:hAnsi="Times New Roman"/>
          <w:noProof/>
          <w:sz w:val="24"/>
        </w:rPr>
        <w:t>Il-programm ta’ Stabbiltà jipprojetta li d-defiċit ta’ 10,1 % tal-PDG fl-2020 se jonqos fl-2021, meta l-ekonomija hi mistennija li tirkupra u jiskadu l-biċċa l-kbira tal-miżuri baġitarji.</w:t>
      </w:r>
      <w:r>
        <w:rPr>
          <w:noProof/>
        </w:rPr>
        <w:t xml:space="preserve"> </w:t>
      </w:r>
      <w:r>
        <w:rPr>
          <w:rFonts w:ascii="Times New Roman" w:hAnsi="Times New Roman"/>
          <w:noProof/>
          <w:sz w:val="24"/>
        </w:rPr>
        <w:t>Il-pożizzjoni fiskali strutturali hija pprojettata li titjieb minn defiċit ta’ 5,2 % fl-2020 għal defiċit ta’ 0,8 % tal-PDG fl-2021</w:t>
      </w:r>
      <w:r>
        <w:rPr>
          <w:rStyle w:val="FootnoteReference"/>
          <w:rFonts w:eastAsiaTheme="minorHAnsi"/>
          <w:noProof/>
        </w:rPr>
        <w:footnoteReference w:id="4"/>
      </w:r>
      <w:r>
        <w:rPr>
          <w:rFonts w:ascii="Times New Roman" w:hAnsi="Times New Roman"/>
          <w:noProof/>
          <w:sz w:val="24"/>
        </w:rPr>
        <w:t>. Il-programm ta’ Konverġenza jipprovdi informazzjoni dwar miżuri ġodda sostanzjali biex titrażżan il-pandemija u biex tiġi appoġġata l-ekonomija. Hija tistma l-impatt baġitarju ta’ dawn il-miżuri ta’ appoġġ dirett għal 4,3 % tal-PDG fl-2020. Il-perspettiva fiskali f'terminu medju tibqa’ soġġetta għal livell għoli ta’ inċertezza.</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Fatturi oħra ppreżentati mill-Istat Membru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Fit-12 ta’ Mejju 2020, l-awtoritajiet tal-Estonja bagħtu ittra bil-fatturi rilevanti skont l-Artikolu 2(3) tar-Regolament (KE) Nru 1467/97. L-analiżi ppreżentata fit-taqsimiet preċedenti diġà tkopri b’mod wiesa’ l-fatturi ewlenin ippreżentati mill-awtoritajiet.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Konklużjonijiet</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Skont il-Programm ta’ Stabbiltà, id-defiċit tal-amministrazzjoni pubblika tal-Estonja fl-2020 huwa ppjanat li jiżdied għal 10,1 % tal-PDG,’il fuq u mhux qrib il-valur ta’ referenza ta’ 3 % tal-PDG skont it-Trattat. L-eċċess ippjanat fuq il-valur ta’ referenza huwa kkunsidrat bħala eċċezzjonali u imma mhux temporanju.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Skont it-Trattat u l-Patt ta’ Stabbiltà u Tkabbir, dan ir-rapport eżamina wkoll fatturi rilevanti.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B’mod ġenerali, billi l-iżbilanċ ippjanat huwa ’l fuq sew minn 3 % tal-PDG, l-eċċess mhuwiex temporanju u meta jitqiesu l-fatturi rilevanti kollha, l-analiżi tissuġġerixxi li l-kriterju tad-defiċit kif definit fit-Trattat u fir-Regolament (KE) Nru 1467/1997 mhuwiex issodisfat.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Rakkomandazzjoni tal-Kunsill tat-13 ta' Lulju 2018 dwar il-Programm Nazzjonali ta' Riforma tal-2018 tal-Latvja u li tagħti opinjoni tal-Kunsill dwar il-Programm ta' Stabbiltà tal-2018 tal-Estonja (ĠU C 320, 10.9.2018, p. 24).</w:t>
      </w:r>
    </w:p>
  </w:footnote>
  <w:footnote w:id="4">
    <w:p>
      <w:pPr>
        <w:pStyle w:val="FootnoteText"/>
      </w:pPr>
      <w:r>
        <w:rPr>
          <w:rStyle w:val="FootnoteReference"/>
        </w:rPr>
        <w:footnoteRef/>
      </w:r>
      <w:r>
        <w:t xml:space="preserve"> Kif ikkalkulat mill-awtoritajiet tal-Estonja.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6110C4-2F3C-4233-A28E-7E0707F57B81"/>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sell, "/>
    <w:docVar w:name="LW_EMISSION_SUFFIX" w:val=" "/>
    <w:docVar w:name="LW_ID_DOCTYPE_NONLW" w:val="CP-003"/>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5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stonja _x000b_ _x000b_Rapport im\u295?ejji skont l-Artikolu 126(3) tat-Trattat dwar il-Funzjonament tal-Unjoni Ewropea"/>
    <w:docVar w:name="LW_TYPE.DOC.CP" w:val="RAPPORT TAL-KUMMISSJON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D55D-B6A1-439B-90B3-16EF99D3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1258</Words>
  <Characters>8873</Characters>
  <Application>Microsoft Office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2020-05-18T14:34:00Z</dcterms:created>
  <dcterms:modified xsi:type="dcterms:W3CDTF">2020-06-03T16:50:00Z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