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6BB826F-F66C-476C-A220-DD081D11D6C3" style="width:450.4pt;height:434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240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ALLEGATO </w:t>
      </w:r>
    </w:p>
    <w:p>
      <w:pPr>
        <w:spacing w:after="480"/>
        <w:jc w:val="center"/>
        <w:rPr>
          <w:rFonts w:eastAsia="Times New Roman"/>
          <w:i/>
          <w:noProof/>
        </w:rPr>
      </w:pPr>
      <w:r>
        <w:rPr>
          <w:i/>
          <w:noProof/>
        </w:rPr>
        <w:t>Le misure presentate nel presente piano d'azione sono o saranno portate avanti secondo i principi del legiferare meglio, comprese le valutazioni e le valutazioni d'impatto se opportuno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7067"/>
        <w:gridCol w:w="2572"/>
      </w:tblGrid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Principali interventi della Commissione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Calendario indicativo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UNA RETE COERENTE DI ZONE PROTETTE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Criteri e orientamenti per l'individuazione e designazione di zone e corridoi ecologici supplementari, sulla pianificazione adeguata della gestione, e su come altre misure efficaci di conservazione basate sul territorio e l'inverdimento urbano possono contribuire a perseguire gli obiettivi di protezione della natura dell'UE per il 2030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Valutazione dei progressi compiuti dall'UE nel conseguire gli obiettivi per il 2030 in materia di zone protette e dell'eventuale necessità di ulteriori azioni, legislative o di altro tipo.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entro il 2024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UN PIANO UE DI RIPRISTINO DELLA NATURA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di obiettivi UE di ripristino della natura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Orientamenti per la scelta delle specie e degli habitat, per assicurare che almeno il 30 % delle specie e degli habitat protetti il cui attuale stato di conservazione non è soddisfacente lo diventi entro il 2030 o mostri una netta tendenza positiva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Revisione della direttiva sull'utilizzo sostenibile dei pesticidi e rafforzamento delle disposizioni in materia di difesa integrata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Riesame ed eventuale revisione dell'iniziativa UE a favore degli impollinatori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Misure intese ad assicurare che i piani strategici della PAC degli Stati membri fissino valori nazionali espliciti per gli obiettivi pertinenti della strategia sulla biodiversità e della strategia "Dal produttore al consumatore" - sostenute, tra l'altro, dagli strumenti della PAC e dall'attuazione della direttiva Habitat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partire dal 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Piano d'azione per l'agricoltura biologica per il periodo 2021-2026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Revisione della strategia tematica per la protezione del suolo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Nuova strategia forestale UE, con una tabella di marcia per l'impianto di almeno 3 miliardi di alberi supplementari nell'UE entro il 2030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Sviluppare ulteriormente il sistema d'informazione forestale europeo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partire dal 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Linee guida sull'imboschimento e il rimboschimento rispettosi della biodiversità e sulle pratiche di silvicoltura più vicine alla natura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Valutazione dell'offerta e della domanda di biomassa nell'UE e nel mondo e relativa sostenibilità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 corso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Studio sulla sostenibilità dell'uso della biomassa forestale per la produzione di energia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Linee guida operative sui nuovi criteri di sostenibilità della biomassa forestale usata per la produzione di energia.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Riesame dei dati sui biocarburanti ad alto rischio di cambiamento indiretto della destinazione d'uso dei terreni e introduzione di una traiettoria per la loro graduale eliminazione entro il 2030.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Nuovo piano d'azione per conservare le risorse della pesca e tutelare gli ecosistemi marini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Orientamenti e sostegno agli Stati membri per individuare i siti e mobilitare i finanziamenti per ristabilire almeno 25 000 km di fiumi a scorrimento libero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Orientamenti tecnici per gli Stati membri sulle misure nazionali di riesame dei permessi di estrazione e arginamento delle acque, e di ripristino dei flussi ecologici nei piani di gestione dei bacini idrografici riveduti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2023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Creazione della piattaforma UE per l'inverdimento urbano nell'ambito di un nuovo "Green City Accord" con le città e i sindaci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Orientamenti tecnici sull'inverdimento urbano e assistenza agli Stati membri e alle autorità locali e regionali per mobilitare i finanziamenti e lo sviluppo di capacità, anche per lo sviluppo di piani per l'inverdimento urbano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Piano d'azione integrato di gestione dei nutrienti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CREARE LE CONDIZIONI PER UN CAMBIAMENTO PROFONDO</w:t>
            </w:r>
          </w:p>
        </w:tc>
      </w:tr>
      <w:tr>
        <w:trPr>
          <w:trHeight w:val="753"/>
        </w:trPr>
        <w:tc>
          <w:tcPr>
            <w:tcW w:w="7067" w:type="dxa"/>
          </w:tcPr>
          <w:p>
            <w:pPr>
              <w:spacing w:before="120" w:after="120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Valutazione sia dell'efficacia del nuovo quadro per una governance cooperativa della biodiversità, sia della necessità di un approccio rafforzato alla governance della biodiversità, giuricamente vincolante o sotto altra forma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Riesame ed eventuale revisione della direttiva sulla tutela penale dell'ambiente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Nuova iniziativa per una governance societaria sostenibile che affronti sia i diritti umani sia il dovere di sollecitudine e l'obbligo di diligenza vincolante in materia ambientale nelle diverse catene del valore economico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Contributo alla costruzione di un movimento di imprese UE a favore della biodiversità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partire dal 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Strategia rinnovata in materia di finanza sostenibile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Atto delegato nel quadro del regolamento sulla tassonomia per stabilire un sistema di classificazione comune delle attività economiche che contribuisca in modo sostanziale alla protezione e al ripristino della biodiversità e degli ecosistemi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Metodi, criteri e norme tecniche per una migliore integrazione della dimensione della biodiversità nei processi decisionali pubblici e aziendali a tutti i livelli, e per misurare l'impronta ambientale dei prodotti e delle organizzazioni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Promozione di un'iniziativa internazionale in materia di pratiche contabili del capitale naturale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Creazione di un nuovo centro di conoscenze sulla biodiversità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di raccomandazione del Consiglio per incoraggiare la cooperazione in materia di educazione all'ecosostenibilità, compresa l'educazione alla biodiversità</w:t>
            </w:r>
          </w:p>
        </w:tc>
        <w:tc>
          <w:tcPr>
            <w:tcW w:w="2572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t>L'AZIONE DELL'UNIONE EUROPEA A FAVORE DI UN'AGENDA MONDIALE AMBIZIOSA SULLA BIODIVERSITÀ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Conclusione di un accordo per un ambizioso quadro post 2020 sulla biodiversità nell'ambito della 15</w:t>
            </w:r>
            <w:r>
              <w:rPr>
                <w:rFonts w:ascii="Times New Roman" w:hAnsi="Times New Roman"/>
                <w:noProof/>
                <w:vertAlign w:val="superscript"/>
              </w:rPr>
              <w:t>a</w:t>
            </w:r>
            <w:r>
              <w:rPr>
                <w:rFonts w:ascii="Times New Roman" w:hAnsi="Times New Roman"/>
                <w:noProof/>
              </w:rPr>
              <w:t xml:space="preserve"> conferenza delle parti della Convenzione sulla diversità biologica (CBD COP 15)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2020-2021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Conclusione di un accordo ambizioso sulla diversità biologica marina nelle zone non soggette a giurisdizione nazionale e su tre vaste zone marine protette nell'Oceano Antartico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partire dal 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Valutazione dell'impatto degli accordi commerciali sulla biodiversità, con eventuali misure di follow up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a partire dal 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Misure per evitare o ridurre al minimo l'immissione sul mercato dell'UE di prodotti associati alla deforestazione o al degrado delle foreste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Revisione del piano d'azione UE contro il traffico illegale di specie selvatiche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Proposta di ulteriore inasprimento delle norme sul commercio dell'avorio nell'UE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Iniziativa NaturAfrica per proteggere flora e fauna selvatiche e gli ecosistemi fondamentali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dal 2021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701" w:bottom="1020" w:left="1587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062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227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7F"/>
    <w:multiLevelType w:val="hybridMultilevel"/>
    <w:tmpl w:val="F3549252"/>
    <w:lvl w:ilvl="0" w:tplc="90CEADFC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4321C"/>
    <w:multiLevelType w:val="multilevel"/>
    <w:tmpl w:val="18A01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51C07"/>
    <w:multiLevelType w:val="hybridMultilevel"/>
    <w:tmpl w:val="F6C8F7AC"/>
    <w:lvl w:ilvl="0" w:tplc="26584B4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80712"/>
    <w:multiLevelType w:val="hybridMultilevel"/>
    <w:tmpl w:val="D2709E76"/>
    <w:lvl w:ilvl="0" w:tplc="0C0E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C31AE"/>
    <w:multiLevelType w:val="hybridMultilevel"/>
    <w:tmpl w:val="C7AE0E3A"/>
    <w:lvl w:ilvl="0" w:tplc="506230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4800"/>
    <w:multiLevelType w:val="hybridMultilevel"/>
    <w:tmpl w:val="666A540C"/>
    <w:lvl w:ilvl="0" w:tplc="60C83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60A1"/>
    <w:multiLevelType w:val="hybridMultilevel"/>
    <w:tmpl w:val="E4E6F362"/>
    <w:lvl w:ilvl="0" w:tplc="51F8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145E"/>
    <w:multiLevelType w:val="multilevel"/>
    <w:tmpl w:val="B1048310"/>
    <w:name w:val="EurolookHeading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6BB826F-F66C-476C-A220-DD081D11D6C3"/>
    <w:docVar w:name="LW_COVERPAGE_TYPE" w:val="1"/>
    <w:docVar w:name="LW_CROSSREFERENCE" w:val="&lt;UNUSED&gt;"/>
    <w:docVar w:name="LW_DocType" w:val="NORMAL"/>
    <w:docVar w:name="LW_EMISSION" w:val="20.5.2020"/>
    <w:docVar w:name="LW_EMISSION_ISODATE" w:val="2020-05-20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Strategia dell'UE sulla biodiversità per il 2030_x000d__x000d__x000b__x000d__x000d__x000d__x000d__x000d__x000d__x000d__x000d__x000d__x000b__x000d__x000d__x000d__x000d__x000b_Riportare la natura nella nostra vita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COMUNICAZIONE DELLA COMMISSIONE AL PARLAMENTO EUROPEO, AL CONSIGLIO, AL COMITATO ECONOMICO E SOCIALE EUROPEO E AL COMITATO DELLE REGI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,Fußnotentextf,ft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CV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3 Char"/>
    <w:link w:val="ListParagraph"/>
    <w:uiPriority w:val="34"/>
    <w:qFormat/>
    <w:locked/>
  </w:style>
  <w:style w:type="paragraph" w:customStyle="1" w:styleId="FigureBody">
    <w:name w:val="Figure Body"/>
    <w:basedOn w:val="Normal"/>
    <w:uiPriority w:val="7"/>
    <w:pPr>
      <w:keepNext/>
      <w:spacing w:after="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,Fußnotentextf,ft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CV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3 Char"/>
    <w:link w:val="ListParagraph"/>
    <w:uiPriority w:val="34"/>
    <w:qFormat/>
    <w:locked/>
  </w:style>
  <w:style w:type="paragraph" w:customStyle="1" w:styleId="FigureBody">
    <w:name w:val="Figure Body"/>
    <w:basedOn w:val="Normal"/>
    <w:uiPriority w:val="7"/>
    <w:pPr>
      <w:keepNext/>
      <w:spacing w:after="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DB87D8-8B58-46EA-ADCC-7344B35E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5446</Characters>
  <Application>Microsoft Office Word</Application>
  <DocSecurity>0</DocSecurity>
  <Lines>143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2020-05-19T09:51:00Z</dcterms:created>
  <dcterms:modified xsi:type="dcterms:W3CDTF">2020-06-04T07:22:00Z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</Properties>
</file>